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9F650">
      <w:pPr>
        <w:autoSpaceDE w:val="0"/>
        <w:autoSpaceDN w:val="0"/>
        <w:spacing w:line="500" w:lineRule="atLeast"/>
        <w:jc w:val="center"/>
        <w:textAlignment w:val="bottom"/>
        <w:rPr>
          <w:rFonts w:hint="eastAsia" w:ascii="宋体" w:hAnsi="宋体" w:eastAsia="宋体" w:cs="宋体"/>
          <w:b/>
          <w:bCs/>
          <w:color w:val="auto"/>
          <w:sz w:val="72"/>
          <w:szCs w:val="72"/>
          <w:highlight w:val="none"/>
        </w:rPr>
      </w:pPr>
      <w:bookmarkStart w:id="0" w:name="_Toc527495447"/>
    </w:p>
    <w:p w14:paraId="54825D10">
      <w:pPr>
        <w:spacing w:line="240" w:lineRule="auto"/>
        <w:jc w:val="distribute"/>
        <w:rPr>
          <w:rFonts w:hint="eastAsia" w:ascii="宋体" w:hAnsi="宋体" w:eastAsia="宋体" w:cs="宋体"/>
          <w:b/>
          <w:bCs/>
          <w:caps/>
          <w:color w:val="auto"/>
          <w:spacing w:val="20"/>
          <w:sz w:val="72"/>
          <w:szCs w:val="72"/>
          <w:highlight w:val="none"/>
          <w:lang w:eastAsia="zh-CN"/>
        </w:rPr>
      </w:pPr>
      <w:r>
        <w:rPr>
          <w:rFonts w:hint="eastAsia" w:ascii="宋体" w:hAnsi="宋体" w:eastAsia="宋体" w:cs="Times New Roman"/>
          <w:b/>
          <w:color w:val="auto"/>
          <w:sz w:val="36"/>
          <w:szCs w:val="36"/>
          <w:highlight w:val="none"/>
          <w:lang w:eastAsia="zh-CN"/>
        </w:rPr>
        <w:t>温州港南岳港务有限公司</w:t>
      </w:r>
    </w:p>
    <w:p w14:paraId="602541A9">
      <w:pPr>
        <w:autoSpaceDE w:val="0"/>
        <w:autoSpaceDN w:val="0"/>
        <w:spacing w:line="500" w:lineRule="atLeast"/>
        <w:jc w:val="center"/>
        <w:textAlignment w:val="bottom"/>
        <w:rPr>
          <w:rFonts w:hint="eastAsia" w:ascii="宋体" w:hAnsi="宋体" w:eastAsia="宋体" w:cs="宋体"/>
          <w:b/>
          <w:bCs/>
          <w:color w:val="auto"/>
          <w:sz w:val="72"/>
          <w:szCs w:val="72"/>
          <w:highlight w:val="none"/>
        </w:rPr>
      </w:pPr>
    </w:p>
    <w:p w14:paraId="7B866EB7">
      <w:pPr>
        <w:autoSpaceDE w:val="0"/>
        <w:autoSpaceDN w:val="0"/>
        <w:spacing w:line="500" w:lineRule="atLeast"/>
        <w:jc w:val="center"/>
        <w:textAlignment w:val="bottom"/>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招标文件</w:t>
      </w:r>
    </w:p>
    <w:p w14:paraId="1D0C7487">
      <w:pPr>
        <w:spacing w:line="400" w:lineRule="atLeast"/>
        <w:jc w:val="center"/>
        <w:rPr>
          <w:rFonts w:hint="eastAsia" w:ascii="宋体" w:hAnsi="宋体" w:eastAsia="宋体" w:cs="宋体"/>
          <w:b/>
          <w:color w:val="auto"/>
          <w:sz w:val="32"/>
          <w:highlight w:val="none"/>
        </w:rPr>
      </w:pPr>
    </w:p>
    <w:p w14:paraId="321E2752">
      <w:pPr>
        <w:pStyle w:val="24"/>
        <w:rPr>
          <w:rFonts w:hint="eastAsia" w:ascii="宋体" w:hAnsi="宋体" w:eastAsia="宋体" w:cs="宋体"/>
          <w:color w:val="auto"/>
          <w:highlight w:val="none"/>
        </w:rPr>
      </w:pPr>
    </w:p>
    <w:p w14:paraId="27577966">
      <w:pPr>
        <w:rPr>
          <w:rFonts w:hint="eastAsia" w:ascii="宋体" w:hAnsi="宋体" w:eastAsia="宋体" w:cs="宋体"/>
          <w:color w:val="auto"/>
          <w:highlight w:val="none"/>
        </w:rPr>
      </w:pPr>
    </w:p>
    <w:p w14:paraId="0746D6B2">
      <w:pPr>
        <w:tabs>
          <w:tab w:val="left" w:pos="1985"/>
          <w:tab w:val="left" w:pos="4860"/>
        </w:tabs>
        <w:spacing w:line="600" w:lineRule="exact"/>
        <w:ind w:left="2618" w:leftChars="450" w:right="-142" w:hanging="1673" w:hangingChars="417"/>
        <w:jc w:val="left"/>
        <w:rPr>
          <w:rFonts w:hint="eastAsia" w:ascii="宋体" w:hAnsi="宋体" w:eastAsia="宋体" w:cs="宋体"/>
          <w:b/>
          <w:color w:val="auto"/>
          <w:spacing w:val="40"/>
          <w:sz w:val="32"/>
          <w:szCs w:val="32"/>
          <w:highlight w:val="none"/>
          <w:lang w:eastAsia="zh-CN"/>
        </w:rPr>
      </w:pPr>
      <w:r>
        <w:rPr>
          <w:rFonts w:hint="eastAsia" w:ascii="宋体" w:hAnsi="宋体" w:eastAsia="宋体" w:cs="宋体"/>
          <w:b/>
          <w:color w:val="auto"/>
          <w:spacing w:val="40"/>
          <w:sz w:val="32"/>
          <w:szCs w:val="32"/>
          <w:highlight w:val="none"/>
          <w:lang w:eastAsia="zh-CN"/>
        </w:rPr>
        <w:t>项目编号：WYJZHFW2026004</w:t>
      </w:r>
      <w:r>
        <w:rPr>
          <w:rFonts w:hint="eastAsia" w:ascii="宋体" w:hAnsi="宋体" w:cs="宋体"/>
          <w:b/>
          <w:color w:val="auto"/>
          <w:spacing w:val="40"/>
          <w:sz w:val="32"/>
          <w:szCs w:val="32"/>
          <w:highlight w:val="none"/>
          <w:lang w:eastAsia="zh-CN"/>
        </w:rPr>
        <w:t>、NYZHFW2026024</w:t>
      </w:r>
    </w:p>
    <w:p w14:paraId="4B0327BA">
      <w:pPr>
        <w:tabs>
          <w:tab w:val="left" w:pos="1985"/>
          <w:tab w:val="left" w:pos="4860"/>
        </w:tabs>
        <w:spacing w:line="600" w:lineRule="exact"/>
        <w:ind w:left="2618" w:leftChars="450" w:right="-142" w:hanging="1673" w:hangingChars="417"/>
        <w:jc w:val="left"/>
        <w:rPr>
          <w:rFonts w:hint="eastAsia" w:ascii="宋体" w:hAnsi="宋体" w:eastAsia="宋体" w:cs="宋体"/>
          <w:b/>
          <w:color w:val="auto"/>
          <w:spacing w:val="40"/>
          <w:sz w:val="32"/>
          <w:szCs w:val="32"/>
          <w:highlight w:val="none"/>
          <w:lang w:eastAsia="zh-CN"/>
        </w:rPr>
      </w:pPr>
      <w:r>
        <w:rPr>
          <w:rFonts w:hint="eastAsia" w:ascii="宋体" w:hAnsi="宋体" w:eastAsia="宋体" w:cs="宋体"/>
          <w:b/>
          <w:color w:val="auto"/>
          <w:spacing w:val="40"/>
          <w:sz w:val="32"/>
          <w:szCs w:val="32"/>
          <w:highlight w:val="none"/>
          <w:lang w:eastAsia="zh-CN"/>
        </w:rPr>
        <w:t>项目名称：</w:t>
      </w:r>
      <w:r>
        <w:rPr>
          <w:rFonts w:hint="eastAsia" w:ascii="宋体" w:hAnsi="宋体" w:cs="宋体"/>
          <w:b/>
          <w:color w:val="auto"/>
          <w:spacing w:val="40"/>
          <w:sz w:val="32"/>
          <w:szCs w:val="32"/>
          <w:highlight w:val="none"/>
          <w:lang w:eastAsia="zh-CN"/>
        </w:rPr>
        <w:t>温州港南岳港务有限公司、温州港益嘉港务有限公司医学媒介生物本底调查服务</w:t>
      </w:r>
    </w:p>
    <w:p w14:paraId="04BDEE95">
      <w:pPr>
        <w:tabs>
          <w:tab w:val="left" w:pos="1985"/>
          <w:tab w:val="left" w:pos="4860"/>
        </w:tabs>
        <w:spacing w:line="600" w:lineRule="exact"/>
        <w:ind w:left="2618" w:leftChars="450" w:right="-142" w:hanging="1673" w:hangingChars="417"/>
        <w:jc w:val="left"/>
        <w:rPr>
          <w:rFonts w:hint="eastAsia" w:ascii="宋体" w:hAnsi="宋体" w:eastAsia="宋体" w:cs="宋体"/>
          <w:b/>
          <w:color w:val="auto"/>
          <w:spacing w:val="40"/>
          <w:sz w:val="32"/>
          <w:szCs w:val="32"/>
          <w:highlight w:val="none"/>
          <w:lang w:eastAsia="zh-CN"/>
        </w:rPr>
      </w:pPr>
      <w:r>
        <w:rPr>
          <w:rFonts w:hint="eastAsia" w:ascii="宋体" w:hAnsi="宋体" w:eastAsia="宋体" w:cs="宋体"/>
          <w:b/>
          <w:color w:val="auto"/>
          <w:spacing w:val="40"/>
          <w:sz w:val="32"/>
          <w:szCs w:val="32"/>
          <w:highlight w:val="none"/>
          <w:lang w:eastAsia="zh-CN"/>
        </w:rPr>
        <w:t>招标方式：公开招标</w:t>
      </w:r>
    </w:p>
    <w:p w14:paraId="1A14FEBE">
      <w:pPr>
        <w:jc w:val="center"/>
        <w:rPr>
          <w:rFonts w:hint="eastAsia" w:ascii="宋体" w:hAnsi="宋体" w:eastAsia="宋体" w:cs="宋体"/>
          <w:b/>
          <w:bCs/>
          <w:color w:val="auto"/>
          <w:sz w:val="24"/>
          <w:highlight w:val="none"/>
        </w:rPr>
      </w:pPr>
    </w:p>
    <w:p w14:paraId="18E9A70F">
      <w:pPr>
        <w:jc w:val="center"/>
        <w:rPr>
          <w:rFonts w:hint="eastAsia" w:ascii="宋体" w:hAnsi="宋体" w:eastAsia="宋体" w:cs="宋体"/>
          <w:b/>
          <w:bCs/>
          <w:color w:val="auto"/>
          <w:sz w:val="24"/>
          <w:highlight w:val="none"/>
        </w:rPr>
      </w:pPr>
    </w:p>
    <w:p w14:paraId="4B551620">
      <w:pPr>
        <w:jc w:val="center"/>
        <w:rPr>
          <w:rFonts w:hint="eastAsia" w:ascii="宋体" w:hAnsi="宋体" w:eastAsia="宋体" w:cs="宋体"/>
          <w:b/>
          <w:bCs/>
          <w:color w:val="auto"/>
          <w:sz w:val="24"/>
          <w:highlight w:val="none"/>
        </w:rPr>
      </w:pPr>
    </w:p>
    <w:p w14:paraId="780D6F8C">
      <w:pPr>
        <w:jc w:val="center"/>
        <w:rPr>
          <w:rFonts w:hint="eastAsia" w:ascii="宋体" w:hAnsi="宋体" w:eastAsia="宋体" w:cs="宋体"/>
          <w:b/>
          <w:bCs/>
          <w:color w:val="auto"/>
          <w:sz w:val="24"/>
          <w:highlight w:val="none"/>
        </w:rPr>
      </w:pPr>
    </w:p>
    <w:p w14:paraId="6D307CFE">
      <w:pPr>
        <w:jc w:val="center"/>
        <w:rPr>
          <w:rFonts w:hint="eastAsia" w:ascii="宋体" w:hAnsi="宋体" w:eastAsia="宋体" w:cs="宋体"/>
          <w:b/>
          <w:bCs/>
          <w:color w:val="auto"/>
          <w:sz w:val="24"/>
          <w:highlight w:val="none"/>
        </w:rPr>
      </w:pPr>
    </w:p>
    <w:p w14:paraId="2699401C">
      <w:pPr>
        <w:pStyle w:val="24"/>
        <w:rPr>
          <w:rFonts w:hint="eastAsia" w:ascii="宋体" w:hAnsi="宋体" w:eastAsia="宋体" w:cs="宋体"/>
          <w:color w:val="auto"/>
          <w:highlight w:val="none"/>
        </w:rPr>
      </w:pPr>
    </w:p>
    <w:p w14:paraId="67177DF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14:paraId="1A748B03">
      <w:pPr>
        <w:tabs>
          <w:tab w:val="left" w:pos="4860"/>
        </w:tabs>
        <w:spacing w:line="600" w:lineRule="exact"/>
        <w:ind w:firstLine="996" w:firstLineChars="249"/>
        <w:rPr>
          <w:rFonts w:hint="eastAsia" w:ascii="宋体" w:hAnsi="宋体" w:eastAsia="宋体" w:cs="宋体"/>
          <w:b w:val="0"/>
          <w:bCs/>
          <w:color w:val="auto"/>
          <w:spacing w:val="40"/>
          <w:sz w:val="32"/>
          <w:szCs w:val="32"/>
          <w:highlight w:val="none"/>
          <w:lang w:eastAsia="zh-CN"/>
        </w:rPr>
      </w:pPr>
      <w:r>
        <w:rPr>
          <w:rFonts w:hint="eastAsia" w:ascii="宋体" w:hAnsi="宋体" w:eastAsia="宋体" w:cs="宋体"/>
          <w:b w:val="0"/>
          <w:bCs/>
          <w:color w:val="auto"/>
          <w:spacing w:val="40"/>
          <w:sz w:val="32"/>
          <w:szCs w:val="32"/>
          <w:highlight w:val="none"/>
          <w:lang w:eastAsia="zh-CN"/>
        </w:rPr>
        <w:t>招标人：</w:t>
      </w:r>
      <w:r>
        <w:rPr>
          <w:rFonts w:hint="eastAsia" w:ascii="宋体" w:hAnsi="宋体" w:cs="宋体"/>
          <w:b w:val="0"/>
          <w:bCs/>
          <w:color w:val="auto"/>
          <w:spacing w:val="40"/>
          <w:sz w:val="32"/>
          <w:szCs w:val="32"/>
          <w:highlight w:val="none"/>
          <w:lang w:eastAsia="zh-CN"/>
        </w:rPr>
        <w:t>温州港南岳港务有限公司</w:t>
      </w:r>
    </w:p>
    <w:p w14:paraId="4F751B1E">
      <w:pPr>
        <w:tabs>
          <w:tab w:val="left" w:pos="4860"/>
        </w:tabs>
        <w:spacing w:line="600" w:lineRule="exact"/>
        <w:ind w:firstLine="996" w:firstLineChars="249"/>
        <w:rPr>
          <w:rFonts w:hint="eastAsia" w:ascii="宋体" w:hAnsi="宋体" w:eastAsia="宋体" w:cs="宋体"/>
          <w:b w:val="0"/>
          <w:bCs/>
          <w:color w:val="auto"/>
          <w:spacing w:val="40"/>
          <w:sz w:val="32"/>
          <w:szCs w:val="32"/>
          <w:highlight w:val="none"/>
          <w:lang w:eastAsia="zh-CN"/>
        </w:rPr>
      </w:pPr>
      <w:r>
        <w:rPr>
          <w:rFonts w:hint="eastAsia" w:ascii="宋体" w:hAnsi="宋体" w:eastAsia="宋体" w:cs="宋体"/>
          <w:b w:val="0"/>
          <w:bCs/>
          <w:color w:val="auto"/>
          <w:spacing w:val="40"/>
          <w:sz w:val="32"/>
          <w:szCs w:val="32"/>
          <w:highlight w:val="none"/>
          <w:lang w:eastAsia="zh-CN"/>
        </w:rPr>
        <w:t xml:space="preserve">招标代理机构：大地工程咨询有限公司 </w:t>
      </w:r>
    </w:p>
    <w:p w14:paraId="266D3154">
      <w:pPr>
        <w:tabs>
          <w:tab w:val="left" w:pos="4860"/>
        </w:tabs>
        <w:spacing w:line="600" w:lineRule="exact"/>
        <w:ind w:right="1143" w:firstLine="3356" w:firstLineChars="1049"/>
        <w:jc w:val="left"/>
        <w:rPr>
          <w:rFonts w:hint="eastAsia" w:ascii="宋体" w:hAnsi="宋体" w:eastAsia="宋体" w:cs="宋体"/>
          <w:color w:val="auto"/>
          <w:sz w:val="32"/>
          <w:szCs w:val="32"/>
          <w:highlight w:val="none"/>
        </w:rPr>
      </w:pPr>
    </w:p>
    <w:p w14:paraId="148902A7">
      <w:pPr>
        <w:spacing w:line="600" w:lineRule="exact"/>
        <w:jc w:val="center"/>
        <w:rPr>
          <w:rFonts w:hint="eastAsia" w:ascii="宋体" w:hAnsi="宋体" w:eastAsia="宋体" w:cs="宋体"/>
          <w:color w:val="auto"/>
          <w:spacing w:val="30"/>
          <w:sz w:val="32"/>
          <w:szCs w:val="32"/>
          <w:highlight w:val="none"/>
        </w:rPr>
      </w:pPr>
      <w:r>
        <w:rPr>
          <w:rFonts w:hint="eastAsia" w:ascii="宋体" w:hAnsi="宋体" w:eastAsia="宋体" w:cs="宋体"/>
          <w:color w:val="auto"/>
          <w:spacing w:val="30"/>
          <w:sz w:val="32"/>
          <w:szCs w:val="32"/>
          <w:highlight w:val="none"/>
        </w:rPr>
        <w:t>二〇二</w:t>
      </w:r>
      <w:r>
        <w:rPr>
          <w:rFonts w:hint="eastAsia" w:ascii="宋体" w:hAnsi="宋体" w:cs="宋体"/>
          <w:color w:val="auto"/>
          <w:spacing w:val="30"/>
          <w:sz w:val="32"/>
          <w:szCs w:val="32"/>
          <w:highlight w:val="none"/>
          <w:lang w:val="en-US" w:eastAsia="zh-CN"/>
        </w:rPr>
        <w:t>六</w:t>
      </w:r>
      <w:r>
        <w:rPr>
          <w:rFonts w:hint="eastAsia" w:ascii="宋体" w:hAnsi="宋体" w:eastAsia="宋体" w:cs="宋体"/>
          <w:color w:val="auto"/>
          <w:spacing w:val="30"/>
          <w:sz w:val="32"/>
          <w:szCs w:val="32"/>
          <w:highlight w:val="none"/>
        </w:rPr>
        <w:t>年</w:t>
      </w:r>
      <w:r>
        <w:rPr>
          <w:rFonts w:hint="eastAsia" w:ascii="宋体" w:hAnsi="宋体" w:cs="宋体"/>
          <w:color w:val="auto"/>
          <w:spacing w:val="30"/>
          <w:sz w:val="32"/>
          <w:szCs w:val="32"/>
          <w:highlight w:val="none"/>
          <w:lang w:val="en-US" w:eastAsia="zh-CN"/>
        </w:rPr>
        <w:t>一</w:t>
      </w:r>
      <w:r>
        <w:rPr>
          <w:rFonts w:hint="eastAsia" w:ascii="宋体" w:hAnsi="宋体" w:eastAsia="宋体" w:cs="宋体"/>
          <w:color w:val="auto"/>
          <w:spacing w:val="30"/>
          <w:sz w:val="32"/>
          <w:szCs w:val="32"/>
          <w:highlight w:val="none"/>
        </w:rPr>
        <w:t>月</w:t>
      </w:r>
    </w:p>
    <w:p w14:paraId="557A873D">
      <w:pPr>
        <w:pStyle w:val="11"/>
        <w:ind w:firstLine="210"/>
        <w:rPr>
          <w:rFonts w:hint="eastAsia" w:ascii="宋体" w:hAnsi="宋体" w:eastAsia="宋体" w:cs="宋体"/>
          <w:color w:val="auto"/>
          <w:highlight w:val="none"/>
        </w:rPr>
      </w:pPr>
    </w:p>
    <w:p w14:paraId="137248E6">
      <w:pPr>
        <w:pStyle w:val="24"/>
        <w:rPr>
          <w:rFonts w:hint="eastAsia" w:ascii="宋体" w:hAnsi="宋体" w:eastAsia="宋体" w:cs="宋体"/>
          <w:color w:val="auto"/>
          <w:highlight w:val="none"/>
        </w:rPr>
      </w:pPr>
    </w:p>
    <w:p w14:paraId="2C0A5408">
      <w:pPr>
        <w:pStyle w:val="24"/>
        <w:rPr>
          <w:rFonts w:hint="eastAsia" w:ascii="宋体" w:hAnsi="宋体" w:eastAsia="宋体" w:cs="宋体"/>
          <w:color w:val="auto"/>
          <w:highlight w:val="none"/>
        </w:rPr>
      </w:pPr>
    </w:p>
    <w:p w14:paraId="32E6C27B">
      <w:pPr>
        <w:snapToGrid w:val="0"/>
        <w:spacing w:line="360" w:lineRule="auto"/>
        <w:ind w:firstLine="525" w:firstLineChars="250"/>
        <w:jc w:val="center"/>
        <w:rPr>
          <w:rFonts w:hint="eastAsia" w:ascii="宋体" w:hAnsi="宋体" w:eastAsia="宋体" w:cs="宋体"/>
          <w:color w:val="auto"/>
          <w:highlight w:val="none"/>
          <w:lang w:val="zh-CN"/>
        </w:rPr>
        <w:sectPr>
          <w:headerReference r:id="rId3" w:type="default"/>
          <w:pgSz w:w="11906" w:h="16838"/>
          <w:pgMar w:top="1418" w:right="1248" w:bottom="1418" w:left="1418" w:header="851" w:footer="992" w:gutter="0"/>
          <w:cols w:space="425" w:num="1"/>
          <w:docGrid w:type="lines" w:linePitch="312" w:charSpace="0"/>
        </w:sectPr>
      </w:pPr>
    </w:p>
    <w:sdt>
      <w:sdtPr>
        <w:rPr>
          <w:rFonts w:hint="eastAsia" w:ascii="宋体" w:hAnsi="宋体" w:eastAsia="宋体" w:cs="宋体"/>
          <w:color w:val="auto"/>
          <w:highlight w:val="none"/>
          <w:lang w:val="zh-CN"/>
        </w:rPr>
        <w:id w:val="389846983"/>
        <w:docPartObj>
          <w:docPartGallery w:val="Table of Contents"/>
          <w:docPartUnique/>
        </w:docPartObj>
      </w:sdtPr>
      <w:sdtEndPr>
        <w:rPr>
          <w:rFonts w:hint="eastAsia" w:ascii="宋体" w:hAnsi="宋体" w:eastAsia="宋体" w:cs="宋体"/>
          <w:color w:val="auto"/>
          <w:sz w:val="24"/>
          <w:highlight w:val="none"/>
          <w:lang w:val="zh-CN"/>
        </w:rPr>
      </w:sdtEndPr>
      <w:sdtContent>
        <w:p w14:paraId="05A85671">
          <w:pPr>
            <w:snapToGrid w:val="0"/>
            <w:spacing w:line="360" w:lineRule="auto"/>
            <w:ind w:firstLine="525" w:firstLineChars="2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E5A954F">
          <w:pPr>
            <w:snapToGrid w:val="0"/>
            <w:spacing w:line="360" w:lineRule="auto"/>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zh-CN"/>
            </w:rPr>
            <w:t>目录</w:t>
          </w:r>
        </w:p>
        <w:p w14:paraId="549500B3">
          <w:pPr>
            <w:pStyle w:val="21"/>
            <w:tabs>
              <w:tab w:val="right" w:leader="dot" w:pos="9203"/>
            </w:tabs>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TOC \o "1-3" \h \z \u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"_Toc50128367"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第一章招标公告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fldChar w:fldCharType="end"/>
          </w:r>
        </w:p>
        <w:p w14:paraId="02940881">
          <w:pPr>
            <w:pStyle w:val="21"/>
            <w:tabs>
              <w:tab w:val="right" w:leader="dot" w:pos="9203"/>
            </w:tabs>
            <w:spacing w:line="48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"_Toc50128368"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第二章招标需求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p>
        <w:p w14:paraId="65579732">
          <w:pPr>
            <w:pStyle w:val="21"/>
            <w:tabs>
              <w:tab w:val="right" w:leader="dot" w:pos="9203"/>
            </w:tabs>
            <w:spacing w:line="480" w:lineRule="auto"/>
            <w:rPr>
              <w:rFonts w:hint="eastAsia" w:ascii="宋体" w:hAnsi="宋体" w:eastAsia="宋体" w:cs="宋体"/>
              <w:color w:val="auto"/>
              <w:sz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"_Toc50128378"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第三章投标人须知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7</w:t>
          </w:r>
          <w:r>
            <w:rPr>
              <w:rFonts w:hint="eastAsia" w:ascii="宋体" w:hAnsi="宋体" w:eastAsia="宋体" w:cs="宋体"/>
              <w:color w:val="auto"/>
              <w:sz w:val="24"/>
              <w:highlight w:val="none"/>
            </w:rPr>
            <w:fldChar w:fldCharType="end"/>
          </w:r>
        </w:p>
        <w:p w14:paraId="31A1F7FB">
          <w:pPr>
            <w:pStyle w:val="21"/>
            <w:tabs>
              <w:tab w:val="right" w:leader="dot" w:pos="9203"/>
            </w:tabs>
            <w:spacing w:line="480" w:lineRule="auto"/>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"_Toc50128379"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10</w:t>
          </w:r>
        </w:p>
        <w:p w14:paraId="24D89268">
          <w:pPr>
            <w:pStyle w:val="21"/>
            <w:tabs>
              <w:tab w:val="right" w:leader="dot" w:pos="9203"/>
            </w:tabs>
            <w:spacing w:line="48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"_Toc50128389"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二招标文件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1</w:t>
          </w:r>
        </w:p>
        <w:p w14:paraId="31D1AF66">
          <w:pPr>
            <w:pStyle w:val="21"/>
            <w:tabs>
              <w:tab w:val="right" w:leader="dot" w:pos="9203"/>
            </w:tabs>
            <w:spacing w:line="48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"_Toc50128390"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三投标文件的编制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2</w:t>
          </w:r>
        </w:p>
        <w:p w14:paraId="64E1F6A8">
          <w:pPr>
            <w:pStyle w:val="21"/>
            <w:tabs>
              <w:tab w:val="right" w:leader="dot" w:pos="9203"/>
            </w:tabs>
            <w:spacing w:line="48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"_Toc50128403"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四重新招标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5</w:t>
          </w:r>
        </w:p>
        <w:p w14:paraId="55706C36">
          <w:pPr>
            <w:pStyle w:val="21"/>
            <w:tabs>
              <w:tab w:val="right" w:leader="dot" w:pos="9203"/>
            </w:tabs>
            <w:spacing w:line="48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"_Toc50128404"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五开标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6</w:t>
          </w:r>
        </w:p>
        <w:p w14:paraId="3DDF2501">
          <w:pPr>
            <w:pStyle w:val="21"/>
            <w:tabs>
              <w:tab w:val="right" w:leader="dot" w:pos="9203"/>
            </w:tabs>
            <w:spacing w:line="48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"_Toc50128404"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六</w:t>
          </w:r>
          <w:r>
            <w:rPr>
              <w:rStyle w:val="29"/>
              <w:rFonts w:hint="eastAsia" w:ascii="宋体" w:hAnsi="宋体" w:eastAsia="宋体" w:cs="宋体"/>
              <w:color w:val="auto"/>
              <w:sz w:val="24"/>
              <w:szCs w:val="24"/>
              <w:highlight w:val="none"/>
            </w:rPr>
            <w:t>评标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6</w:t>
          </w:r>
        </w:p>
        <w:p w14:paraId="176B5635">
          <w:pPr>
            <w:pStyle w:val="21"/>
            <w:tabs>
              <w:tab w:val="right" w:leader="dot" w:pos="9203"/>
            </w:tabs>
            <w:spacing w:line="480" w:lineRule="auto"/>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"_Toc50128407"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第四章评标办法及评分标准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20</w:t>
          </w:r>
        </w:p>
        <w:p w14:paraId="331A3CDC">
          <w:pPr>
            <w:pStyle w:val="21"/>
            <w:tabs>
              <w:tab w:val="right" w:leader="dot" w:pos="9203"/>
            </w:tabs>
            <w:spacing w:line="480" w:lineRule="auto"/>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"_Toc50128408"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第五章合同主要条款</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3</w:t>
          </w:r>
        </w:p>
        <w:p w14:paraId="3A2A17A4">
          <w:pPr>
            <w:pStyle w:val="21"/>
            <w:tabs>
              <w:tab w:val="right" w:leader="dot" w:pos="9203"/>
            </w:tabs>
            <w:spacing w:line="480" w:lineRule="auto"/>
            <w:rPr>
              <w:rFonts w:hint="default" w:ascii="宋体" w:hAnsi="宋体" w:eastAsia="宋体" w:cs="宋体"/>
              <w:color w:val="auto"/>
              <w:sz w:val="24"/>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"_Toc50128410" </w:instrText>
          </w:r>
          <w:r>
            <w:rPr>
              <w:rFonts w:hint="eastAsia" w:ascii="宋体" w:hAnsi="宋体" w:eastAsia="宋体" w:cs="宋体"/>
              <w:color w:val="auto"/>
              <w:highlight w:val="none"/>
            </w:rPr>
            <w:fldChar w:fldCharType="separate"/>
          </w:r>
          <w:r>
            <w:rPr>
              <w:rStyle w:val="29"/>
              <w:rFonts w:hint="eastAsia" w:ascii="宋体" w:hAnsi="宋体" w:eastAsia="宋体" w:cs="宋体"/>
              <w:color w:val="auto"/>
              <w:sz w:val="24"/>
              <w:szCs w:val="24"/>
              <w:highlight w:val="none"/>
            </w:rPr>
            <w:t>第六章投标文件格式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end"/>
          </w:r>
          <w:r>
            <w:rPr>
              <w:rFonts w:hint="eastAsia" w:ascii="宋体" w:hAnsi="宋体" w:cs="宋体"/>
              <w:color w:val="auto"/>
              <w:sz w:val="24"/>
              <w:highlight w:val="none"/>
              <w:lang w:val="en-US" w:eastAsia="zh-CN"/>
            </w:rPr>
            <w:t>40</w:t>
          </w:r>
        </w:p>
        <w:p w14:paraId="53AAEF50">
          <w:pPr>
            <w:spacing w:line="480" w:lineRule="auto"/>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fldChar w:fldCharType="end"/>
          </w:r>
        </w:p>
      </w:sdtContent>
    </w:sdt>
    <w:p w14:paraId="1541DF1B">
      <w:pPr>
        <w:autoSpaceDE w:val="0"/>
        <w:autoSpaceDN w:val="0"/>
        <w:adjustRightInd w:val="0"/>
        <w:spacing w:line="400" w:lineRule="exact"/>
        <w:ind w:left="61" w:right="60"/>
        <w:jc w:val="left"/>
        <w:rPr>
          <w:rFonts w:hint="eastAsia" w:ascii="宋体" w:hAnsi="宋体" w:eastAsia="宋体" w:cs="宋体"/>
          <w:bCs/>
          <w:color w:val="auto"/>
          <w:kern w:val="0"/>
          <w:sz w:val="22"/>
          <w:szCs w:val="22"/>
          <w:highlight w:val="none"/>
          <w:lang w:val="zh-CN"/>
        </w:rPr>
      </w:pPr>
    </w:p>
    <w:p w14:paraId="28A6E9E2">
      <w:pPr>
        <w:pStyle w:val="24"/>
        <w:rPr>
          <w:rFonts w:hint="eastAsia" w:ascii="宋体" w:hAnsi="宋体" w:eastAsia="宋体" w:cs="宋体"/>
          <w:color w:val="auto"/>
          <w:highlight w:val="none"/>
          <w:lang w:val="zh-CN"/>
        </w:rPr>
      </w:pPr>
    </w:p>
    <w:p w14:paraId="4CD54699">
      <w:pPr>
        <w:rPr>
          <w:rFonts w:hint="eastAsia" w:ascii="宋体" w:hAnsi="宋体" w:eastAsia="宋体" w:cs="宋体"/>
          <w:color w:val="auto"/>
          <w:highlight w:val="none"/>
          <w:lang w:val="zh-CN"/>
        </w:rPr>
      </w:pPr>
    </w:p>
    <w:p w14:paraId="35FB06D0">
      <w:pPr>
        <w:spacing w:line="560" w:lineRule="exact"/>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注：招标文件中部分加“★”的条款，为招标的实质性要求和条件，着重提醒各投标人注意，并认真查看招标文件中的每一个条款及要求，因误读招标文件而造成的后果，招标人概不负责。</w:t>
      </w:r>
    </w:p>
    <w:p w14:paraId="3C3B1E73">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br w:type="page"/>
      </w:r>
    </w:p>
    <w:p w14:paraId="756D1F7D">
      <w:pPr>
        <w:pStyle w:val="15"/>
        <w:snapToGrid w:val="0"/>
        <w:spacing w:beforeLines="0" w:after="156" w:line="360" w:lineRule="auto"/>
        <w:jc w:val="center"/>
        <w:outlineLvl w:val="0"/>
        <w:rPr>
          <w:rFonts w:hint="eastAsia" w:ascii="宋体" w:hAnsi="宋体" w:eastAsia="宋体" w:cs="宋体"/>
          <w:b/>
          <w:color w:val="auto"/>
          <w:sz w:val="32"/>
          <w:szCs w:val="32"/>
          <w:highlight w:val="none"/>
        </w:rPr>
      </w:pPr>
      <w:bookmarkStart w:id="1" w:name="_Toc121800400"/>
      <w:r>
        <w:rPr>
          <w:rFonts w:hint="eastAsia" w:ascii="宋体" w:hAnsi="宋体" w:eastAsia="宋体" w:cs="宋体"/>
          <w:b/>
          <w:color w:val="auto"/>
          <w:sz w:val="32"/>
          <w:szCs w:val="32"/>
          <w:highlight w:val="none"/>
        </w:rPr>
        <w:t>第一章招标公告</w:t>
      </w:r>
      <w:bookmarkEnd w:id="0"/>
      <w:bookmarkEnd w:id="1"/>
    </w:p>
    <w:p w14:paraId="71A541F9">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cs="宋体"/>
          <w:color w:val="auto"/>
          <w:sz w:val="21"/>
          <w:szCs w:val="21"/>
          <w:highlight w:val="none"/>
          <w:lang w:eastAsia="zh-CN"/>
        </w:rPr>
        <w:t>温州港南岳港务有限公司</w:t>
      </w:r>
      <w:r>
        <w:rPr>
          <w:rFonts w:hint="eastAsia" w:ascii="宋体" w:hAnsi="宋体" w:eastAsia="宋体" w:cs="宋体"/>
          <w:color w:val="auto"/>
          <w:sz w:val="21"/>
          <w:szCs w:val="21"/>
          <w:highlight w:val="none"/>
        </w:rPr>
        <w:t>的委托，就</w:t>
      </w:r>
      <w:r>
        <w:rPr>
          <w:rFonts w:hint="eastAsia" w:ascii="宋体" w:hAnsi="宋体" w:cs="宋体"/>
          <w:color w:val="auto"/>
          <w:sz w:val="21"/>
          <w:szCs w:val="21"/>
          <w:highlight w:val="none"/>
          <w:lang w:eastAsia="zh-CN"/>
        </w:rPr>
        <w:t>温州港南岳港务有限公司、温州港益嘉港务有限公司医学媒介生物本底调查服务项目</w:t>
      </w:r>
      <w:r>
        <w:rPr>
          <w:rFonts w:hint="eastAsia" w:ascii="宋体" w:hAnsi="宋体" w:eastAsia="宋体" w:cs="宋体"/>
          <w:color w:val="auto"/>
          <w:sz w:val="21"/>
          <w:szCs w:val="21"/>
          <w:highlight w:val="none"/>
        </w:rPr>
        <w:t>进行公开招标，欢迎符合资格条件的投标人前来投标。</w:t>
      </w:r>
    </w:p>
    <w:p w14:paraId="0178C3B5">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一、项目编号：</w:t>
      </w:r>
      <w:r>
        <w:rPr>
          <w:rFonts w:hint="eastAsia" w:ascii="宋体" w:hAnsi="宋体" w:eastAsia="宋体" w:cs="宋体"/>
          <w:b w:val="0"/>
          <w:color w:val="auto"/>
          <w:spacing w:val="0"/>
          <w:sz w:val="21"/>
          <w:szCs w:val="21"/>
          <w:highlight w:val="none"/>
          <w:lang w:eastAsia="zh-CN"/>
        </w:rPr>
        <w:t>WYJZHFW2026004</w:t>
      </w:r>
      <w:r>
        <w:rPr>
          <w:rFonts w:hint="eastAsia" w:ascii="宋体" w:hAnsi="宋体" w:cs="宋体"/>
          <w:b w:val="0"/>
          <w:color w:val="auto"/>
          <w:spacing w:val="0"/>
          <w:sz w:val="21"/>
          <w:szCs w:val="21"/>
          <w:highlight w:val="none"/>
          <w:lang w:eastAsia="zh-CN"/>
        </w:rPr>
        <w:t>、NYZHFW2026024</w:t>
      </w:r>
    </w:p>
    <w:p w14:paraId="0C0811FC">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二、项目名称：</w:t>
      </w:r>
      <w:r>
        <w:rPr>
          <w:rFonts w:hint="eastAsia" w:ascii="宋体" w:hAnsi="宋体" w:cs="宋体"/>
          <w:color w:val="auto"/>
          <w:sz w:val="21"/>
          <w:szCs w:val="21"/>
          <w:highlight w:val="none"/>
          <w:lang w:eastAsia="zh-CN"/>
        </w:rPr>
        <w:t>温州港南岳港务有限公司、温州港益嘉港务有限公司医学媒介生物本底调查服务</w:t>
      </w:r>
    </w:p>
    <w:p w14:paraId="1E28F222">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★三、最高限价：</w:t>
      </w:r>
      <w:r>
        <w:rPr>
          <w:rFonts w:hint="eastAsia" w:ascii="宋体" w:hAnsi="宋体" w:cs="宋体"/>
          <w:color w:val="auto"/>
          <w:sz w:val="21"/>
          <w:szCs w:val="21"/>
          <w:highlight w:val="none"/>
          <w:lang w:val="en-US" w:eastAsia="zh-CN"/>
        </w:rPr>
        <w:t>最高限价20</w:t>
      </w:r>
      <w:r>
        <w:rPr>
          <w:rFonts w:hint="eastAsia" w:ascii="宋体" w:hAnsi="宋体" w:eastAsia="宋体" w:cs="宋体"/>
          <w:color w:val="auto"/>
          <w:sz w:val="21"/>
          <w:szCs w:val="21"/>
          <w:highlight w:val="none"/>
        </w:rPr>
        <w:t>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其中</w:t>
      </w:r>
      <w:r>
        <w:rPr>
          <w:rFonts w:hint="default" w:asciiTheme="minorEastAsia" w:hAnsiTheme="minorEastAsia" w:eastAsiaTheme="minorEastAsia" w:cstheme="minorEastAsia"/>
          <w:color w:val="auto"/>
          <w:szCs w:val="21"/>
          <w:highlight w:val="none"/>
          <w:lang w:val="en-US" w:eastAsia="zh-CN"/>
        </w:rPr>
        <w:t>温州港南岳港务有限公司</w:t>
      </w:r>
      <w:r>
        <w:rPr>
          <w:rFonts w:hint="eastAsia" w:asciiTheme="minorEastAsia" w:hAnsiTheme="minorEastAsia" w:eastAsiaTheme="minorEastAsia" w:cstheme="minorEastAsia"/>
          <w:color w:val="auto"/>
          <w:szCs w:val="21"/>
          <w:highlight w:val="none"/>
          <w:lang w:val="en-US" w:eastAsia="zh-CN"/>
        </w:rPr>
        <w:t>10万元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10万元）</w:t>
      </w:r>
    </w:p>
    <w:p w14:paraId="413F0E22">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cs="宋体"/>
          <w:color w:val="auto"/>
          <w:sz w:val="21"/>
          <w:szCs w:val="21"/>
          <w:highlight w:val="none"/>
          <w:lang w:val="en-US" w:eastAsia="zh-CN"/>
        </w:rPr>
        <w:t>招标内容</w:t>
      </w:r>
      <w:r>
        <w:rPr>
          <w:rFonts w:hint="eastAsia" w:ascii="宋体" w:hAnsi="宋体" w:eastAsia="宋体" w:cs="宋体"/>
          <w:color w:val="auto"/>
          <w:sz w:val="21"/>
          <w:szCs w:val="21"/>
          <w:highlight w:val="none"/>
        </w:rPr>
        <w:t>：根据海关口岸公共卫生核心能力建设的工作要求，制定病媒生物监测及防控方案，并依据方案开展日常监测防控工作，确保符合海关的监管要求。</w:t>
      </w:r>
      <w:r>
        <w:rPr>
          <w:rFonts w:hint="eastAsia" w:ascii="宋体" w:hAnsi="宋体" w:eastAsia="宋体" w:cs="宋体"/>
          <w:color w:val="auto"/>
          <w:sz w:val="21"/>
          <w:szCs w:val="21"/>
          <w:highlight w:val="none"/>
          <w:lang w:val="zh-CN"/>
        </w:rPr>
        <w:t>具体详见招标文件第二章招标需求</w:t>
      </w:r>
      <w:r>
        <w:rPr>
          <w:rFonts w:hint="eastAsia" w:ascii="宋体" w:hAnsi="宋体" w:eastAsia="宋体" w:cs="宋体"/>
          <w:color w:val="auto"/>
          <w:sz w:val="21"/>
          <w:szCs w:val="21"/>
          <w:highlight w:val="none"/>
        </w:rPr>
        <w:t>。</w:t>
      </w:r>
    </w:p>
    <w:p w14:paraId="38A95504">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五、服务期限：2年。</w:t>
      </w:r>
    </w:p>
    <w:p w14:paraId="2701BA1D">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六、招标方式：公开招标</w:t>
      </w:r>
    </w:p>
    <w:p w14:paraId="3B0FB2FC">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★七、投标人资格要求</w:t>
      </w:r>
    </w:p>
    <w:p w14:paraId="37C2D22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（一）投标人的一般条件：</w:t>
      </w:r>
    </w:p>
    <w:p w14:paraId="256D33E6">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7A0A111E">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2、具有履行合同所必需的能力；</w:t>
      </w:r>
    </w:p>
    <w:p w14:paraId="6DE3B60D">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3、具有良好的信誉和健全的财务会计制度；</w:t>
      </w:r>
    </w:p>
    <w:p w14:paraId="10C73DD1">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4、投标人未被列入失信被执行人名单、重大税收违法案件当事人名单、政府采购严重违法失信行为记录名单，信用信息以信用中国网站（www.creditchina.gov.cn）、中国政府采购网（www.ccgp.gov.cn）公布为准；</w:t>
      </w:r>
    </w:p>
    <w:p w14:paraId="6CA25B2E">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5、单位负责人为同一人或者存在控股、管理关系的不同单位，不得参加同一标段投标，否则均按否决投标处理</w:t>
      </w:r>
      <w:r>
        <w:rPr>
          <w:rFonts w:hint="eastAsia" w:ascii="宋体" w:hAnsi="宋体" w:cs="宋体"/>
          <w:color w:val="auto"/>
          <w:sz w:val="21"/>
          <w:szCs w:val="21"/>
          <w:highlight w:val="none"/>
          <w:lang w:eastAsia="zh-CN"/>
        </w:rPr>
        <w:t>；</w:t>
      </w:r>
    </w:p>
    <w:p w14:paraId="5E1AAB47">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（二）投标人的特定条件：</w:t>
      </w:r>
    </w:p>
    <w:p w14:paraId="5A1F9604">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1、投标人须具有海关颁发的《进出境动植物检疫除害处理单位核准证书》，且资质覆盖A、B、C三类；</w:t>
      </w:r>
    </w:p>
    <w:p w14:paraId="163482A2">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2、本项目不允许联合体投标和分包转包，本次招标采用资格后审。</w:t>
      </w:r>
    </w:p>
    <w:p w14:paraId="4C64452B">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八、投标保证金</w:t>
      </w:r>
    </w:p>
    <w:p w14:paraId="43219F2A">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1、金额：（人民币）大写</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仟元整（小写：¥</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000.00）。</w:t>
      </w:r>
    </w:p>
    <w:p w14:paraId="27B0C2F6">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2、投标人应于</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:00 前通过浙江省海港集团电子招标采购平台汇入指定账户。</w:t>
      </w:r>
    </w:p>
    <w:p w14:paraId="14D0C901">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3、投标保证金应通过投标人银行基本账户汇入，否则视为投标保证金无效。</w:t>
      </w:r>
    </w:p>
    <w:p w14:paraId="52EF580A">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九、招标文件的获取</w:t>
      </w:r>
    </w:p>
    <w:p w14:paraId="2EABA8AA">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电子招标投标方式，投标人可访问浙江省海港集团电子招标采购平台，从浙江省海港集团、宁波舟山港集团网站（http://www.zjseaport.com/jtww/）进入阳光工程-电子招标采购平台后进行供应商注册，并下载“浙江海港投标管家”。本项目招标文件和补充（答疑、澄 清）、修改文件均通过“浙江海港投标管家”</w:t>
      </w:r>
      <w:r>
        <w:rPr>
          <w:rFonts w:hint="eastAsia" w:asciiTheme="minorEastAsia" w:hAnsiTheme="minorEastAsia" w:eastAsiaTheme="minorEastAsia" w:cstheme="minorEastAsia"/>
          <w:color w:val="auto"/>
          <w:szCs w:val="21"/>
          <w:highlight w:val="none"/>
          <w:lang w:val="en-US" w:eastAsia="zh-CN"/>
        </w:rPr>
        <w:t>免费</w:t>
      </w:r>
      <w:r>
        <w:rPr>
          <w:rFonts w:hint="eastAsia" w:ascii="宋体" w:hAnsi="宋体" w:eastAsia="宋体" w:cs="宋体"/>
          <w:color w:val="auto"/>
          <w:sz w:val="21"/>
          <w:szCs w:val="21"/>
          <w:highlight w:val="none"/>
        </w:rPr>
        <w:t>下载。</w:t>
      </w:r>
    </w:p>
    <w:p w14:paraId="4D0BCFDA">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2、获取招标文件开始时间：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日8:30，获取招标文件结束时间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日17:00。</w:t>
      </w:r>
    </w:p>
    <w:p w14:paraId="4926F1B0">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3、未取得浙江省海港集团电子招标采购平台数字证书的投标人，投标前应先办理浙江省海港集团电子招标采购平台 CA 数字证书，具体办理指南及下载链接请至浙江省海港集团电子招标采购平台进行查看。</w:t>
      </w:r>
    </w:p>
    <w:p w14:paraId="4DCD68A7">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十、投标截止时间和地点</w:t>
      </w:r>
    </w:p>
    <w:p w14:paraId="32C91197">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1、投标文件递交截止时间：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 xml:space="preserve">年  月  日    时    分（北京时间） </w:t>
      </w:r>
    </w:p>
    <w:p w14:paraId="16A9539B">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2、投标文件递交方式：线上递交（投标管家工具），投标人在投标文件递交时间截止前，将电子投标文件加密后递交至电子招标采购平台。 </w:t>
      </w:r>
    </w:p>
    <w:p w14:paraId="36FC4A45">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逾期送达投标文件，招标人不予受理。</w:t>
      </w:r>
    </w:p>
    <w:p w14:paraId="0006F01F">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十一、开标时间及地点</w:t>
      </w:r>
    </w:p>
    <w:p w14:paraId="07433DB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    时    分（北京时间）</w:t>
      </w:r>
    </w:p>
    <w:p w14:paraId="39181DF2">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2、开标地点：温州市鹿城区瓯江路海港大厦1幢2楼招标采购中心</w:t>
      </w:r>
      <w:r>
        <w:rPr>
          <w:rFonts w:hint="eastAsia" w:ascii="宋体" w:hAnsi="宋体" w:cs="宋体"/>
          <w:color w:val="auto"/>
          <w:sz w:val="21"/>
          <w:szCs w:val="21"/>
          <w:highlight w:val="none"/>
          <w:lang w:eastAsia="zh-CN"/>
        </w:rPr>
        <w:t>。</w:t>
      </w:r>
    </w:p>
    <w:p w14:paraId="37681636">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十二、其他事项</w:t>
      </w:r>
    </w:p>
    <w:p w14:paraId="4470CA28">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1、投标人于投标截止时间之后三十分钟内在“浙江海港投标管家” 工具端—进入项目—开标—远程开标模块，点击“确认开标结果”按钮进行确认，如超时未确认，视作投标人已对开标结果确认无误。</w:t>
      </w:r>
    </w:p>
    <w:p w14:paraId="220A44A0">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2、本项目采用电子招标，中标单位须在明确中标后、获取中标通知书前将相应的交易服务费缴入平台指定的集团账户（在“投标管家”工具中查看），具体收费标准详见招标文件或平台公告。</w:t>
      </w:r>
    </w:p>
    <w:p w14:paraId="5EBD8B85">
      <w:pPr>
        <w:snapToGrid w:val="0"/>
        <w:spacing w:line="426" w:lineRule="exact"/>
        <w:ind w:firstLine="424" w:firstLineChars="202"/>
        <w:rPr>
          <w:rFonts w:hint="default" w:ascii="宋体" w:hAnsi="宋体" w:eastAsia="宋体" w:cs="宋体"/>
          <w:color w:val="auto"/>
          <w:sz w:val="21"/>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本项目由温州港南岳港务有限公司</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联合招标（</w:t>
      </w:r>
      <w:r>
        <w:rPr>
          <w:rFonts w:hint="eastAsia" w:asciiTheme="minorEastAsia" w:hAnsiTheme="minorEastAsia" w:eastAsiaTheme="minorEastAsia" w:cstheme="minorEastAsia"/>
          <w:color w:val="auto"/>
          <w:szCs w:val="21"/>
          <w:highlight w:val="none"/>
          <w:lang w:eastAsia="zh-CN"/>
        </w:rPr>
        <w:t>电子招投标平台的</w:t>
      </w:r>
      <w:r>
        <w:rPr>
          <w:rFonts w:hint="eastAsia" w:asciiTheme="minorEastAsia" w:hAnsiTheme="minorEastAsia" w:eastAsiaTheme="minorEastAsia" w:cstheme="minorEastAsia"/>
          <w:color w:val="auto"/>
          <w:szCs w:val="21"/>
          <w:highlight w:val="none"/>
          <w:lang w:val="en-US" w:eastAsia="zh-CN"/>
        </w:rPr>
        <w:t>招标</w:t>
      </w:r>
      <w:r>
        <w:rPr>
          <w:rFonts w:hint="eastAsia" w:asciiTheme="minorEastAsia" w:hAnsiTheme="minorEastAsia" w:eastAsiaTheme="minorEastAsia" w:cstheme="minorEastAsia"/>
          <w:color w:val="auto"/>
          <w:szCs w:val="21"/>
          <w:highlight w:val="none"/>
          <w:lang w:eastAsia="zh-CN"/>
        </w:rPr>
        <w:t>公告、评标结果公示、中标结果公告、中标通知书的审核及签章相关事宜</w:t>
      </w:r>
      <w:r>
        <w:rPr>
          <w:rFonts w:hint="eastAsia" w:asciiTheme="minorEastAsia" w:hAnsiTheme="minorEastAsia" w:eastAsiaTheme="minorEastAsia" w:cstheme="minorEastAsia"/>
          <w:color w:val="auto"/>
          <w:szCs w:val="21"/>
          <w:highlight w:val="none"/>
          <w:lang w:val="en-US" w:eastAsia="zh-CN"/>
        </w:rPr>
        <w:t>委托</w:t>
      </w:r>
      <w:r>
        <w:rPr>
          <w:rFonts w:hint="eastAsia" w:asciiTheme="minorEastAsia" w:hAnsiTheme="minorEastAsia" w:eastAsiaTheme="minorEastAsia" w:cstheme="minorEastAsia"/>
          <w:color w:val="auto"/>
          <w:szCs w:val="21"/>
          <w:highlight w:val="none"/>
          <w:lang w:eastAsia="zh-CN"/>
        </w:rPr>
        <w:t>温州港南岳港务有限公司负责），中标后由温州港南岳港务有限公司、温州港益嘉港务有限公司分别与中标人签订合同。</w:t>
      </w:r>
    </w:p>
    <w:p w14:paraId="347DD93B">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十三、发布媒介</w:t>
      </w:r>
    </w:p>
    <w:p w14:paraId="0F5C1329">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本次招标公告在浙江海港电子招标采购平台（http://hgdzzb.nbport.com.cn/）、温州港集团有限公司网站（https://www.wzport.com/wzport/wzgzz/sy/index.html）</w:t>
      </w:r>
      <w:r>
        <w:rPr>
          <w:rFonts w:hint="eastAsia" w:asciiTheme="minorEastAsia" w:hAnsiTheme="minorEastAsia" w:eastAsiaTheme="minorEastAsia" w:cstheme="minorEastAsia"/>
          <w:color w:val="auto"/>
          <w:szCs w:val="21"/>
          <w:highlight w:val="none"/>
          <w:lang w:eastAsia="zh-CN"/>
        </w:rPr>
        <w:t>、</w:t>
      </w:r>
      <w:r>
        <w:rPr>
          <w:rFonts w:hint="eastAsia" w:hAnsi="宋体" w:cs="宋体"/>
          <w:kern w:val="2"/>
          <w:sz w:val="21"/>
          <w:szCs w:val="21"/>
          <w:lang w:val="en-US" w:eastAsia="zh-CN"/>
        </w:rPr>
        <w:t>中国采购与招标网（https://www.chinabidding.cn/?utm_term）</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sz w:val="21"/>
          <w:szCs w:val="21"/>
          <w:highlight w:val="none"/>
        </w:rPr>
        <w:t>等网站上发布。</w:t>
      </w:r>
    </w:p>
    <w:p w14:paraId="6F516773">
      <w:pPr>
        <w:spacing w:line="46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十四、联系方式</w:t>
      </w:r>
    </w:p>
    <w:p w14:paraId="367CAB4B">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1、招标人信息</w:t>
      </w:r>
    </w:p>
    <w:p w14:paraId="4451E1BE">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温州港南岳港务有限公司</w:t>
      </w:r>
    </w:p>
    <w:p w14:paraId="71E73F69">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址：浙江省温州市乐清市乐清湾港区沙港路1号</w:t>
      </w:r>
    </w:p>
    <w:p w14:paraId="210229D1">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邓</w:t>
      </w:r>
      <w:r>
        <w:rPr>
          <w:rFonts w:hint="eastAsia" w:ascii="宋体" w:hAnsi="宋体" w:eastAsia="宋体" w:cs="宋体"/>
          <w:color w:val="auto"/>
          <w:sz w:val="21"/>
          <w:szCs w:val="21"/>
          <w:highlight w:val="none"/>
        </w:rPr>
        <w:t>先生</w:t>
      </w:r>
    </w:p>
    <w:p w14:paraId="4AE6C5B4">
      <w:pPr>
        <w:spacing w:line="460" w:lineRule="exact"/>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17785908258</w:t>
      </w:r>
    </w:p>
    <w:p w14:paraId="574F5BF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2、招标组织机构：温州港集团有限公司招标办 </w:t>
      </w:r>
    </w:p>
    <w:p w14:paraId="797FC6C7">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地址：温州市鹿城区瓯江路海港大厦1号楼2004室 </w:t>
      </w:r>
    </w:p>
    <w:p w14:paraId="6B0E5308">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联系人：金先生 </w:t>
      </w:r>
    </w:p>
    <w:p w14:paraId="10036C9C">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联系方式：0577-56688276</w:t>
      </w:r>
    </w:p>
    <w:p w14:paraId="043E9D2D">
      <w:pPr>
        <w:spacing w:line="460" w:lineRule="exact"/>
        <w:ind w:firstLine="420" w:firstLineChars="200"/>
        <w:rPr>
          <w:rFonts w:hint="eastAsia" w:ascii="宋体" w:hAnsi="宋体" w:eastAsia="宋体" w:cs="宋体"/>
          <w:color w:val="auto"/>
          <w:sz w:val="21"/>
          <w:szCs w:val="21"/>
          <w:highlight w:val="none"/>
        </w:rPr>
      </w:pPr>
      <w:bookmarkStart w:id="2" w:name="_Toc28359086"/>
      <w:bookmarkStart w:id="3" w:name="_Toc28359009"/>
      <w:r>
        <w:rPr>
          <w:rFonts w:hint="eastAsia" w:ascii="宋体" w:hAnsi="宋体" w:eastAsia="宋体" w:cs="宋体"/>
          <w:color w:val="auto"/>
          <w:sz w:val="21"/>
          <w:szCs w:val="21"/>
          <w:highlight w:val="none"/>
        </w:rPr>
        <w:t>3、招标代理机构信息</w:t>
      </w:r>
      <w:bookmarkEnd w:id="2"/>
      <w:bookmarkEnd w:id="3"/>
    </w:p>
    <w:p w14:paraId="736E2EB8">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大地工程咨询有限公司</w:t>
      </w:r>
    </w:p>
    <w:p w14:paraId="2CCAFE3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杭州</w:t>
      </w:r>
      <w:r>
        <w:rPr>
          <w:rFonts w:hint="eastAsia" w:ascii="宋体" w:hAnsi="宋体" w:eastAsia="宋体" w:cs="宋体"/>
          <w:color w:val="auto"/>
          <w:sz w:val="21"/>
          <w:szCs w:val="21"/>
          <w:highlight w:val="none"/>
        </w:rPr>
        <w:t>市</w:t>
      </w:r>
      <w:r>
        <w:rPr>
          <w:rFonts w:hint="eastAsia" w:ascii="宋体" w:hAnsi="宋体" w:eastAsia="宋体" w:cs="宋体"/>
          <w:color w:val="auto"/>
          <w:sz w:val="21"/>
          <w:szCs w:val="21"/>
          <w:highlight w:val="none"/>
          <w:lang w:val="en-US" w:eastAsia="zh-CN"/>
        </w:rPr>
        <w:t>拱墅</w:t>
      </w:r>
      <w:r>
        <w:rPr>
          <w:rFonts w:hint="eastAsia" w:ascii="宋体" w:hAnsi="宋体" w:eastAsia="宋体" w:cs="宋体"/>
          <w:color w:val="auto"/>
          <w:sz w:val="21"/>
          <w:szCs w:val="21"/>
          <w:highlight w:val="none"/>
        </w:rPr>
        <w:t>区</w:t>
      </w:r>
      <w:r>
        <w:rPr>
          <w:rFonts w:hint="eastAsia" w:ascii="宋体" w:hAnsi="宋体" w:eastAsia="宋体" w:cs="宋体"/>
          <w:color w:val="auto"/>
          <w:sz w:val="21"/>
          <w:szCs w:val="21"/>
          <w:highlight w:val="none"/>
          <w:lang w:val="en-US" w:eastAsia="zh-CN"/>
        </w:rPr>
        <w:t>上塘</w:t>
      </w:r>
      <w:r>
        <w:rPr>
          <w:rFonts w:hint="eastAsia" w:ascii="宋体" w:hAnsi="宋体" w:eastAsia="宋体" w:cs="宋体"/>
          <w:color w:val="auto"/>
          <w:sz w:val="21"/>
          <w:szCs w:val="21"/>
          <w:highlight w:val="none"/>
        </w:rPr>
        <w:t>路</w:t>
      </w:r>
      <w:r>
        <w:rPr>
          <w:rFonts w:hint="eastAsia" w:ascii="宋体" w:hAnsi="宋体" w:eastAsia="宋体" w:cs="宋体"/>
          <w:color w:val="auto"/>
          <w:sz w:val="21"/>
          <w:szCs w:val="21"/>
          <w:highlight w:val="none"/>
          <w:lang w:val="en-US" w:eastAsia="zh-CN"/>
        </w:rPr>
        <w:t>988</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宸融大厦19</w:t>
      </w:r>
      <w:r>
        <w:rPr>
          <w:rFonts w:hint="eastAsia" w:ascii="宋体" w:hAnsi="宋体" w:eastAsia="宋体" w:cs="宋体"/>
          <w:color w:val="auto"/>
          <w:sz w:val="21"/>
          <w:szCs w:val="21"/>
          <w:highlight w:val="none"/>
        </w:rPr>
        <w:t>楼</w:t>
      </w:r>
    </w:p>
    <w:p w14:paraId="3436F2F6">
      <w:pPr>
        <w:spacing w:line="4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姜丽余</w:t>
      </w:r>
    </w:p>
    <w:p w14:paraId="57A943AD">
      <w:pPr>
        <w:spacing w:line="460" w:lineRule="exact"/>
        <w:ind w:firstLine="420" w:firstLineChars="200"/>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bookmarkStart w:id="4" w:name="_Toc28359087"/>
      <w:bookmarkStart w:id="5" w:name="_Toc28359010"/>
      <w:r>
        <w:rPr>
          <w:rFonts w:hint="eastAsia" w:ascii="宋体" w:hAnsi="宋体" w:cs="宋体"/>
          <w:color w:val="auto"/>
          <w:sz w:val="21"/>
          <w:szCs w:val="21"/>
          <w:highlight w:val="none"/>
          <w:lang w:val="en-US" w:eastAsia="zh-CN"/>
        </w:rPr>
        <w:t>18969160881</w:t>
      </w:r>
      <w:bookmarkStart w:id="84" w:name="_GoBack"/>
      <w:bookmarkEnd w:id="84"/>
    </w:p>
    <w:p w14:paraId="0B20B9AB">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bookmarkEnd w:id="4"/>
      <w:bookmarkEnd w:id="5"/>
      <w:r>
        <w:rPr>
          <w:rFonts w:hint="eastAsia" w:ascii="宋体" w:hAnsi="宋体" w:eastAsia="宋体" w:cs="宋体"/>
          <w:color w:val="auto"/>
          <w:sz w:val="21"/>
          <w:szCs w:val="21"/>
          <w:highlight w:val="none"/>
        </w:rPr>
        <w:t>、招标监督部门：</w:t>
      </w:r>
      <w:r>
        <w:rPr>
          <w:rFonts w:hint="eastAsia" w:ascii="宋体" w:hAnsi="宋体" w:cs="宋体"/>
          <w:color w:val="auto"/>
          <w:sz w:val="21"/>
          <w:szCs w:val="21"/>
          <w:highlight w:val="none"/>
          <w:lang w:eastAsia="zh-CN"/>
        </w:rPr>
        <w:t>温州港南岳港务有限公司纪检小组</w:t>
      </w:r>
    </w:p>
    <w:p w14:paraId="21B4EBFF">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联系方式：0577-55110515</w:t>
      </w:r>
    </w:p>
    <w:p w14:paraId="51E57402">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5、电子招标采购平台咨询电话：0574—27680520</w:t>
      </w:r>
    </w:p>
    <w:p w14:paraId="6A81BF11">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6、CA咨询热线：400—666—4230</w:t>
      </w:r>
    </w:p>
    <w:p w14:paraId="4262EA27">
      <w:pPr>
        <w:widowControl/>
        <w:jc w:val="left"/>
        <w:rPr>
          <w:rFonts w:hint="eastAsia" w:ascii="宋体" w:hAnsi="宋体" w:eastAsia="宋体" w:cs="宋体"/>
          <w:b/>
          <w:color w:val="auto"/>
          <w:kern w:val="0"/>
          <w:sz w:val="32"/>
          <w:szCs w:val="32"/>
          <w:highlight w:val="none"/>
        </w:rPr>
      </w:pPr>
    </w:p>
    <w:p w14:paraId="6F247314">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4A59C15">
      <w:pPr>
        <w:pStyle w:val="15"/>
        <w:snapToGrid w:val="0"/>
        <w:spacing w:before="156" w:after="156" w:line="360" w:lineRule="auto"/>
        <w:jc w:val="center"/>
        <w:outlineLvl w:val="0"/>
        <w:rPr>
          <w:rFonts w:hint="eastAsia" w:ascii="宋体" w:hAnsi="宋体" w:eastAsia="宋体" w:cs="宋体"/>
          <w:b/>
          <w:color w:val="auto"/>
          <w:sz w:val="32"/>
          <w:szCs w:val="32"/>
          <w:highlight w:val="none"/>
        </w:rPr>
      </w:pPr>
      <w:bookmarkStart w:id="6" w:name="_Toc121800401"/>
      <w:r>
        <w:rPr>
          <w:rFonts w:hint="eastAsia" w:ascii="宋体" w:hAnsi="宋体" w:eastAsia="宋体" w:cs="宋体"/>
          <w:b/>
          <w:color w:val="auto"/>
          <w:sz w:val="32"/>
          <w:szCs w:val="32"/>
          <w:highlight w:val="none"/>
        </w:rPr>
        <w:t>第二章招标需求</w:t>
      </w:r>
      <w:bookmarkEnd w:id="6"/>
    </w:p>
    <w:p w14:paraId="171C494C">
      <w:pPr>
        <w:spacing w:line="480" w:lineRule="exact"/>
        <w:ind w:firstLine="422" w:firstLineChars="200"/>
        <w:rPr>
          <w:rFonts w:hint="eastAsia" w:ascii="宋体" w:hAnsi="宋体" w:eastAsia="宋体" w:cs="宋体"/>
          <w:color w:val="auto"/>
          <w:sz w:val="21"/>
          <w:szCs w:val="21"/>
          <w:highlight w:val="none"/>
        </w:rPr>
      </w:pPr>
      <w:bookmarkStart w:id="7" w:name="_Toc121800402"/>
      <w:r>
        <w:rPr>
          <w:rFonts w:hint="eastAsia" w:ascii="宋体" w:hAnsi="宋体" w:eastAsia="宋体" w:cs="宋体"/>
          <w:b/>
          <w:color w:val="auto"/>
          <w:szCs w:val="21"/>
          <w:highlight w:val="none"/>
        </w:rPr>
        <w:t>一、</w:t>
      </w:r>
      <w:r>
        <w:rPr>
          <w:rFonts w:hint="eastAsia" w:ascii="宋体" w:hAnsi="宋体" w:cs="宋体"/>
          <w:b/>
          <w:color w:val="auto"/>
          <w:szCs w:val="21"/>
          <w:highlight w:val="none"/>
          <w:lang w:val="en-US" w:eastAsia="zh-CN"/>
        </w:rPr>
        <w:t>项目概况：</w:t>
      </w:r>
      <w:r>
        <w:rPr>
          <w:rFonts w:hint="eastAsia" w:ascii="宋体" w:hAnsi="宋体" w:cs="宋体"/>
          <w:color w:val="auto"/>
          <w:sz w:val="21"/>
          <w:szCs w:val="21"/>
          <w:highlight w:val="none"/>
          <w:lang w:eastAsia="zh-CN"/>
        </w:rPr>
        <w:t>温州港南岳港务有限公司、温州港益嘉港务有限公司（乐清湾C区一期工程）坐落于温州乐清市南岳镇，共建4个10万吨级公共通用泊位（水工按15万吨级散货船靠泊标准设计建造），配套完善附属设施。码头总长1170米，占用岸线1170米，设计年吞吐量2120万吨、年通过能力2292万吨；配套散货堆场21.3万平方米、件杂货堆场4.8万平方米、钢材仓库0.672万平方米。港区紧邻乐清湾港区临港大道，且通过乐清湾铁路支线衔接金温、浙赣铁路，交通通达便捷，可高效保障大宗散货及件杂货转运需求。</w:t>
      </w:r>
    </w:p>
    <w:p w14:paraId="2E8D5E8F">
      <w:pPr>
        <w:spacing w:line="300" w:lineRule="exact"/>
        <w:jc w:val="left"/>
        <w:rPr>
          <w:rFonts w:hint="default" w:ascii="宋体" w:hAnsi="宋体" w:eastAsia="宋体" w:cs="宋体"/>
          <w:color w:val="auto"/>
          <w:sz w:val="21"/>
          <w:szCs w:val="21"/>
          <w:highlight w:val="none"/>
        </w:rPr>
      </w:pPr>
    </w:p>
    <w:p w14:paraId="03D395CE">
      <w:pPr>
        <w:pStyle w:val="38"/>
        <w:spacing w:line="276" w:lineRule="auto"/>
        <w:ind w:firstLine="422"/>
        <w:rPr>
          <w:rFonts w:hint="default" w:ascii="宋体" w:hAnsi="宋体" w:eastAsia="宋体" w:cs="宋体"/>
          <w:b/>
          <w:color w:val="auto"/>
          <w:szCs w:val="21"/>
          <w:highlight w:val="none"/>
          <w:lang w:val="en-US" w:eastAsia="zh-CN"/>
        </w:rPr>
      </w:pPr>
    </w:p>
    <w:p w14:paraId="5663CFEC">
      <w:pPr>
        <w:pStyle w:val="38"/>
        <w:spacing w:line="276" w:lineRule="auto"/>
        <w:ind w:firstLine="422"/>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二</w:t>
      </w:r>
      <w:r>
        <w:rPr>
          <w:rFonts w:hint="eastAsia" w:ascii="宋体" w:hAnsi="宋体" w:eastAsia="宋体" w:cs="宋体"/>
          <w:b/>
          <w:color w:val="auto"/>
          <w:szCs w:val="21"/>
          <w:highlight w:val="none"/>
        </w:rPr>
        <w:t>、服务需求</w:t>
      </w:r>
    </w:p>
    <w:p w14:paraId="25B945C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（一）根据海关口岸公共卫生核心能力建设的工作要求，制定</w:t>
      </w:r>
      <w:r>
        <w:rPr>
          <w:rFonts w:hint="eastAsia" w:ascii="宋体" w:hAnsi="宋体" w:cs="宋体"/>
          <w:color w:val="auto"/>
          <w:sz w:val="21"/>
          <w:szCs w:val="21"/>
          <w:highlight w:val="none"/>
          <w:lang w:eastAsia="zh-CN"/>
        </w:rPr>
        <w:t>温州港南岳港务有限公司、温州港益嘉港务有限公司</w:t>
      </w:r>
      <w:r>
        <w:rPr>
          <w:rFonts w:hint="eastAsia" w:ascii="宋体" w:hAnsi="宋体" w:eastAsia="宋体" w:cs="宋体"/>
          <w:color w:val="auto"/>
          <w:szCs w:val="21"/>
          <w:highlight w:val="none"/>
        </w:rPr>
        <w:t>病媒生物监测及防控方案，并依据方案开展日常监测防控工作，确保符合海关的监管要求。</w:t>
      </w:r>
    </w:p>
    <w:p w14:paraId="77D85D6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r>
        <w:rPr>
          <w:rFonts w:hint="eastAsia" w:ascii="宋体" w:hAnsi="宋体" w:cs="宋体"/>
          <w:color w:val="auto"/>
          <w:szCs w:val="21"/>
          <w:highlight w:val="none"/>
          <w:lang w:val="en-US" w:eastAsia="zh-CN"/>
        </w:rPr>
        <w:t>一年一次出具</w:t>
      </w:r>
      <w:r>
        <w:rPr>
          <w:rFonts w:hint="eastAsia" w:ascii="宋体" w:hAnsi="宋体" w:eastAsia="宋体" w:cs="宋体"/>
          <w:color w:val="auto"/>
          <w:szCs w:val="21"/>
          <w:highlight w:val="none"/>
        </w:rPr>
        <w:t>口岸病媒生物监测</w:t>
      </w:r>
      <w:r>
        <w:rPr>
          <w:rFonts w:hint="eastAsia" w:ascii="宋体" w:hAnsi="宋体" w:cs="宋体"/>
          <w:color w:val="auto"/>
          <w:szCs w:val="21"/>
          <w:highlight w:val="none"/>
          <w:lang w:val="en-US" w:eastAsia="zh-CN"/>
        </w:rPr>
        <w:t>报告</w:t>
      </w:r>
      <w:r>
        <w:rPr>
          <w:rFonts w:hint="eastAsia" w:ascii="宋体" w:hAnsi="宋体" w:eastAsia="宋体" w:cs="宋体"/>
          <w:color w:val="auto"/>
          <w:szCs w:val="21"/>
          <w:highlight w:val="none"/>
        </w:rPr>
        <w:t>，并通过海关的认可。</w:t>
      </w:r>
    </w:p>
    <w:p w14:paraId="58325A23">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（三）建立专业的病媒生物监测、控制队伍，依据口岸病媒生物控制方案开展日常防控工作，并开展效果评价。</w:t>
      </w:r>
    </w:p>
    <w:p w14:paraId="25A49D45">
      <w:pPr>
        <w:spacing w:before="156" w:before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（四）提供口岸公共卫生核心能力建设考核的相关病媒监控台账资料。</w:t>
      </w:r>
    </w:p>
    <w:p w14:paraId="22E6F148">
      <w:pPr>
        <w:spacing w:before="156" w:beforeLines="50" w:line="276"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eastAsia="宋体" w:cs="宋体"/>
          <w:b/>
          <w:bCs/>
          <w:color w:val="auto"/>
          <w:szCs w:val="21"/>
          <w:highlight w:val="none"/>
        </w:rPr>
        <w:t>、监测方案依据</w:t>
      </w:r>
    </w:p>
    <w:p w14:paraId="28718CBF">
      <w:pPr>
        <w:spacing w:before="156" w:beforeLines="50" w:line="276" w:lineRule="auto"/>
        <w:ind w:firstLine="420" w:firstLineChars="200"/>
        <w:rPr>
          <w:rFonts w:hint="eastAsia" w:ascii="宋体" w:hAnsi="宋体" w:eastAsia="宋体" w:cs="宋体"/>
          <w:bCs/>
          <w:color w:val="auto"/>
          <w:szCs w:val="21"/>
          <w:highlight w:val="none"/>
        </w:rPr>
      </w:pPr>
      <w:bookmarkStart w:id="8" w:name="十二"/>
      <w:bookmarkEnd w:id="8"/>
      <w:r>
        <w:rPr>
          <w:rFonts w:hint="eastAsia" w:ascii="宋体" w:hAnsi="宋体" w:eastAsia="宋体" w:cs="宋体"/>
          <w:bCs/>
          <w:color w:val="auto"/>
          <w:szCs w:val="21"/>
          <w:highlight w:val="none"/>
        </w:rPr>
        <w:t xml:space="preserve"> 海关总署印发的《口岸公共卫生风险监测方案》署卫函（2022）102号</w:t>
      </w:r>
    </w:p>
    <w:p w14:paraId="6E62DAC5">
      <w:pPr>
        <w:spacing w:before="156" w:beforeLines="50" w:line="276"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、监测要求</w:t>
      </w:r>
    </w:p>
    <w:p w14:paraId="1A7018D2">
      <w:pPr>
        <w:spacing w:before="156" w:beforeLines="50"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应使用科学的方法，长期、连续、系统地收集病媒生物，从而获取种类、数量、分布和季节消长等资料，遵循“四定”原则，即“定人员、定时间、定生境和定方法”。</w:t>
      </w:r>
    </w:p>
    <w:p w14:paraId="6F040584">
      <w:pPr>
        <w:spacing w:before="156" w:beforeLines="50"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定人员：监测周期内，监测人员没有特殊情况不得随意更换。</w:t>
      </w:r>
    </w:p>
    <w:p w14:paraId="313B2F09">
      <w:pPr>
        <w:spacing w:before="156" w:beforeLines="50"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定时间：监测周期、频次和器具布放时间，一经确定不得更改，如遇特殊天气可顺延。</w:t>
      </w:r>
    </w:p>
    <w:p w14:paraId="61DAC33F">
      <w:pPr>
        <w:spacing w:before="156" w:beforeLines="50"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定生境：根据国境口岸范围和地貌特点，选择具有代表性生态环境为监测点。在监测周期内，不得随意更改生境。</w:t>
      </w:r>
    </w:p>
    <w:p w14:paraId="4AB86E83">
      <w:pPr>
        <w:spacing w:before="156" w:beforeLines="50" w:line="360" w:lineRule="auto"/>
        <w:ind w:firstLine="420" w:firstLineChars="200"/>
        <w:contextualSpacing/>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定方法：选用适宜的方法，一经确定，不得更改。</w:t>
      </w:r>
    </w:p>
    <w:p w14:paraId="42CC44E4">
      <w:pPr>
        <w:spacing w:before="156" w:beforeLines="50" w:line="276"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eastAsia="宋体" w:cs="宋体"/>
          <w:b/>
          <w:bCs/>
          <w:color w:val="auto"/>
          <w:szCs w:val="21"/>
          <w:highlight w:val="none"/>
        </w:rPr>
        <w:t>、监测对象</w:t>
      </w:r>
    </w:p>
    <w:p w14:paraId="66886989">
      <w:pPr>
        <w:spacing w:before="156" w:beforeLines="50" w:line="276"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鼠类及体表寄生虫（蚤、蜱、螨）、蚊类、蝇类、蜚蠊、游离蜱和蠓类</w:t>
      </w:r>
      <w:r>
        <w:rPr>
          <w:rFonts w:hint="eastAsia" w:ascii="宋体" w:hAnsi="宋体" w:cs="宋体"/>
          <w:bCs/>
          <w:color w:val="auto"/>
          <w:szCs w:val="21"/>
          <w:highlight w:val="none"/>
          <w:lang w:eastAsia="zh-CN"/>
        </w:rPr>
        <w:t>。</w:t>
      </w:r>
    </w:p>
    <w:p w14:paraId="5581D866">
      <w:pPr>
        <w:spacing w:before="156" w:beforeLines="50" w:line="276"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六</w:t>
      </w:r>
      <w:r>
        <w:rPr>
          <w:rFonts w:hint="eastAsia" w:ascii="宋体" w:hAnsi="宋体" w:eastAsia="宋体" w:cs="宋体"/>
          <w:b/>
          <w:bCs/>
          <w:color w:val="auto"/>
          <w:szCs w:val="21"/>
          <w:highlight w:val="none"/>
        </w:rPr>
        <w:t>、监测范围</w:t>
      </w:r>
    </w:p>
    <w:p w14:paraId="7708F927">
      <w:pPr>
        <w:spacing w:before="156" w:beforeLines="50" w:line="27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对外开放码头及周边生活工作区域选取监测点。</w:t>
      </w:r>
    </w:p>
    <w:p w14:paraId="2FDAA660">
      <w:pPr>
        <w:spacing w:before="156" w:beforeLines="50" w:line="276" w:lineRule="auto"/>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七</w:t>
      </w:r>
      <w:r>
        <w:rPr>
          <w:rFonts w:hint="eastAsia" w:ascii="宋体" w:hAnsi="宋体" w:eastAsia="宋体" w:cs="宋体"/>
          <w:b/>
          <w:bCs/>
          <w:color w:val="auto"/>
          <w:szCs w:val="21"/>
          <w:highlight w:val="none"/>
        </w:rPr>
        <w:t>、监测时间</w:t>
      </w:r>
    </w:p>
    <w:p w14:paraId="5006F1D0">
      <w:pPr>
        <w:spacing w:before="156" w:beforeLines="50" w:line="276"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鼠及体表寄生虫监测频次为每季度至少1次，成蚊5-10月每月上下旬各监测1次，伊蚊（诱卵器法）5-10月每月监测1次，蝇类4-10月每月监测1次，游离蜱类4-9月每月监测1次，蜚蠊全年每月监测1次， 蠓类5-10月每月监测1次。</w:t>
      </w:r>
    </w:p>
    <w:p w14:paraId="7C59D351">
      <w:pPr>
        <w:numPr>
          <w:ilvl w:val="-1"/>
          <w:numId w:val="0"/>
        </w:numPr>
        <w:spacing w:before="156" w:beforeLines="50" w:line="276" w:lineRule="auto"/>
        <w:ind w:left="420" w:firstLine="0" w:firstLineChars="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rPr>
        <w:t>监测方法</w:t>
      </w:r>
    </w:p>
    <w:p w14:paraId="1F39E073">
      <w:pPr>
        <w:spacing w:before="156" w:beforeLines="50"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SN/T 1415—2004 国境口岸医学媒介生物控制标准</w:t>
      </w:r>
    </w:p>
    <w:p w14:paraId="009EEA8B">
      <w:pPr>
        <w:spacing w:before="156" w:beforeLines="50"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SN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T 1240-2003 国境口岸鼠类监测规程</w:t>
      </w:r>
    </w:p>
    <w:p w14:paraId="263C1A51">
      <w:pPr>
        <w:spacing w:before="156" w:beforeLines="50"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SN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T 1300-2003 国境口岸蚊类监测规程</w:t>
      </w:r>
    </w:p>
    <w:p w14:paraId="29D9DB9A">
      <w:pPr>
        <w:spacing w:before="156" w:beforeLines="50"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SN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T 1313-2003 国境口岸蝇类监测规程</w:t>
      </w:r>
    </w:p>
    <w:p w14:paraId="6B3FED18">
      <w:pPr>
        <w:spacing w:before="156" w:beforeLines="50" w:line="276"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注：若上述同一标准或规程已颁发新的，则按最新标准或规程执行。</w:t>
      </w:r>
    </w:p>
    <w:p w14:paraId="4D10FC52">
      <w:pPr>
        <w:spacing w:line="276" w:lineRule="auto"/>
        <w:ind w:firstLine="480" w:firstLineChars="200"/>
        <w:rPr>
          <w:rFonts w:hint="eastAsia" w:ascii="宋体" w:hAnsi="宋体" w:eastAsia="宋体" w:cs="宋体"/>
          <w:color w:val="auto"/>
          <w:sz w:val="24"/>
          <w:highlight w:val="none"/>
        </w:rPr>
      </w:pPr>
    </w:p>
    <w:p w14:paraId="337745D4">
      <w:pPr>
        <w:spacing w:line="360" w:lineRule="auto"/>
        <w:ind w:firstLine="480" w:firstLineChars="200"/>
        <w:rPr>
          <w:rFonts w:hint="eastAsia" w:ascii="宋体" w:hAnsi="宋体" w:eastAsia="宋体" w:cs="宋体"/>
          <w:color w:val="auto"/>
          <w:sz w:val="24"/>
          <w:highlight w:val="none"/>
        </w:rPr>
      </w:pPr>
    </w:p>
    <w:p w14:paraId="73C21280">
      <w:pPr>
        <w:pStyle w:val="15"/>
        <w:snapToGrid w:val="0"/>
        <w:spacing w:before="156" w:after="156" w:line="360" w:lineRule="auto"/>
        <w:jc w:val="center"/>
        <w:outlineLvl w:val="0"/>
        <w:rPr>
          <w:rFonts w:hint="eastAsia" w:ascii="宋体" w:hAnsi="宋体" w:eastAsia="宋体" w:cs="宋体"/>
          <w:b/>
          <w:color w:val="auto"/>
          <w:sz w:val="32"/>
          <w:szCs w:val="32"/>
          <w:highlight w:val="none"/>
        </w:rPr>
      </w:pPr>
    </w:p>
    <w:p w14:paraId="388CB551">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3CA000">
      <w:pPr>
        <w:pStyle w:val="15"/>
        <w:snapToGrid w:val="0"/>
        <w:spacing w:before="156" w:after="156"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第三章投标人须知</w:t>
      </w:r>
      <w:bookmarkEnd w:id="7"/>
    </w:p>
    <w:p w14:paraId="1E321AEB">
      <w:pPr>
        <w:ind w:firstLine="442"/>
        <w:jc w:val="center"/>
        <w:outlineLvl w:val="1"/>
        <w:rPr>
          <w:rFonts w:hint="eastAsia" w:ascii="宋体" w:hAnsi="宋体" w:eastAsia="宋体" w:cs="宋体"/>
          <w:b/>
          <w:bCs/>
          <w:color w:val="auto"/>
          <w:sz w:val="22"/>
          <w:szCs w:val="22"/>
          <w:highlight w:val="none"/>
        </w:rPr>
      </w:pPr>
      <w:bookmarkStart w:id="9" w:name="_Toc17547"/>
      <w:bookmarkStart w:id="10" w:name="_Toc31101"/>
      <w:bookmarkStart w:id="11" w:name="_Toc19044"/>
      <w:bookmarkStart w:id="12" w:name="_Toc16571"/>
      <w:bookmarkStart w:id="13" w:name="_Toc13172"/>
      <w:bookmarkStart w:id="14" w:name="_Toc22311"/>
      <w:bookmarkStart w:id="15" w:name="_Toc22374"/>
      <w:bookmarkStart w:id="16" w:name="_Toc15350"/>
      <w:r>
        <w:rPr>
          <w:rFonts w:hint="eastAsia" w:ascii="宋体" w:hAnsi="宋体" w:eastAsia="宋体" w:cs="宋体"/>
          <w:b/>
          <w:bCs/>
          <w:color w:val="auto"/>
          <w:sz w:val="22"/>
          <w:szCs w:val="22"/>
          <w:highlight w:val="none"/>
        </w:rPr>
        <w:t>投标人须知前附表</w:t>
      </w:r>
      <w:bookmarkEnd w:id="9"/>
      <w:bookmarkEnd w:id="10"/>
      <w:bookmarkEnd w:id="11"/>
      <w:bookmarkEnd w:id="12"/>
      <w:bookmarkEnd w:id="13"/>
      <w:bookmarkEnd w:id="14"/>
      <w:bookmarkEnd w:id="15"/>
      <w:bookmarkEnd w:id="16"/>
    </w:p>
    <w:tbl>
      <w:tblPr>
        <w:tblStyle w:val="25"/>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4"/>
        <w:gridCol w:w="1985"/>
        <w:gridCol w:w="6771"/>
      </w:tblGrid>
      <w:tr w14:paraId="6CE75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51B0657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50" w:type="pct"/>
            <w:tcBorders>
              <w:top w:val="single" w:color="auto" w:sz="4" w:space="0"/>
              <w:left w:val="single" w:color="auto" w:sz="4" w:space="0"/>
              <w:bottom w:val="single" w:color="auto" w:sz="4" w:space="0"/>
              <w:right w:val="single" w:color="auto" w:sz="4" w:space="0"/>
            </w:tcBorders>
            <w:vAlign w:val="center"/>
          </w:tcPr>
          <w:p w14:paraId="51A9875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3582" w:type="pct"/>
            <w:tcBorders>
              <w:top w:val="single" w:color="auto" w:sz="4" w:space="0"/>
              <w:left w:val="single" w:color="auto" w:sz="4" w:space="0"/>
              <w:bottom w:val="single" w:color="auto" w:sz="4" w:space="0"/>
              <w:right w:val="single" w:color="auto" w:sz="4" w:space="0"/>
            </w:tcBorders>
            <w:vAlign w:val="center"/>
          </w:tcPr>
          <w:p w14:paraId="40875EE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21EB8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7" w:type="pct"/>
            <w:tcBorders>
              <w:top w:val="single" w:color="auto" w:sz="4" w:space="0"/>
              <w:left w:val="single" w:color="auto" w:sz="4" w:space="0"/>
              <w:bottom w:val="single" w:color="auto" w:sz="4" w:space="0"/>
              <w:right w:val="single" w:color="auto" w:sz="4" w:space="0"/>
            </w:tcBorders>
            <w:vAlign w:val="center"/>
          </w:tcPr>
          <w:p w14:paraId="3A5962A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50" w:type="pct"/>
            <w:tcBorders>
              <w:top w:val="single" w:color="auto" w:sz="4" w:space="0"/>
              <w:left w:val="single" w:color="auto" w:sz="4" w:space="0"/>
              <w:bottom w:val="single" w:color="auto" w:sz="4" w:space="0"/>
              <w:right w:val="single" w:color="auto" w:sz="4" w:space="0"/>
            </w:tcBorders>
            <w:vAlign w:val="center"/>
          </w:tcPr>
          <w:p w14:paraId="28B9C23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3582" w:type="pct"/>
            <w:tcBorders>
              <w:top w:val="single" w:color="auto" w:sz="4" w:space="0"/>
              <w:left w:val="single" w:color="auto" w:sz="4" w:space="0"/>
              <w:bottom w:val="single" w:color="auto" w:sz="4" w:space="0"/>
              <w:right w:val="single" w:color="auto" w:sz="4" w:space="0"/>
            </w:tcBorders>
            <w:vAlign w:val="center"/>
          </w:tcPr>
          <w:p w14:paraId="66DCDDCF">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温州港南岳港务有限公司、温州港益嘉港务有限公司</w:t>
            </w:r>
            <w:r>
              <w:rPr>
                <w:rFonts w:hint="eastAsia" w:ascii="宋体" w:hAnsi="宋体" w:eastAsia="宋体" w:cs="宋体"/>
                <w:color w:val="auto"/>
                <w:sz w:val="21"/>
                <w:szCs w:val="21"/>
                <w:highlight w:val="none"/>
                <w:lang w:eastAsia="zh-CN"/>
              </w:rPr>
              <w:t>医学媒介生物本底调查服务项目</w:t>
            </w:r>
          </w:p>
        </w:tc>
      </w:tr>
      <w:tr w14:paraId="43544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2F172D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50" w:type="pct"/>
            <w:tcBorders>
              <w:top w:val="single" w:color="auto" w:sz="4" w:space="0"/>
              <w:left w:val="single" w:color="auto" w:sz="4" w:space="0"/>
              <w:bottom w:val="single" w:color="auto" w:sz="4" w:space="0"/>
              <w:right w:val="single" w:color="auto" w:sz="4" w:space="0"/>
            </w:tcBorders>
            <w:vAlign w:val="center"/>
          </w:tcPr>
          <w:p w14:paraId="648AD8E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3582" w:type="pct"/>
            <w:tcBorders>
              <w:top w:val="single" w:color="auto" w:sz="4" w:space="0"/>
              <w:left w:val="single" w:color="auto" w:sz="4" w:space="0"/>
              <w:bottom w:val="single" w:color="auto" w:sz="4" w:space="0"/>
              <w:right w:val="single" w:color="auto" w:sz="4" w:space="0"/>
            </w:tcBorders>
            <w:vAlign w:val="center"/>
          </w:tcPr>
          <w:p w14:paraId="343E2B36">
            <w:pPr>
              <w:rPr>
                <w:rFonts w:hint="eastAsia" w:ascii="宋体" w:hAnsi="宋体" w:eastAsia="宋体" w:cs="宋体"/>
                <w:color w:val="auto"/>
                <w:sz w:val="21"/>
                <w:szCs w:val="21"/>
                <w:highlight w:val="none"/>
              </w:rPr>
            </w:pPr>
            <w:r>
              <w:rPr>
                <w:rFonts w:hint="eastAsia" w:ascii="宋体" w:hAnsi="宋体" w:eastAsia="宋体" w:cs="宋体"/>
                <w:b w:val="0"/>
                <w:color w:val="auto"/>
                <w:spacing w:val="0"/>
                <w:sz w:val="21"/>
                <w:szCs w:val="21"/>
                <w:highlight w:val="none"/>
                <w:lang w:eastAsia="zh-CN"/>
              </w:rPr>
              <w:t>WYJZHFW2026004</w:t>
            </w:r>
            <w:r>
              <w:rPr>
                <w:rFonts w:hint="eastAsia" w:ascii="宋体" w:hAnsi="宋体" w:cs="宋体"/>
                <w:b w:val="0"/>
                <w:color w:val="auto"/>
                <w:spacing w:val="0"/>
                <w:sz w:val="21"/>
                <w:szCs w:val="21"/>
                <w:highlight w:val="none"/>
                <w:lang w:eastAsia="zh-CN"/>
              </w:rPr>
              <w:t>、NYZHFW2026024</w:t>
            </w:r>
          </w:p>
        </w:tc>
      </w:tr>
      <w:tr w14:paraId="4A22A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5582BD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50" w:type="pct"/>
            <w:tcBorders>
              <w:top w:val="single" w:color="auto" w:sz="4" w:space="0"/>
              <w:left w:val="single" w:color="auto" w:sz="4" w:space="0"/>
              <w:bottom w:val="single" w:color="auto" w:sz="4" w:space="0"/>
              <w:right w:val="single" w:color="auto" w:sz="4" w:space="0"/>
            </w:tcBorders>
            <w:vAlign w:val="center"/>
          </w:tcPr>
          <w:p w14:paraId="6E7522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招标内容</w:t>
            </w:r>
          </w:p>
        </w:tc>
        <w:tc>
          <w:tcPr>
            <w:tcW w:w="3582" w:type="pct"/>
            <w:tcBorders>
              <w:top w:val="single" w:color="auto" w:sz="4" w:space="0"/>
              <w:left w:val="single" w:color="auto" w:sz="4" w:space="0"/>
              <w:bottom w:val="single" w:color="auto" w:sz="4" w:space="0"/>
              <w:right w:val="single" w:color="auto" w:sz="4" w:space="0"/>
            </w:tcBorders>
            <w:vAlign w:val="center"/>
          </w:tcPr>
          <w:p w14:paraId="0BEBBA7B">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根据海关口岸公共卫生核心能力建设的工作要求，制定病媒生物监测及防控方案，并依据方案开展日常监测防控工作，确保符合海关的监管要求。</w:t>
            </w:r>
            <w:r>
              <w:rPr>
                <w:rFonts w:hint="eastAsia" w:ascii="宋体" w:hAnsi="宋体" w:eastAsia="宋体" w:cs="宋体"/>
                <w:color w:val="auto"/>
                <w:sz w:val="21"/>
                <w:szCs w:val="21"/>
                <w:highlight w:val="none"/>
                <w:lang w:val="zh-CN"/>
              </w:rPr>
              <w:t>具体详见招标文件第二章招标需求</w:t>
            </w:r>
            <w:r>
              <w:rPr>
                <w:rFonts w:hint="eastAsia" w:ascii="宋体" w:hAnsi="宋体" w:cs="宋体"/>
                <w:color w:val="auto"/>
                <w:sz w:val="21"/>
                <w:szCs w:val="21"/>
                <w:highlight w:val="none"/>
                <w:lang w:val="zh-CN"/>
              </w:rPr>
              <w:t>。</w:t>
            </w:r>
          </w:p>
        </w:tc>
      </w:tr>
      <w:tr w14:paraId="527AE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4505DEB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50" w:type="pct"/>
            <w:tcBorders>
              <w:top w:val="single" w:color="auto" w:sz="4" w:space="0"/>
              <w:left w:val="single" w:color="auto" w:sz="4" w:space="0"/>
              <w:bottom w:val="single" w:color="auto" w:sz="4" w:space="0"/>
              <w:right w:val="single" w:color="auto" w:sz="4" w:space="0"/>
            </w:tcBorders>
            <w:vAlign w:val="center"/>
          </w:tcPr>
          <w:p w14:paraId="7E47FC3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3582" w:type="pct"/>
            <w:tcBorders>
              <w:top w:val="single" w:color="auto" w:sz="4" w:space="0"/>
              <w:left w:val="single" w:color="auto" w:sz="4" w:space="0"/>
              <w:bottom w:val="single" w:color="auto" w:sz="4" w:space="0"/>
              <w:right w:val="single" w:color="auto" w:sz="4" w:space="0"/>
            </w:tcBorders>
            <w:vAlign w:val="center"/>
          </w:tcPr>
          <w:p w14:paraId="42E0E72D">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最高限价2</w:t>
            </w:r>
            <w:r>
              <w:rPr>
                <w:rFonts w:hint="eastAsia" w:ascii="宋体" w:hAnsi="宋体" w:eastAsia="宋体" w:cs="宋体"/>
                <w:color w:val="auto"/>
                <w:sz w:val="21"/>
                <w:szCs w:val="21"/>
                <w:highlight w:val="none"/>
              </w:rPr>
              <w:t>0万元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其中</w:t>
            </w:r>
            <w:r>
              <w:rPr>
                <w:rFonts w:hint="default" w:asciiTheme="minorEastAsia" w:hAnsiTheme="minorEastAsia" w:eastAsiaTheme="minorEastAsia" w:cstheme="minorEastAsia"/>
                <w:color w:val="auto"/>
                <w:szCs w:val="21"/>
                <w:highlight w:val="none"/>
                <w:lang w:val="en-US" w:eastAsia="zh-CN"/>
              </w:rPr>
              <w:t>温州港南岳港务有限公司</w:t>
            </w:r>
            <w:r>
              <w:rPr>
                <w:rFonts w:hint="eastAsia" w:asciiTheme="minorEastAsia" w:hAnsiTheme="minorEastAsia" w:eastAsiaTheme="minorEastAsia" w:cstheme="minorEastAsia"/>
                <w:color w:val="auto"/>
                <w:szCs w:val="21"/>
                <w:highlight w:val="none"/>
                <w:lang w:val="en-US" w:eastAsia="zh-CN"/>
              </w:rPr>
              <w:t>10万元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10万元）</w:t>
            </w:r>
            <w:r>
              <w:rPr>
                <w:rFonts w:hint="eastAsia" w:ascii="宋体" w:hAnsi="宋体" w:eastAsia="宋体" w:cs="宋体"/>
                <w:color w:val="auto"/>
                <w:sz w:val="21"/>
                <w:szCs w:val="21"/>
                <w:highlight w:val="none"/>
              </w:rPr>
              <w:t>。</w:t>
            </w:r>
          </w:p>
        </w:tc>
      </w:tr>
      <w:tr w14:paraId="4774A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480E73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50" w:type="pct"/>
            <w:tcBorders>
              <w:top w:val="single" w:color="auto" w:sz="4" w:space="0"/>
              <w:left w:val="single" w:color="auto" w:sz="4" w:space="0"/>
              <w:bottom w:val="single" w:color="auto" w:sz="4" w:space="0"/>
              <w:right w:val="single" w:color="auto" w:sz="4" w:space="0"/>
            </w:tcBorders>
            <w:vAlign w:val="center"/>
          </w:tcPr>
          <w:p w14:paraId="0111866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3582" w:type="pct"/>
            <w:tcBorders>
              <w:top w:val="single" w:color="auto" w:sz="4" w:space="0"/>
              <w:left w:val="single" w:color="auto" w:sz="4" w:space="0"/>
              <w:bottom w:val="single" w:color="auto" w:sz="4" w:space="0"/>
              <w:right w:val="single" w:color="auto" w:sz="4" w:space="0"/>
            </w:tcBorders>
            <w:vAlign w:val="center"/>
          </w:tcPr>
          <w:p w14:paraId="121557B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2年。</w:t>
            </w:r>
          </w:p>
        </w:tc>
      </w:tr>
      <w:tr w14:paraId="0E869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59CF06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50" w:type="pct"/>
            <w:tcBorders>
              <w:top w:val="single" w:color="auto" w:sz="4" w:space="0"/>
              <w:left w:val="single" w:color="auto" w:sz="4" w:space="0"/>
              <w:bottom w:val="single" w:color="auto" w:sz="4" w:space="0"/>
              <w:right w:val="single" w:color="auto" w:sz="4" w:space="0"/>
            </w:tcBorders>
            <w:vAlign w:val="center"/>
          </w:tcPr>
          <w:p w14:paraId="596B56C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投标人资格要求</w:t>
            </w:r>
          </w:p>
        </w:tc>
        <w:tc>
          <w:tcPr>
            <w:tcW w:w="3582" w:type="pct"/>
            <w:tcBorders>
              <w:top w:val="single" w:color="auto" w:sz="4" w:space="0"/>
              <w:left w:val="single" w:color="auto" w:sz="4" w:space="0"/>
              <w:bottom w:val="single" w:color="auto" w:sz="4" w:space="0"/>
              <w:right w:val="single" w:color="auto" w:sz="4" w:space="0"/>
            </w:tcBorders>
            <w:vAlign w:val="center"/>
          </w:tcPr>
          <w:p w14:paraId="0F84A05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E706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102A09A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50" w:type="pct"/>
            <w:tcBorders>
              <w:top w:val="single" w:color="auto" w:sz="4" w:space="0"/>
              <w:left w:val="single" w:color="auto" w:sz="4" w:space="0"/>
              <w:bottom w:val="single" w:color="auto" w:sz="4" w:space="0"/>
              <w:right w:val="single" w:color="auto" w:sz="4" w:space="0"/>
            </w:tcBorders>
            <w:vAlign w:val="center"/>
          </w:tcPr>
          <w:p w14:paraId="7CAFF01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3582" w:type="pct"/>
            <w:tcBorders>
              <w:top w:val="single" w:color="auto" w:sz="4" w:space="0"/>
              <w:left w:val="single" w:color="auto" w:sz="4" w:space="0"/>
              <w:bottom w:val="single" w:color="auto" w:sz="4" w:space="0"/>
              <w:right w:val="single" w:color="auto" w:sz="4" w:space="0"/>
            </w:tcBorders>
            <w:vAlign w:val="center"/>
          </w:tcPr>
          <w:p w14:paraId="4E7EF434">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00FE"/>
            </w:r>
            <w:r>
              <w:rPr>
                <w:rFonts w:hint="eastAsia" w:ascii="宋体" w:hAnsi="宋体" w:eastAsia="宋体" w:cs="宋体"/>
                <w:color w:val="auto"/>
                <w:sz w:val="21"/>
                <w:szCs w:val="21"/>
                <w:highlight w:val="none"/>
              </w:rPr>
              <w:t>不接受</w:t>
            </w:r>
          </w:p>
          <w:p w14:paraId="62BC55FF">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00A8"/>
            </w:r>
            <w:r>
              <w:rPr>
                <w:rFonts w:hint="eastAsia" w:ascii="宋体" w:hAnsi="宋体" w:eastAsia="宋体" w:cs="宋体"/>
                <w:color w:val="auto"/>
                <w:sz w:val="21"/>
                <w:szCs w:val="21"/>
                <w:highlight w:val="none"/>
              </w:rPr>
              <w:t>接受，应满足下列要求：无。</w:t>
            </w:r>
          </w:p>
        </w:tc>
      </w:tr>
      <w:tr w14:paraId="73FD8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711B0B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050" w:type="pct"/>
            <w:tcBorders>
              <w:top w:val="single" w:color="auto" w:sz="4" w:space="0"/>
              <w:left w:val="single" w:color="auto" w:sz="4" w:space="0"/>
              <w:bottom w:val="single" w:color="auto" w:sz="4" w:space="0"/>
              <w:right w:val="single" w:color="auto" w:sz="4" w:space="0"/>
            </w:tcBorders>
            <w:vAlign w:val="center"/>
          </w:tcPr>
          <w:p w14:paraId="25DABED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公告媒体</w:t>
            </w:r>
          </w:p>
        </w:tc>
        <w:tc>
          <w:tcPr>
            <w:tcW w:w="3582" w:type="pct"/>
            <w:tcBorders>
              <w:top w:val="single" w:color="auto" w:sz="4" w:space="0"/>
              <w:left w:val="single" w:color="auto" w:sz="4" w:space="0"/>
              <w:bottom w:val="single" w:color="auto" w:sz="4" w:space="0"/>
              <w:right w:val="single" w:color="auto" w:sz="4" w:space="0"/>
            </w:tcBorders>
            <w:vAlign w:val="center"/>
          </w:tcPr>
          <w:p w14:paraId="4F6375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浙江海港电子招标采购平台（http：//hgdzzb.nbport.com.cn/）、</w:t>
            </w:r>
          </w:p>
          <w:p w14:paraId="48443B0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温州港集团有限公司网站</w:t>
            </w:r>
          </w:p>
          <w:p w14:paraId="5FFBD99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（https://www.wzport.com/wzport/wzgzz/sy/index.html）</w:t>
            </w:r>
            <w:r>
              <w:rPr>
                <w:rFonts w:hint="eastAsia" w:asciiTheme="minorEastAsia" w:hAnsiTheme="minorEastAsia" w:eastAsiaTheme="minorEastAsia" w:cstheme="minorEastAsia"/>
                <w:color w:val="auto"/>
                <w:sz w:val="21"/>
                <w:szCs w:val="21"/>
                <w:highlight w:val="none"/>
              </w:rPr>
              <w:t>、</w:t>
            </w:r>
            <w:r>
              <w:rPr>
                <w:rFonts w:hint="eastAsia" w:hAnsi="宋体" w:cs="宋体"/>
                <w:kern w:val="2"/>
                <w:sz w:val="21"/>
                <w:szCs w:val="21"/>
                <w:lang w:val="en-US" w:eastAsia="zh-CN"/>
              </w:rPr>
              <w:t>中国采购与招标网（https://www.chinabidding.cn/?utm_term）</w:t>
            </w:r>
            <w:r>
              <w:rPr>
                <w:rFonts w:hint="eastAsia" w:ascii="宋体" w:hAnsi="宋体" w:eastAsia="宋体" w:cs="宋体"/>
                <w:color w:val="auto"/>
                <w:sz w:val="21"/>
                <w:szCs w:val="21"/>
                <w:highlight w:val="none"/>
              </w:rPr>
              <w:t>。</w:t>
            </w:r>
          </w:p>
        </w:tc>
      </w:tr>
      <w:tr w14:paraId="473AD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35AAD01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050" w:type="pct"/>
            <w:tcBorders>
              <w:top w:val="single" w:color="auto" w:sz="4" w:space="0"/>
              <w:left w:val="single" w:color="auto" w:sz="4" w:space="0"/>
              <w:bottom w:val="single" w:color="auto" w:sz="4" w:space="0"/>
              <w:right w:val="single" w:color="auto" w:sz="4" w:space="0"/>
            </w:tcBorders>
            <w:vAlign w:val="center"/>
          </w:tcPr>
          <w:p w14:paraId="456747B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投标货币</w:t>
            </w:r>
          </w:p>
        </w:tc>
        <w:tc>
          <w:tcPr>
            <w:tcW w:w="3582" w:type="pct"/>
            <w:tcBorders>
              <w:top w:val="single" w:color="auto" w:sz="4" w:space="0"/>
              <w:left w:val="single" w:color="auto" w:sz="4" w:space="0"/>
              <w:bottom w:val="single" w:color="auto" w:sz="4" w:space="0"/>
              <w:right w:val="single" w:color="auto" w:sz="4" w:space="0"/>
            </w:tcBorders>
            <w:vAlign w:val="center"/>
          </w:tcPr>
          <w:p w14:paraId="14421A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p>
        </w:tc>
      </w:tr>
      <w:tr w14:paraId="2AA6E6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320322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050" w:type="pct"/>
            <w:tcBorders>
              <w:top w:val="single" w:color="auto" w:sz="4" w:space="0"/>
              <w:left w:val="single" w:color="auto" w:sz="4" w:space="0"/>
              <w:bottom w:val="single" w:color="auto" w:sz="4" w:space="0"/>
              <w:right w:val="single" w:color="auto" w:sz="4" w:space="0"/>
            </w:tcBorders>
            <w:vAlign w:val="center"/>
          </w:tcPr>
          <w:p w14:paraId="2E208A5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投标语言</w:t>
            </w:r>
          </w:p>
        </w:tc>
        <w:tc>
          <w:tcPr>
            <w:tcW w:w="3582" w:type="pct"/>
            <w:tcBorders>
              <w:top w:val="single" w:color="auto" w:sz="4" w:space="0"/>
              <w:left w:val="single" w:color="auto" w:sz="4" w:space="0"/>
              <w:bottom w:val="single" w:color="auto" w:sz="4" w:space="0"/>
              <w:right w:val="single" w:color="auto" w:sz="4" w:space="0"/>
            </w:tcBorders>
            <w:vAlign w:val="center"/>
          </w:tcPr>
          <w:p w14:paraId="562EF8C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中文</w:t>
            </w:r>
          </w:p>
        </w:tc>
      </w:tr>
      <w:tr w14:paraId="39801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7" w:type="pct"/>
            <w:tcBorders>
              <w:top w:val="single" w:color="auto" w:sz="4" w:space="0"/>
              <w:left w:val="single" w:color="auto" w:sz="4" w:space="0"/>
              <w:bottom w:val="single" w:color="auto" w:sz="4" w:space="0"/>
              <w:right w:val="single" w:color="auto" w:sz="4" w:space="0"/>
            </w:tcBorders>
            <w:vAlign w:val="center"/>
          </w:tcPr>
          <w:p w14:paraId="2BC000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50" w:type="pct"/>
            <w:tcBorders>
              <w:top w:val="single" w:color="auto" w:sz="4" w:space="0"/>
              <w:left w:val="single" w:color="auto" w:sz="4" w:space="0"/>
              <w:bottom w:val="single" w:color="auto" w:sz="4" w:space="0"/>
              <w:right w:val="single" w:color="auto" w:sz="4" w:space="0"/>
            </w:tcBorders>
            <w:vAlign w:val="center"/>
          </w:tcPr>
          <w:p w14:paraId="09F262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582" w:type="pct"/>
            <w:tcBorders>
              <w:top w:val="single" w:color="auto" w:sz="4" w:space="0"/>
              <w:left w:val="single" w:color="auto" w:sz="4" w:space="0"/>
              <w:bottom w:val="single" w:color="auto" w:sz="4" w:space="0"/>
              <w:right w:val="single" w:color="auto" w:sz="4" w:space="0"/>
            </w:tcBorders>
            <w:vAlign w:val="center"/>
          </w:tcPr>
          <w:p w14:paraId="11D3AED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1、本项目投标报价为</w:t>
            </w:r>
            <w:r>
              <w:rPr>
                <w:rFonts w:hint="eastAsia" w:ascii="宋体" w:hAnsi="宋体" w:cs="宋体"/>
                <w:color w:val="auto"/>
                <w:sz w:val="21"/>
                <w:szCs w:val="21"/>
                <w:highlight w:val="none"/>
                <w:lang w:eastAsia="zh-CN"/>
              </w:rPr>
              <w:t>温州港南岳港务有限公司、温州港益嘉港务有限公司医学媒介生物本底调查服务</w:t>
            </w:r>
            <w:r>
              <w:rPr>
                <w:rFonts w:hint="eastAsia" w:ascii="宋体" w:hAnsi="宋体" w:eastAsia="宋体" w:cs="宋体"/>
                <w:color w:val="auto"/>
                <w:sz w:val="21"/>
                <w:szCs w:val="21"/>
                <w:highlight w:val="none"/>
              </w:rPr>
              <w:t>费用报价，实行固定总价包干。</w:t>
            </w:r>
          </w:p>
          <w:p w14:paraId="6771C0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2、不论采购结果如何，投标人均应自行承担所有与投标有关的全部费用。</w:t>
            </w:r>
          </w:p>
        </w:tc>
      </w:tr>
      <w:tr w14:paraId="01182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367" w:type="pct"/>
            <w:tcBorders>
              <w:top w:val="single" w:color="auto" w:sz="4" w:space="0"/>
              <w:left w:val="single" w:color="auto" w:sz="4" w:space="0"/>
              <w:bottom w:val="single" w:color="auto" w:sz="4" w:space="0"/>
              <w:right w:val="single" w:color="auto" w:sz="4" w:space="0"/>
            </w:tcBorders>
            <w:vAlign w:val="center"/>
          </w:tcPr>
          <w:p w14:paraId="699AB6E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050" w:type="pct"/>
            <w:tcBorders>
              <w:top w:val="single" w:color="auto" w:sz="4" w:space="0"/>
              <w:left w:val="single" w:color="auto" w:sz="4" w:space="0"/>
              <w:bottom w:val="single" w:color="auto" w:sz="4" w:space="0"/>
              <w:right w:val="single" w:color="auto" w:sz="4" w:space="0"/>
            </w:tcBorders>
            <w:vAlign w:val="center"/>
          </w:tcPr>
          <w:p w14:paraId="7767432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投标保证金数额</w:t>
            </w:r>
          </w:p>
        </w:tc>
        <w:tc>
          <w:tcPr>
            <w:tcW w:w="3582" w:type="pct"/>
            <w:tcBorders>
              <w:top w:val="single" w:color="auto" w:sz="4" w:space="0"/>
              <w:left w:val="single" w:color="auto" w:sz="4" w:space="0"/>
              <w:bottom w:val="single" w:color="auto" w:sz="4" w:space="0"/>
              <w:right w:val="single" w:color="auto" w:sz="4" w:space="0"/>
            </w:tcBorders>
            <w:vAlign w:val="center"/>
          </w:tcPr>
          <w:p w14:paraId="7090E79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1、投标保证金：人民币</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rPr>
              <w:t>仟元整（¥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000.00）</w:t>
            </w:r>
          </w:p>
          <w:p w14:paraId="44EB6A5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2、投标人应于 </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：00 前通过浙江省海港集团电子招标采购平台汇入指定账户。</w:t>
            </w:r>
          </w:p>
          <w:p w14:paraId="0C9AB931">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3、投标保证金应通过投标人银行基本账户汇入，否则视为投标保证金无效。</w:t>
            </w:r>
          </w:p>
        </w:tc>
      </w:tr>
      <w:tr w14:paraId="66B70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7B9200D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050" w:type="pct"/>
            <w:tcBorders>
              <w:top w:val="single" w:color="auto" w:sz="4" w:space="0"/>
              <w:left w:val="single" w:color="auto" w:sz="4" w:space="0"/>
              <w:bottom w:val="single" w:color="auto" w:sz="4" w:space="0"/>
              <w:right w:val="single" w:color="auto" w:sz="4" w:space="0"/>
            </w:tcBorders>
            <w:vAlign w:val="center"/>
          </w:tcPr>
          <w:p w14:paraId="299A6C2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3582" w:type="pct"/>
            <w:tcBorders>
              <w:top w:val="single" w:color="auto" w:sz="4" w:space="0"/>
              <w:left w:val="single" w:color="auto" w:sz="4" w:space="0"/>
              <w:bottom w:val="single" w:color="auto" w:sz="4" w:space="0"/>
              <w:right w:val="single" w:color="auto" w:sz="4" w:space="0"/>
            </w:tcBorders>
            <w:vAlign w:val="center"/>
          </w:tcPr>
          <w:p w14:paraId="7A03C01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w:t>
            </w:r>
          </w:p>
          <w:p w14:paraId="014BA5FB">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F0FE"/>
            </w:r>
            <w:r>
              <w:rPr>
                <w:rFonts w:hint="eastAsia" w:ascii="宋体" w:hAnsi="宋体" w:eastAsia="宋体" w:cs="宋体"/>
                <w:color w:val="auto"/>
                <w:sz w:val="21"/>
                <w:szCs w:val="21"/>
                <w:highlight w:val="none"/>
              </w:rPr>
              <w:t>不组织</w:t>
            </w:r>
            <w:r>
              <w:rPr>
                <w:rFonts w:hint="eastAsia" w:ascii="宋体" w:hAnsi="宋体" w:eastAsia="宋体" w:cs="宋体"/>
                <w:color w:val="auto"/>
                <w:szCs w:val="21"/>
                <w:highlight w:val="none"/>
              </w:rPr>
              <w:t>由投标人自行决定是否前往，踏勘所产生的费用与责任均由投标人自行承担，与招标人或招标代理机构无涉。</w:t>
            </w:r>
          </w:p>
        </w:tc>
      </w:tr>
      <w:tr w14:paraId="65FB5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2AB09F2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050" w:type="pct"/>
            <w:tcBorders>
              <w:top w:val="single" w:color="auto" w:sz="4" w:space="0"/>
              <w:left w:val="single" w:color="auto" w:sz="4" w:space="0"/>
              <w:bottom w:val="single" w:color="auto" w:sz="4" w:space="0"/>
              <w:right w:val="single" w:color="auto" w:sz="4" w:space="0"/>
            </w:tcBorders>
            <w:vAlign w:val="center"/>
          </w:tcPr>
          <w:p w14:paraId="0EA907A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3582" w:type="pct"/>
            <w:tcBorders>
              <w:top w:val="single" w:color="auto" w:sz="4" w:space="0"/>
              <w:left w:val="single" w:color="auto" w:sz="4" w:space="0"/>
              <w:bottom w:val="single" w:color="auto" w:sz="4" w:space="0"/>
              <w:right w:val="single" w:color="auto" w:sz="4" w:space="0"/>
            </w:tcBorders>
            <w:vAlign w:val="center"/>
          </w:tcPr>
          <w:p w14:paraId="00D2C6E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w:t>
            </w:r>
          </w:p>
          <w:p w14:paraId="3493E9B8">
            <w:pPr>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sym w:font="Wingdings" w:char="F0FE"/>
            </w:r>
            <w:r>
              <w:rPr>
                <w:rFonts w:hint="eastAsia" w:ascii="宋体" w:hAnsi="宋体" w:eastAsia="宋体" w:cs="宋体"/>
                <w:color w:val="auto"/>
                <w:sz w:val="21"/>
                <w:szCs w:val="21"/>
                <w:highlight w:val="none"/>
              </w:rPr>
              <w:t>不召开</w:t>
            </w:r>
          </w:p>
        </w:tc>
      </w:tr>
      <w:tr w14:paraId="1D57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13FF836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50" w:type="pct"/>
            <w:tcBorders>
              <w:top w:val="single" w:color="auto" w:sz="4" w:space="0"/>
              <w:left w:val="single" w:color="auto" w:sz="4" w:space="0"/>
              <w:bottom w:val="single" w:color="auto" w:sz="4" w:space="0"/>
              <w:right w:val="single" w:color="auto" w:sz="4" w:space="0"/>
            </w:tcBorders>
            <w:vAlign w:val="center"/>
          </w:tcPr>
          <w:p w14:paraId="637FD742">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分包与转包</w:t>
            </w:r>
          </w:p>
        </w:tc>
        <w:tc>
          <w:tcPr>
            <w:tcW w:w="3582" w:type="pct"/>
            <w:tcBorders>
              <w:top w:val="single" w:color="auto" w:sz="4" w:space="0"/>
              <w:left w:val="single" w:color="auto" w:sz="4" w:space="0"/>
              <w:bottom w:val="single" w:color="auto" w:sz="4" w:space="0"/>
              <w:right w:val="single" w:color="auto" w:sz="4" w:space="0"/>
            </w:tcBorders>
            <w:vAlign w:val="center"/>
          </w:tcPr>
          <w:p w14:paraId="1590CF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（1）分包：</w:t>
            </w:r>
          </w:p>
          <w:p w14:paraId="7547A43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同意将非主体、非关键性的工作分包。</w:t>
            </w:r>
          </w:p>
          <w:p w14:paraId="583F17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不同意分包。</w:t>
            </w:r>
          </w:p>
          <w:p w14:paraId="18B9CBC2">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（2）转包：本项目不允许转包。</w:t>
            </w:r>
          </w:p>
        </w:tc>
      </w:tr>
      <w:tr w14:paraId="09A44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1DA55FF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050" w:type="pct"/>
            <w:tcBorders>
              <w:top w:val="single" w:color="auto" w:sz="4" w:space="0"/>
              <w:left w:val="single" w:color="auto" w:sz="4" w:space="0"/>
              <w:bottom w:val="single" w:color="auto" w:sz="4" w:space="0"/>
              <w:right w:val="single" w:color="auto" w:sz="4" w:space="0"/>
            </w:tcBorders>
            <w:vAlign w:val="center"/>
          </w:tcPr>
          <w:p w14:paraId="2154DEE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投标文件组成</w:t>
            </w:r>
          </w:p>
        </w:tc>
        <w:tc>
          <w:tcPr>
            <w:tcW w:w="3582" w:type="pct"/>
            <w:tcBorders>
              <w:top w:val="single" w:color="auto" w:sz="4" w:space="0"/>
              <w:left w:val="single" w:color="auto" w:sz="4" w:space="0"/>
              <w:bottom w:val="single" w:color="auto" w:sz="4" w:space="0"/>
              <w:right w:val="single" w:color="auto" w:sz="4" w:space="0"/>
            </w:tcBorders>
            <w:vAlign w:val="center"/>
          </w:tcPr>
          <w:p w14:paraId="1CB8C0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完整的《投标文件》由</w:t>
            </w:r>
            <w:r>
              <w:rPr>
                <w:rFonts w:hint="eastAsia" w:ascii="宋体" w:hAnsi="宋体" w:eastAsia="宋体" w:cs="宋体"/>
                <w:color w:val="auto"/>
                <w:kern w:val="0"/>
                <w:sz w:val="21"/>
                <w:szCs w:val="21"/>
                <w:highlight w:val="none"/>
              </w:rPr>
              <w:t>资格审查文件、商务</w:t>
            </w:r>
            <w:r>
              <w:rPr>
                <w:rFonts w:hint="eastAsia" w:ascii="宋体" w:hAnsi="宋体" w:eastAsia="宋体" w:cs="宋体"/>
                <w:color w:val="auto"/>
                <w:sz w:val="21"/>
                <w:szCs w:val="21"/>
                <w:highlight w:val="none"/>
                <w:lang w:bidi="ar"/>
              </w:rPr>
              <w:t>技术标和价格标</w:t>
            </w:r>
            <w:r>
              <w:rPr>
                <w:rFonts w:hint="eastAsia" w:ascii="宋体" w:hAnsi="宋体" w:eastAsia="宋体" w:cs="宋体"/>
                <w:color w:val="auto"/>
                <w:sz w:val="21"/>
                <w:szCs w:val="21"/>
                <w:highlight w:val="none"/>
              </w:rPr>
              <w:t>构成。</w:t>
            </w:r>
          </w:p>
        </w:tc>
      </w:tr>
      <w:tr w14:paraId="5D0E5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38BF189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050" w:type="pct"/>
            <w:tcBorders>
              <w:top w:val="single" w:color="auto" w:sz="4" w:space="0"/>
              <w:left w:val="single" w:color="auto" w:sz="4" w:space="0"/>
              <w:bottom w:val="single" w:color="auto" w:sz="4" w:space="0"/>
              <w:right w:val="single" w:color="auto" w:sz="4" w:space="0"/>
            </w:tcBorders>
            <w:vAlign w:val="center"/>
          </w:tcPr>
          <w:p w14:paraId="7D6EFD0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投标文件的编制</w:t>
            </w:r>
          </w:p>
        </w:tc>
        <w:tc>
          <w:tcPr>
            <w:tcW w:w="3582" w:type="pct"/>
            <w:tcBorders>
              <w:top w:val="single" w:color="auto" w:sz="4" w:space="0"/>
              <w:left w:val="single" w:color="auto" w:sz="4" w:space="0"/>
              <w:bottom w:val="single" w:color="auto" w:sz="4" w:space="0"/>
              <w:right w:val="single" w:color="auto" w:sz="4" w:space="0"/>
            </w:tcBorders>
            <w:vAlign w:val="center"/>
          </w:tcPr>
          <w:p w14:paraId="6BACD1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投标人应根据招标文件中所提供的格式编制（招标文件未提供格式的，投标人可自拟格式），</w:t>
            </w:r>
            <w:r>
              <w:rPr>
                <w:rFonts w:hint="eastAsia" w:ascii="宋体" w:hAnsi="宋体" w:eastAsia="宋体" w:cs="宋体"/>
                <w:color w:val="auto"/>
                <w:kern w:val="0"/>
                <w:sz w:val="21"/>
                <w:szCs w:val="21"/>
                <w:highlight w:val="none"/>
              </w:rPr>
              <w:t>将电子投标文件加密后递交至电子招标采购平台。</w:t>
            </w:r>
          </w:p>
        </w:tc>
      </w:tr>
      <w:tr w14:paraId="2909C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61C309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050" w:type="pct"/>
            <w:tcBorders>
              <w:top w:val="single" w:color="auto" w:sz="4" w:space="0"/>
              <w:left w:val="single" w:color="auto" w:sz="4" w:space="0"/>
              <w:bottom w:val="single" w:color="auto" w:sz="4" w:space="0"/>
              <w:right w:val="single" w:color="auto" w:sz="4" w:space="0"/>
            </w:tcBorders>
            <w:vAlign w:val="center"/>
          </w:tcPr>
          <w:p w14:paraId="3B73617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投标文件的签章</w:t>
            </w:r>
          </w:p>
        </w:tc>
        <w:tc>
          <w:tcPr>
            <w:tcW w:w="3582" w:type="pct"/>
            <w:tcBorders>
              <w:top w:val="single" w:color="auto" w:sz="4" w:space="0"/>
              <w:left w:val="single" w:color="auto" w:sz="4" w:space="0"/>
              <w:bottom w:val="single" w:color="auto" w:sz="4" w:space="0"/>
              <w:right w:val="single" w:color="auto" w:sz="4" w:space="0"/>
            </w:tcBorders>
            <w:vAlign w:val="center"/>
          </w:tcPr>
          <w:p w14:paraId="1C3647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法人授权代表签字并加盖投标人公章（或电子签章）。</w:t>
            </w:r>
          </w:p>
        </w:tc>
      </w:tr>
      <w:tr w14:paraId="01308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7895CD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050" w:type="pct"/>
            <w:tcBorders>
              <w:top w:val="single" w:color="auto" w:sz="4" w:space="0"/>
              <w:left w:val="single" w:color="auto" w:sz="4" w:space="0"/>
              <w:bottom w:val="single" w:color="auto" w:sz="4" w:space="0"/>
              <w:right w:val="single" w:color="auto" w:sz="4" w:space="0"/>
            </w:tcBorders>
            <w:vAlign w:val="center"/>
          </w:tcPr>
          <w:p w14:paraId="2D3D20DE">
            <w:pPr>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lang w:bidi="ar"/>
              </w:rPr>
              <w:t>投标文件的形式</w:t>
            </w:r>
          </w:p>
        </w:tc>
        <w:tc>
          <w:tcPr>
            <w:tcW w:w="3582" w:type="pct"/>
            <w:tcBorders>
              <w:top w:val="single" w:color="auto" w:sz="4" w:space="0"/>
              <w:left w:val="single" w:color="auto" w:sz="4" w:space="0"/>
              <w:bottom w:val="single" w:color="auto" w:sz="4" w:space="0"/>
              <w:right w:val="single" w:color="auto" w:sz="4" w:space="0"/>
            </w:tcBorders>
            <w:vAlign w:val="center"/>
          </w:tcPr>
          <w:p w14:paraId="7B49AEAF">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00FE"/>
            </w:r>
            <w:r>
              <w:rPr>
                <w:rFonts w:hint="eastAsia" w:ascii="宋体" w:hAnsi="宋体" w:eastAsia="宋体" w:cs="宋体"/>
                <w:color w:val="auto"/>
                <w:sz w:val="21"/>
                <w:szCs w:val="21"/>
                <w:highlight w:val="none"/>
                <w:lang w:bidi="ar"/>
              </w:rPr>
              <w:t>电子投标文件</w:t>
            </w:r>
          </w:p>
        </w:tc>
      </w:tr>
      <w:tr w14:paraId="031B2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0A64D20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050" w:type="pct"/>
            <w:tcBorders>
              <w:top w:val="single" w:color="auto" w:sz="4" w:space="0"/>
              <w:left w:val="single" w:color="auto" w:sz="4" w:space="0"/>
              <w:bottom w:val="single" w:color="auto" w:sz="4" w:space="0"/>
              <w:right w:val="single" w:color="auto" w:sz="4" w:space="0"/>
            </w:tcBorders>
            <w:vAlign w:val="center"/>
          </w:tcPr>
          <w:p w14:paraId="7260B91D">
            <w:pPr>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rPr>
              <w:t>投标文件份数</w:t>
            </w:r>
          </w:p>
        </w:tc>
        <w:tc>
          <w:tcPr>
            <w:tcW w:w="3582" w:type="pct"/>
            <w:tcBorders>
              <w:top w:val="single" w:color="auto" w:sz="4" w:space="0"/>
              <w:left w:val="single" w:color="auto" w:sz="4" w:space="0"/>
              <w:bottom w:val="single" w:color="auto" w:sz="4" w:space="0"/>
              <w:right w:val="single" w:color="auto" w:sz="4" w:space="0"/>
            </w:tcBorders>
            <w:vAlign w:val="center"/>
          </w:tcPr>
          <w:p w14:paraId="11C7E7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“电子加密投标文件”：在</w:t>
            </w:r>
            <w:r>
              <w:rPr>
                <w:rFonts w:hint="eastAsia" w:ascii="宋体" w:hAnsi="宋体" w:eastAsia="宋体" w:cs="宋体"/>
                <w:color w:val="auto"/>
                <w:kern w:val="0"/>
                <w:sz w:val="21"/>
                <w:szCs w:val="21"/>
                <w:highlight w:val="none"/>
              </w:rPr>
              <w:t>电子招标采购平台</w:t>
            </w:r>
            <w:r>
              <w:rPr>
                <w:rFonts w:hint="eastAsia" w:ascii="宋体" w:hAnsi="宋体" w:eastAsia="宋体" w:cs="宋体"/>
                <w:color w:val="auto"/>
                <w:sz w:val="21"/>
                <w:szCs w:val="21"/>
                <w:highlight w:val="none"/>
                <w:lang w:bidi="ar"/>
              </w:rPr>
              <w:t>线上传递交、一份。</w:t>
            </w:r>
          </w:p>
          <w:p w14:paraId="7C704263">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纸质文档：中标人须提供纸质投标响应文件并加盖单位公章一份，送至代理公司。</w:t>
            </w:r>
          </w:p>
        </w:tc>
      </w:tr>
      <w:tr w14:paraId="0A806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326560D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050" w:type="pct"/>
            <w:tcBorders>
              <w:top w:val="single" w:color="auto" w:sz="4" w:space="0"/>
              <w:left w:val="single" w:color="auto" w:sz="4" w:space="0"/>
              <w:bottom w:val="single" w:color="auto" w:sz="4" w:space="0"/>
              <w:right w:val="single" w:color="auto" w:sz="4" w:space="0"/>
            </w:tcBorders>
            <w:vAlign w:val="center"/>
          </w:tcPr>
          <w:p w14:paraId="5845D7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投标文件递交截止时间及地点</w:t>
            </w:r>
          </w:p>
        </w:tc>
        <w:tc>
          <w:tcPr>
            <w:tcW w:w="3582" w:type="pct"/>
            <w:tcBorders>
              <w:top w:val="single" w:color="auto" w:sz="4" w:space="0"/>
              <w:left w:val="single" w:color="auto" w:sz="4" w:space="0"/>
              <w:bottom w:val="single" w:color="auto" w:sz="4" w:space="0"/>
              <w:right w:val="single" w:color="auto" w:sz="4" w:space="0"/>
            </w:tcBorders>
            <w:vAlign w:val="center"/>
          </w:tcPr>
          <w:p w14:paraId="37DBF88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17A06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162182F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050" w:type="pct"/>
            <w:tcBorders>
              <w:top w:val="single" w:color="auto" w:sz="4" w:space="0"/>
              <w:left w:val="single" w:color="auto" w:sz="4" w:space="0"/>
              <w:bottom w:val="single" w:color="auto" w:sz="4" w:space="0"/>
              <w:right w:val="single" w:color="auto" w:sz="4" w:space="0"/>
            </w:tcBorders>
            <w:vAlign w:val="center"/>
          </w:tcPr>
          <w:p w14:paraId="26CF1FF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开标时间及地点</w:t>
            </w:r>
          </w:p>
        </w:tc>
        <w:tc>
          <w:tcPr>
            <w:tcW w:w="3582" w:type="pct"/>
            <w:tcBorders>
              <w:top w:val="single" w:color="auto" w:sz="4" w:space="0"/>
              <w:left w:val="single" w:color="auto" w:sz="4" w:space="0"/>
              <w:bottom w:val="single" w:color="auto" w:sz="4" w:space="0"/>
              <w:right w:val="single" w:color="auto" w:sz="4" w:space="0"/>
            </w:tcBorders>
            <w:vAlign w:val="center"/>
          </w:tcPr>
          <w:p w14:paraId="3DE5E50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9006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348CC2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050" w:type="pct"/>
            <w:tcBorders>
              <w:top w:val="single" w:color="auto" w:sz="4" w:space="0"/>
              <w:left w:val="single" w:color="auto" w:sz="4" w:space="0"/>
              <w:bottom w:val="single" w:color="auto" w:sz="4" w:space="0"/>
              <w:right w:val="single" w:color="auto" w:sz="4" w:space="0"/>
            </w:tcBorders>
            <w:vAlign w:val="center"/>
          </w:tcPr>
          <w:p w14:paraId="7B92E89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3582" w:type="pct"/>
            <w:tcBorders>
              <w:top w:val="single" w:color="auto" w:sz="4" w:space="0"/>
              <w:left w:val="single" w:color="auto" w:sz="4" w:space="0"/>
              <w:bottom w:val="single" w:color="auto" w:sz="4" w:space="0"/>
              <w:right w:val="single" w:color="auto" w:sz="4" w:space="0"/>
            </w:tcBorders>
            <w:vAlign w:val="center"/>
          </w:tcPr>
          <w:p w14:paraId="0355D38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28776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5B40985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050" w:type="pct"/>
            <w:tcBorders>
              <w:top w:val="single" w:color="auto" w:sz="4" w:space="0"/>
              <w:left w:val="single" w:color="auto" w:sz="4" w:space="0"/>
              <w:bottom w:val="single" w:color="auto" w:sz="4" w:space="0"/>
              <w:right w:val="single" w:color="auto" w:sz="4" w:space="0"/>
            </w:tcBorders>
            <w:vAlign w:val="center"/>
          </w:tcPr>
          <w:p w14:paraId="53D8DD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3582" w:type="pct"/>
            <w:tcBorders>
              <w:top w:val="single" w:color="auto" w:sz="4" w:space="0"/>
              <w:left w:val="single" w:color="auto" w:sz="4" w:space="0"/>
              <w:bottom w:val="single" w:color="auto" w:sz="4" w:space="0"/>
              <w:right w:val="single" w:color="auto" w:sz="4" w:space="0"/>
            </w:tcBorders>
            <w:vAlign w:val="center"/>
          </w:tcPr>
          <w:p w14:paraId="512997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中标通知书发出之日起30天内。</w:t>
            </w:r>
          </w:p>
        </w:tc>
      </w:tr>
      <w:tr w14:paraId="144D6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3889FF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050" w:type="pct"/>
            <w:tcBorders>
              <w:top w:val="single" w:color="auto" w:sz="4" w:space="0"/>
              <w:left w:val="single" w:color="auto" w:sz="4" w:space="0"/>
              <w:bottom w:val="single" w:color="auto" w:sz="4" w:space="0"/>
              <w:right w:val="single" w:color="auto" w:sz="4" w:space="0"/>
            </w:tcBorders>
            <w:vAlign w:val="center"/>
          </w:tcPr>
          <w:p w14:paraId="4D3B478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投标文件有效期</w:t>
            </w:r>
          </w:p>
        </w:tc>
        <w:tc>
          <w:tcPr>
            <w:tcW w:w="3582" w:type="pct"/>
            <w:tcBorders>
              <w:top w:val="single" w:color="auto" w:sz="4" w:space="0"/>
              <w:left w:val="single" w:color="auto" w:sz="4" w:space="0"/>
              <w:bottom w:val="single" w:color="auto" w:sz="4" w:space="0"/>
              <w:right w:val="single" w:color="auto" w:sz="4" w:space="0"/>
            </w:tcBorders>
            <w:vAlign w:val="center"/>
          </w:tcPr>
          <w:p w14:paraId="0C6A9CA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90天</w:t>
            </w:r>
          </w:p>
        </w:tc>
      </w:tr>
      <w:tr w14:paraId="0928A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7C14CF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050" w:type="pct"/>
            <w:tcBorders>
              <w:top w:val="single" w:color="auto" w:sz="4" w:space="0"/>
              <w:left w:val="single" w:color="auto" w:sz="4" w:space="0"/>
              <w:bottom w:val="single" w:color="auto" w:sz="4" w:space="0"/>
              <w:right w:val="single" w:color="auto" w:sz="4" w:space="0"/>
            </w:tcBorders>
            <w:vAlign w:val="center"/>
          </w:tcPr>
          <w:p w14:paraId="10DBFA6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3582" w:type="pct"/>
            <w:tcBorders>
              <w:top w:val="single" w:color="auto" w:sz="4" w:space="0"/>
              <w:left w:val="single" w:color="auto" w:sz="4" w:space="0"/>
              <w:bottom w:val="single" w:color="auto" w:sz="4" w:space="0"/>
              <w:right w:val="single" w:color="auto" w:sz="4" w:space="0"/>
            </w:tcBorders>
            <w:vAlign w:val="center"/>
          </w:tcPr>
          <w:p w14:paraId="48C8C8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开启资格审查文件、商务技术标、价格标</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资格性审查</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商务技术标评审</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价格标评审</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提交评审报告</w:t>
            </w:r>
          </w:p>
        </w:tc>
      </w:tr>
      <w:tr w14:paraId="7FE1C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23E602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050" w:type="pct"/>
            <w:tcBorders>
              <w:top w:val="single" w:color="auto" w:sz="4" w:space="0"/>
              <w:left w:val="single" w:color="auto" w:sz="4" w:space="0"/>
              <w:bottom w:val="single" w:color="auto" w:sz="4" w:space="0"/>
              <w:right w:val="single" w:color="auto" w:sz="4" w:space="0"/>
            </w:tcBorders>
            <w:vAlign w:val="center"/>
          </w:tcPr>
          <w:p w14:paraId="22D2712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3582" w:type="pct"/>
            <w:tcBorders>
              <w:top w:val="single" w:color="auto" w:sz="4" w:space="0"/>
              <w:left w:val="single" w:color="auto" w:sz="4" w:space="0"/>
              <w:bottom w:val="single" w:color="auto" w:sz="4" w:space="0"/>
              <w:right w:val="single" w:color="auto" w:sz="4" w:space="0"/>
            </w:tcBorders>
            <w:vAlign w:val="center"/>
          </w:tcPr>
          <w:p w14:paraId="3F5A730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本项目评标委员会由招标人代表及评审专家共5人组成。</w:t>
            </w:r>
          </w:p>
        </w:tc>
      </w:tr>
      <w:tr w14:paraId="01D20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438BED9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050" w:type="pct"/>
            <w:tcBorders>
              <w:top w:val="single" w:color="auto" w:sz="4" w:space="0"/>
              <w:left w:val="single" w:color="auto" w:sz="4" w:space="0"/>
              <w:bottom w:val="single" w:color="auto" w:sz="4" w:space="0"/>
              <w:right w:val="single" w:color="auto" w:sz="4" w:space="0"/>
            </w:tcBorders>
            <w:vAlign w:val="center"/>
          </w:tcPr>
          <w:p w14:paraId="2D701E36">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履约保证金</w:t>
            </w:r>
          </w:p>
        </w:tc>
        <w:tc>
          <w:tcPr>
            <w:tcW w:w="3582" w:type="pct"/>
            <w:tcBorders>
              <w:top w:val="single" w:color="auto" w:sz="4" w:space="0"/>
              <w:left w:val="single" w:color="auto" w:sz="4" w:space="0"/>
              <w:bottom w:val="single" w:color="auto" w:sz="4" w:space="0"/>
              <w:right w:val="single" w:color="auto" w:sz="4" w:space="0"/>
            </w:tcBorders>
            <w:vAlign w:val="center"/>
          </w:tcPr>
          <w:p w14:paraId="24912A3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不需要，</w:t>
            </w:r>
          </w:p>
          <w:p w14:paraId="726000B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需要 ，履约保证金的形式：银行转账</w:t>
            </w:r>
          </w:p>
          <w:p w14:paraId="2B070B6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履约保证金的金额：合同金额5%</w:t>
            </w:r>
            <w:r>
              <w:rPr>
                <w:rFonts w:hint="eastAsia" w:ascii="宋体" w:hAnsi="宋体" w:eastAsia="宋体" w:cs="宋体"/>
                <w:b/>
                <w:bCs/>
                <w:color w:val="auto"/>
                <w:sz w:val="21"/>
                <w:szCs w:val="21"/>
                <w:highlight w:val="none"/>
              </w:rPr>
              <w:t>。</w:t>
            </w:r>
          </w:p>
          <w:p w14:paraId="6228820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中标人在合同签订之前须向</w:t>
            </w:r>
            <w:r>
              <w:rPr>
                <w:rFonts w:hint="eastAsia" w:ascii="宋体" w:hAnsi="宋体" w:cs="宋体"/>
                <w:color w:val="auto"/>
                <w:sz w:val="21"/>
                <w:szCs w:val="21"/>
                <w:highlight w:val="none"/>
                <w:lang w:eastAsia="zh-CN"/>
              </w:rPr>
              <w:t>温州港南岳港务有限公司、温州港益嘉港务有限公司</w:t>
            </w:r>
            <w:r>
              <w:rPr>
                <w:rFonts w:hint="eastAsia" w:ascii="宋体" w:hAnsi="宋体" w:cs="宋体"/>
                <w:color w:val="auto"/>
                <w:sz w:val="21"/>
                <w:szCs w:val="21"/>
                <w:highlight w:val="none"/>
                <w:lang w:val="en-US" w:eastAsia="zh-CN"/>
              </w:rPr>
              <w:t>分别</w:t>
            </w:r>
            <w:r>
              <w:rPr>
                <w:rFonts w:hint="eastAsia" w:ascii="宋体" w:hAnsi="宋体" w:eastAsia="宋体" w:cs="宋体"/>
                <w:color w:val="auto"/>
                <w:sz w:val="21"/>
                <w:szCs w:val="21"/>
                <w:highlight w:val="none"/>
              </w:rPr>
              <w:t>提交合同金额5%履约保证金，并且要保证履约保证金在合同履行期间的有效性。</w:t>
            </w:r>
          </w:p>
        </w:tc>
      </w:tr>
      <w:tr w14:paraId="1B3F6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195DCD2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050" w:type="pct"/>
            <w:tcBorders>
              <w:top w:val="single" w:color="auto" w:sz="4" w:space="0"/>
              <w:left w:val="single" w:color="auto" w:sz="4" w:space="0"/>
              <w:bottom w:val="single" w:color="auto" w:sz="4" w:space="0"/>
              <w:right w:val="single" w:color="auto" w:sz="4" w:space="0"/>
            </w:tcBorders>
            <w:vAlign w:val="center"/>
          </w:tcPr>
          <w:p w14:paraId="3218CA5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3582" w:type="pct"/>
            <w:tcBorders>
              <w:top w:val="single" w:color="auto" w:sz="4" w:space="0"/>
              <w:left w:val="single" w:color="auto" w:sz="4" w:space="0"/>
              <w:bottom w:val="single" w:color="auto" w:sz="4" w:space="0"/>
              <w:right w:val="single" w:color="auto" w:sz="4" w:space="0"/>
            </w:tcBorders>
            <w:vAlign w:val="center"/>
          </w:tcPr>
          <w:p w14:paraId="72DFA63C">
            <w:pP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bidi="ar"/>
              </w:rPr>
              <w:t>招标代理服务费：</w:t>
            </w:r>
            <w:r>
              <w:rPr>
                <w:rFonts w:hint="eastAsia" w:ascii="宋体" w:hAnsi="宋体" w:eastAsia="宋体" w:cs="宋体"/>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叁仟陆佰</w:t>
            </w:r>
            <w:r>
              <w:rPr>
                <w:rFonts w:hint="eastAsia" w:ascii="宋体" w:hAnsi="宋体" w:eastAsia="宋体" w:cs="宋体"/>
                <w:color w:val="auto"/>
                <w:sz w:val="21"/>
                <w:szCs w:val="21"/>
                <w:highlight w:val="none"/>
              </w:rPr>
              <w:t>元整（¥</w:t>
            </w:r>
            <w:r>
              <w:rPr>
                <w:rFonts w:hint="eastAsia" w:ascii="宋体" w:hAnsi="宋体" w:cs="宋体"/>
                <w:color w:val="auto"/>
                <w:sz w:val="21"/>
                <w:szCs w:val="21"/>
                <w:highlight w:val="none"/>
                <w:lang w:val="en-US" w:eastAsia="zh-CN"/>
              </w:rPr>
              <w:t xml:space="preserve"> 3600</w:t>
            </w:r>
            <w:r>
              <w:rPr>
                <w:rFonts w:hint="eastAsia" w:ascii="宋体" w:hAnsi="宋体" w:eastAsia="宋体" w:cs="宋体"/>
                <w:color w:val="auto"/>
                <w:sz w:val="21"/>
                <w:szCs w:val="21"/>
                <w:highlight w:val="none"/>
              </w:rPr>
              <w:t>.00），此项费用由投标人综合考虑在投标报价中；由中标人在领取中标（成交）通知书时将招标代理服务费支付给招标代理机构。</w:t>
            </w:r>
          </w:p>
          <w:p w14:paraId="628DDE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招标代理服务费可以是现金、支票或汇票。</w:t>
            </w:r>
          </w:p>
        </w:tc>
      </w:tr>
      <w:tr w14:paraId="01A69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650C900D">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1050" w:type="pct"/>
            <w:tcBorders>
              <w:top w:val="single" w:color="auto" w:sz="4" w:space="0"/>
              <w:left w:val="single" w:color="auto" w:sz="4" w:space="0"/>
              <w:bottom w:val="single" w:color="auto" w:sz="4" w:space="0"/>
              <w:right w:val="single" w:color="auto" w:sz="4" w:space="0"/>
            </w:tcBorders>
            <w:shd w:val="clear" w:color="auto" w:fill="auto"/>
            <w:vAlign w:val="center"/>
          </w:tcPr>
          <w:p w14:paraId="7A490EB5">
            <w:pPr>
              <w:widowControl/>
              <w:spacing w:before="60" w:after="60" w:line="320" w:lineRule="exact"/>
              <w:ind w:right="62"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szCs w:val="21"/>
                <w:highlight w:val="none"/>
              </w:rPr>
              <w:t>★电子招标采购平台交易服务费</w:t>
            </w:r>
          </w:p>
        </w:tc>
        <w:tc>
          <w:tcPr>
            <w:tcW w:w="3582" w:type="pct"/>
            <w:tcBorders>
              <w:top w:val="single" w:color="auto" w:sz="4" w:space="0"/>
              <w:left w:val="single" w:color="auto" w:sz="4" w:space="0"/>
              <w:bottom w:val="single" w:color="auto" w:sz="4" w:space="0"/>
              <w:right w:val="single" w:color="auto" w:sz="4" w:space="0"/>
            </w:tcBorders>
            <w:shd w:val="clear" w:color="auto" w:fill="auto"/>
            <w:vAlign w:val="center"/>
          </w:tcPr>
          <w:p w14:paraId="04175695">
            <w:pPr>
              <w:widowControl/>
              <w:snapToGrid w:val="0"/>
              <w:spacing w:line="240" w:lineRule="auto"/>
              <w:ind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本项目采用电子招标，中标人须在明确中标后、获取中标通知书前将相应的交易服务费缴入平台指定的集团账户（在“投标管家”工具中查看）。</w:t>
            </w:r>
          </w:p>
          <w:p w14:paraId="5A5CA967">
            <w:pPr>
              <w:widowControl/>
              <w:snapToGrid w:val="0"/>
              <w:spacing w:line="240" w:lineRule="auto"/>
              <w:ind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具体收费标准如下：</w:t>
            </w:r>
          </w:p>
          <w:p w14:paraId="532BBC7A">
            <w:pPr>
              <w:snapToGrid w:val="0"/>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drawing>
                <wp:inline distT="0" distB="0" distL="114300" distR="114300">
                  <wp:extent cx="4100830" cy="3296920"/>
                  <wp:effectExtent l="0" t="0" r="13970" b="17780"/>
                  <wp:docPr id="2" name="图片 2" descr="3a3c5e96-827a-4d61-b023-f635f056d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a3c5e96-827a-4d61-b023-f635f056d3e2"/>
                          <pic:cNvPicPr>
                            <a:picLocks noChangeAspect="1"/>
                          </pic:cNvPicPr>
                        </pic:nvPicPr>
                        <pic:blipFill>
                          <a:blip r:embed="rId6"/>
                          <a:stretch>
                            <a:fillRect/>
                          </a:stretch>
                        </pic:blipFill>
                        <pic:spPr>
                          <a:xfrm>
                            <a:off x="0" y="0"/>
                            <a:ext cx="4100830" cy="3296920"/>
                          </a:xfrm>
                          <a:prstGeom prst="rect">
                            <a:avLst/>
                          </a:prstGeom>
                        </pic:spPr>
                      </pic:pic>
                    </a:graphicData>
                  </a:graphic>
                </wp:inline>
              </w:drawing>
            </w:r>
          </w:p>
        </w:tc>
      </w:tr>
      <w:tr w14:paraId="30E33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2C316BB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1</w:t>
            </w:r>
          </w:p>
        </w:tc>
        <w:tc>
          <w:tcPr>
            <w:tcW w:w="1050" w:type="pct"/>
            <w:tcBorders>
              <w:top w:val="single" w:color="auto" w:sz="4" w:space="0"/>
              <w:left w:val="single" w:color="auto" w:sz="4" w:space="0"/>
              <w:bottom w:val="single" w:color="auto" w:sz="4" w:space="0"/>
              <w:right w:val="single" w:color="auto" w:sz="4" w:space="0"/>
            </w:tcBorders>
            <w:vAlign w:val="center"/>
          </w:tcPr>
          <w:p w14:paraId="361C9C5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答疑与澄清</w:t>
            </w:r>
          </w:p>
        </w:tc>
        <w:tc>
          <w:tcPr>
            <w:tcW w:w="3582" w:type="pct"/>
            <w:tcBorders>
              <w:top w:val="single" w:color="auto" w:sz="4" w:space="0"/>
              <w:left w:val="single" w:color="auto" w:sz="4" w:space="0"/>
              <w:bottom w:val="single" w:color="auto" w:sz="4" w:space="0"/>
              <w:right w:val="single" w:color="auto" w:sz="4" w:space="0"/>
            </w:tcBorders>
            <w:vAlign w:val="center"/>
          </w:tcPr>
          <w:p w14:paraId="5F50EB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对已发出的招标文件进行必要的澄清和修改时，将在招标公告规定的投标截止时间10日前，以书面形式或在规定信息发布网站上通知所有招标文件受收人，投标人须自行查看是否有澄清和修改文件，并按澄清和修改文件要求投标，否则责任自负，澄清和修改的内容作为招标文件的组成部分。招标人根据实际情况，作出延长投标截止时间和开标时间的决定，并发布变更公告。</w:t>
            </w:r>
          </w:p>
          <w:p w14:paraId="150752A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2）购买招标文件的潜在投标人对招标文件有异议，应在投标截止时间10日前书面提出。逾期提出的将不予受理（</w:t>
            </w:r>
            <w:r>
              <w:rPr>
                <w:rFonts w:hint="eastAsia" w:ascii="宋体" w:hAnsi="宋体" w:eastAsia="宋体" w:cs="宋体"/>
                <w:b/>
                <w:color w:val="auto"/>
                <w:sz w:val="21"/>
                <w:szCs w:val="21"/>
                <w:highlight w:val="none"/>
              </w:rPr>
              <w:t>投标人须一次性提出针对同一采购程序环节的异议</w:t>
            </w:r>
            <w:r>
              <w:rPr>
                <w:rFonts w:hint="eastAsia" w:ascii="宋体" w:hAnsi="宋体" w:eastAsia="宋体" w:cs="宋体"/>
                <w:color w:val="auto"/>
                <w:sz w:val="21"/>
                <w:szCs w:val="21"/>
                <w:highlight w:val="none"/>
              </w:rPr>
              <w:t>）。对招标文件的异议应有法定代表人或授权代表签字，并盖投标人公章和注明日期。</w:t>
            </w:r>
          </w:p>
          <w:p w14:paraId="15E61E4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3）没有提出异议且又参与了该项目投标的服务商将被视为完全认同招标文件。</w:t>
            </w:r>
          </w:p>
        </w:tc>
      </w:tr>
      <w:tr w14:paraId="1B68A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7" w:type="pct"/>
            <w:tcBorders>
              <w:top w:val="single" w:color="auto" w:sz="4" w:space="0"/>
              <w:left w:val="single" w:color="auto" w:sz="4" w:space="0"/>
              <w:bottom w:val="single" w:color="auto" w:sz="4" w:space="0"/>
              <w:right w:val="single" w:color="auto" w:sz="4" w:space="0"/>
            </w:tcBorders>
            <w:vAlign w:val="center"/>
          </w:tcPr>
          <w:p w14:paraId="5BB5FD6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p>
        </w:tc>
        <w:tc>
          <w:tcPr>
            <w:tcW w:w="1050" w:type="pct"/>
            <w:tcBorders>
              <w:top w:val="single" w:color="auto" w:sz="4" w:space="0"/>
              <w:left w:val="single" w:color="auto" w:sz="4" w:space="0"/>
              <w:bottom w:val="single" w:color="auto" w:sz="4" w:space="0"/>
              <w:right w:val="single" w:color="auto" w:sz="4" w:space="0"/>
            </w:tcBorders>
            <w:vAlign w:val="center"/>
          </w:tcPr>
          <w:p w14:paraId="7C2914A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3582" w:type="pct"/>
            <w:tcBorders>
              <w:top w:val="single" w:color="auto" w:sz="4" w:space="0"/>
              <w:left w:val="single" w:color="auto" w:sz="4" w:space="0"/>
              <w:bottom w:val="single" w:color="auto" w:sz="4" w:space="0"/>
              <w:right w:val="single" w:color="auto" w:sz="4" w:space="0"/>
            </w:tcBorders>
            <w:vAlign w:val="center"/>
          </w:tcPr>
          <w:p w14:paraId="54CD80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本招标文件的解释权属于招标人和招标代理机构。</w:t>
            </w:r>
          </w:p>
        </w:tc>
      </w:tr>
    </w:tbl>
    <w:p w14:paraId="6C1D5B52">
      <w:pPr>
        <w:spacing w:line="400" w:lineRule="auto"/>
        <w:jc w:val="left"/>
        <w:rPr>
          <w:rFonts w:hint="eastAsia" w:ascii="宋体" w:hAnsi="宋体" w:eastAsia="宋体" w:cs="宋体"/>
          <w:b/>
          <w:color w:val="auto"/>
          <w:sz w:val="30"/>
          <w:highlight w:val="none"/>
          <w:shd w:val="clear" w:color="060000" w:fill="auto"/>
        </w:rPr>
      </w:pPr>
    </w:p>
    <w:p w14:paraId="6B4F4733">
      <w:pPr>
        <w:widowControl/>
        <w:jc w:val="center"/>
        <w:rPr>
          <w:rFonts w:hint="eastAsia" w:ascii="宋体" w:hAnsi="宋体" w:eastAsia="宋体" w:cs="宋体"/>
          <w:b/>
          <w:color w:val="auto"/>
          <w:kern w:val="0"/>
          <w:sz w:val="28"/>
          <w:szCs w:val="21"/>
          <w:highlight w:val="none"/>
        </w:rPr>
      </w:pPr>
      <w:r>
        <w:rPr>
          <w:rFonts w:hint="eastAsia" w:ascii="宋体" w:hAnsi="宋体" w:eastAsia="宋体" w:cs="宋体"/>
          <w:color w:val="auto"/>
          <w:highlight w:val="none"/>
        </w:rPr>
        <w:br w:type="page"/>
      </w:r>
      <w:bookmarkStart w:id="17" w:name="_Toc121800403"/>
      <w:r>
        <w:rPr>
          <w:rFonts w:hint="eastAsia" w:ascii="宋体" w:hAnsi="宋体" w:eastAsia="宋体" w:cs="宋体"/>
          <w:b/>
          <w:color w:val="auto"/>
          <w:kern w:val="0"/>
          <w:sz w:val="28"/>
          <w:szCs w:val="21"/>
          <w:highlight w:val="none"/>
        </w:rPr>
        <w:t>一、总则</w:t>
      </w:r>
      <w:bookmarkEnd w:id="17"/>
    </w:p>
    <w:p w14:paraId="519BB30E">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（一）适用范围</w:t>
      </w:r>
    </w:p>
    <w:p w14:paraId="4A20F972">
      <w:pPr>
        <w:pStyle w:val="15"/>
        <w:spacing w:beforeLines="0" w:afterLines="0" w:line="360"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w:t>
      </w:r>
      <w:r>
        <w:rPr>
          <w:rFonts w:hint="eastAsia" w:hAnsi="宋体" w:cs="宋体"/>
          <w:color w:val="auto"/>
          <w:sz w:val="21"/>
          <w:szCs w:val="21"/>
          <w:highlight w:val="none"/>
          <w:lang w:eastAsia="zh-CN"/>
        </w:rPr>
        <w:t>温州港南岳港务有限公司、温州港益嘉港务有限公司医学媒介生物本底调查服务</w:t>
      </w:r>
      <w:r>
        <w:rPr>
          <w:rFonts w:hint="eastAsia" w:ascii="宋体" w:hAnsi="宋体" w:eastAsia="宋体" w:cs="宋体"/>
          <w:color w:val="auto"/>
          <w:sz w:val="21"/>
          <w:szCs w:val="21"/>
          <w:highlight w:val="none"/>
        </w:rPr>
        <w:t>，项目招标、投标、评标、定标、合同履约、付款等行为（法律、法规另有规定的，从其规定）。</w:t>
      </w:r>
    </w:p>
    <w:p w14:paraId="3276E6A4">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（二）定义</w:t>
      </w:r>
    </w:p>
    <w:p w14:paraId="692C5384">
      <w:pPr>
        <w:pStyle w:val="15"/>
        <w:spacing w:beforeLines="0" w:afterLines="0"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1.“招标人”系指组织本次招标的单位：</w:t>
      </w:r>
      <w:r>
        <w:rPr>
          <w:rFonts w:hint="eastAsia" w:hAnsi="宋体" w:cs="宋体"/>
          <w:color w:val="auto"/>
          <w:kern w:val="2"/>
          <w:sz w:val="21"/>
          <w:szCs w:val="21"/>
          <w:highlight w:val="none"/>
          <w:lang w:eastAsia="zh-CN"/>
        </w:rPr>
        <w:t>温州港南岳港务有限公司。</w:t>
      </w:r>
    </w:p>
    <w:p w14:paraId="2B905825">
      <w:pPr>
        <w:pStyle w:val="15"/>
        <w:spacing w:beforeLines="0" w:afterLines="0" w:line="360" w:lineRule="auto"/>
        <w:ind w:firstLine="415" w:firstLineChars="198"/>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2.“招标代理机构”系指：</w:t>
      </w:r>
      <w:r>
        <w:rPr>
          <w:rFonts w:hint="eastAsia" w:ascii="宋体" w:hAnsi="宋体" w:eastAsia="宋体" w:cs="宋体"/>
          <w:color w:val="auto"/>
          <w:kern w:val="2"/>
          <w:sz w:val="21"/>
          <w:szCs w:val="21"/>
          <w:highlight w:val="none"/>
          <w:lang w:eastAsia="zh-CN"/>
        </w:rPr>
        <w:t>大地工程咨询有限公司</w:t>
      </w:r>
      <w:r>
        <w:rPr>
          <w:rFonts w:hint="eastAsia" w:hAnsi="宋体" w:cs="宋体"/>
          <w:color w:val="auto"/>
          <w:kern w:val="2"/>
          <w:sz w:val="21"/>
          <w:szCs w:val="21"/>
          <w:highlight w:val="none"/>
          <w:lang w:eastAsia="zh-CN"/>
        </w:rPr>
        <w:t>。</w:t>
      </w:r>
    </w:p>
    <w:p w14:paraId="616EAD3F">
      <w:pPr>
        <w:pStyle w:val="15"/>
        <w:spacing w:beforeLines="0" w:afterLines="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3.“投标人”系指向招标人提交投标文件的单位。</w:t>
      </w:r>
    </w:p>
    <w:p w14:paraId="18B4358E">
      <w:pPr>
        <w:pStyle w:val="15"/>
        <w:spacing w:beforeLines="0" w:afterLines="0" w:line="360" w:lineRule="auto"/>
        <w:ind w:firstLine="415" w:firstLineChars="198"/>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4.“中标人”系指经评审小组评定，且审查通过，并经公示无异议的合格投标人。</w:t>
      </w:r>
    </w:p>
    <w:p w14:paraId="795ED4FA">
      <w:pPr>
        <w:pStyle w:val="15"/>
        <w:spacing w:beforeLines="0" w:afterLines="0" w:line="360" w:lineRule="auto"/>
        <w:ind w:firstLine="415" w:firstLineChars="198"/>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“投标人代表”系指全权代表投标人参加本次投标活动并签署投标文件的人，如果投标人代表不是投标人的法定代表人，须持有《法定代表人授权委托书》。</w:t>
      </w:r>
    </w:p>
    <w:p w14:paraId="7DDCEA4D">
      <w:pPr>
        <w:pStyle w:val="15"/>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6.“项目”系指投标人按招标文件规定向招标人提供服务</w:t>
      </w:r>
      <w:r>
        <w:rPr>
          <w:rFonts w:hint="eastAsia" w:ascii="宋体" w:hAnsi="宋体" w:eastAsia="宋体" w:cs="宋体"/>
          <w:color w:val="auto"/>
          <w:sz w:val="21"/>
          <w:szCs w:val="21"/>
          <w:highlight w:val="none"/>
        </w:rPr>
        <w:t>。</w:t>
      </w:r>
    </w:p>
    <w:p w14:paraId="3ECDE00E">
      <w:pPr>
        <w:pStyle w:val="15"/>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7.“书面形式”包括信函、传真等。</w:t>
      </w:r>
    </w:p>
    <w:p w14:paraId="2D270DAD">
      <w:pPr>
        <w:pStyle w:val="15"/>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8.“★”系指实质性要求条款。</w:t>
      </w:r>
    </w:p>
    <w:p w14:paraId="38E6A552">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（三）招标方式</w:t>
      </w:r>
    </w:p>
    <w:p w14:paraId="44D0F76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本次招标采用公开招标方式进行。</w:t>
      </w:r>
    </w:p>
    <w:p w14:paraId="38C908B4">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p>
    <w:p w14:paraId="261AA31E">
      <w:pPr>
        <w:spacing w:line="360" w:lineRule="auto"/>
        <w:ind w:left="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如投标人代表不是法定代表人，须有法定代表人出具的授权委托书（具体格式见第六章）。</w:t>
      </w:r>
    </w:p>
    <w:p w14:paraId="2A7B8780">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（五）投标费用</w:t>
      </w:r>
    </w:p>
    <w:p w14:paraId="226981F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不论投标结果如何，投标人均应自行承担所有与投标有关的全部费用（招标文件有相反规定除外）。</w:t>
      </w:r>
    </w:p>
    <w:p w14:paraId="2348C9FE">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17918F11">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3FF1E173">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（七）转包与分包</w:t>
      </w:r>
    </w:p>
    <w:p w14:paraId="4CB81FA7">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本项目不允许分包转包</w:t>
      </w:r>
    </w:p>
    <w:p w14:paraId="4B3858CF">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（八）特别说明：</w:t>
      </w:r>
    </w:p>
    <w:p w14:paraId="5B3577E6">
      <w:pPr>
        <w:pStyle w:val="15"/>
        <w:spacing w:beforeLines="0" w:afterLines="0" w:line="360" w:lineRule="auto"/>
        <w:ind w:firstLine="411" w:firstLineChars="196"/>
        <w:outlineLvl w:val="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1.投标人投标所使用的资格、信誉、荣誉、业绩与企业认证必须为本法人所拥有。</w:t>
      </w:r>
    </w:p>
    <w:p w14:paraId="38614423">
      <w:pPr>
        <w:pStyle w:val="15"/>
        <w:spacing w:beforeLines="0" w:afterLines="0" w:line="360" w:lineRule="auto"/>
        <w:ind w:firstLine="413" w:firstLineChars="196"/>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★2.投标人应仔细阅读招标文件的所有内容，按照招标文件的要求提交投标文件，并对所提供的全部资料的真实性承担法律责任。</w:t>
      </w:r>
    </w:p>
    <w:p w14:paraId="02D90762">
      <w:pPr>
        <w:pStyle w:val="15"/>
        <w:spacing w:beforeLines="0" w:afterLines="0" w:line="360" w:lineRule="auto"/>
        <w:ind w:firstLine="413" w:firstLineChars="196"/>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p>
    <w:p w14:paraId="24FC9539">
      <w:pPr>
        <w:pStyle w:val="15"/>
        <w:spacing w:beforeLines="0" w:afterLines="0" w:line="360" w:lineRule="auto"/>
        <w:ind w:firstLine="413" w:firstLineChars="196"/>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（九）质疑和投诉</w:t>
      </w:r>
    </w:p>
    <w:p w14:paraId="7CDB77B0">
      <w:pPr>
        <w:pStyle w:val="15"/>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1.投标人认为招标文件、招标过程或中标结果使自己的合法权益受到损害的，应当在知道或者应知其权益受到损害之日起七个工作日内，以书面形式向招标人提出质疑。</w:t>
      </w:r>
    </w:p>
    <w:p w14:paraId="4A1E1B35">
      <w:pPr>
        <w:pStyle w:val="15"/>
        <w:spacing w:beforeLines="0" w:afterLines="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5A3EFE51">
      <w:pPr>
        <w:spacing w:line="360" w:lineRule="auto"/>
        <w:ind w:left="551"/>
        <w:jc w:val="center"/>
        <w:outlineLvl w:val="0"/>
        <w:rPr>
          <w:rFonts w:hint="eastAsia" w:ascii="宋体" w:hAnsi="宋体" w:eastAsia="宋体" w:cs="宋体"/>
          <w:b/>
          <w:color w:val="auto"/>
          <w:kern w:val="0"/>
          <w:sz w:val="28"/>
          <w:szCs w:val="21"/>
          <w:highlight w:val="none"/>
        </w:rPr>
      </w:pPr>
      <w:bookmarkStart w:id="18" w:name="_Toc430"/>
      <w:bookmarkStart w:id="19" w:name="_Toc2471"/>
      <w:bookmarkStart w:id="20" w:name="_Toc527495450"/>
      <w:bookmarkStart w:id="21" w:name="_Toc121800404"/>
      <w:r>
        <w:rPr>
          <w:rFonts w:hint="eastAsia" w:ascii="宋体" w:hAnsi="宋体" w:eastAsia="宋体" w:cs="宋体"/>
          <w:b/>
          <w:color w:val="auto"/>
          <w:kern w:val="0"/>
          <w:sz w:val="28"/>
          <w:szCs w:val="21"/>
          <w:highlight w:val="none"/>
        </w:rPr>
        <w:t>二、招标文件</w:t>
      </w:r>
      <w:bookmarkEnd w:id="18"/>
      <w:bookmarkEnd w:id="19"/>
      <w:bookmarkEnd w:id="20"/>
      <w:bookmarkEnd w:id="21"/>
    </w:p>
    <w:p w14:paraId="345480AF">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（一）招标文件的构成。本招标文件由以下部份组成：</w:t>
      </w:r>
    </w:p>
    <w:p w14:paraId="1AF2FEF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23E441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2.招标需求</w:t>
      </w:r>
    </w:p>
    <w:p w14:paraId="574F1F6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3.投标人须知</w:t>
      </w:r>
    </w:p>
    <w:p w14:paraId="7AB0544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4.评标办法及评分标准</w:t>
      </w:r>
    </w:p>
    <w:p w14:paraId="391B55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5.合同主要条款</w:t>
      </w:r>
    </w:p>
    <w:p w14:paraId="316FAC8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3DEE4EA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7.本项目招标文件的澄清、答复、修改、补充的内容</w:t>
      </w:r>
    </w:p>
    <w:p w14:paraId="30C1B7DC">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（二）投标人的风险</w:t>
      </w:r>
    </w:p>
    <w:p w14:paraId="5B18B7B5">
      <w:pPr>
        <w:pStyle w:val="20"/>
        <w:spacing w:after="0" w:line="36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5A7DB9A7">
      <w:pPr>
        <w:pStyle w:val="6"/>
        <w:numPr>
          <w:ilvl w:val="0"/>
          <w:numId w:val="0"/>
        </w:numPr>
        <w:spacing w:line="360" w:lineRule="auto"/>
        <w:ind w:left="717" w:leftChars="171" w:hanging="358" w:hangingChars="17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（三）招标文件的澄清与修改</w:t>
      </w:r>
    </w:p>
    <w:p w14:paraId="0FD2216B">
      <w:pPr>
        <w:pStyle w:val="15"/>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招标人对已发出的招标文件进行必要的澄清和修改时，将在招标公告规定的投标截止时间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日前，以书面形式或在规定信息发布网站上通知所有招标文件受收人，</w:t>
      </w:r>
      <w:r>
        <w:rPr>
          <w:rFonts w:hint="eastAsia" w:ascii="宋体" w:hAnsi="宋体" w:eastAsia="宋体" w:cs="宋体"/>
          <w:bCs/>
          <w:color w:val="auto"/>
          <w:sz w:val="21"/>
          <w:szCs w:val="21"/>
          <w:highlight w:val="none"/>
        </w:rPr>
        <w:t>投标人须自行查看是否有澄清和修改文件，并按澄清和修改文件要求投标，否则责任自负，</w:t>
      </w:r>
      <w:r>
        <w:rPr>
          <w:rFonts w:hint="eastAsia" w:ascii="宋体" w:hAnsi="宋体" w:eastAsia="宋体" w:cs="宋体"/>
          <w:color w:val="auto"/>
          <w:sz w:val="21"/>
          <w:szCs w:val="21"/>
          <w:highlight w:val="none"/>
        </w:rPr>
        <w:t>澄清和修改的内容作为招标文件的组成部分。招标人根据实际情况，作出延长投标截止时间和开标时间的决定，并发布变更公告。</w:t>
      </w:r>
    </w:p>
    <w:p w14:paraId="2ACD4EAF">
      <w:pPr>
        <w:pStyle w:val="15"/>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购买招标文件的潜在投标人对招标文件有异议，应在投标截止时间10日前书面提出。逾期提出的将不予受理。对招标文件的异议应有法定代表人或其委托代理人签字，并盖投标人公章和注明日期。</w:t>
      </w:r>
    </w:p>
    <w:p w14:paraId="75BC54CE">
      <w:pPr>
        <w:pStyle w:val="15"/>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3.没有提出异议且又参与了该项目投标的服务商将被视为完全认同招标文件。</w:t>
      </w:r>
    </w:p>
    <w:p w14:paraId="7259CDE4">
      <w:pPr>
        <w:snapToGrid w:val="0"/>
        <w:spacing w:line="360" w:lineRule="auto"/>
        <w:ind w:left="551"/>
        <w:jc w:val="center"/>
        <w:outlineLvl w:val="0"/>
        <w:rPr>
          <w:rFonts w:hint="eastAsia" w:ascii="宋体" w:hAnsi="宋体" w:eastAsia="宋体" w:cs="宋体"/>
          <w:b/>
          <w:color w:val="auto"/>
          <w:kern w:val="0"/>
          <w:sz w:val="28"/>
          <w:szCs w:val="21"/>
          <w:highlight w:val="none"/>
        </w:rPr>
      </w:pPr>
      <w:bookmarkStart w:id="22" w:name="_Toc121800405"/>
      <w:r>
        <w:rPr>
          <w:rFonts w:hint="eastAsia" w:ascii="宋体" w:hAnsi="宋体" w:eastAsia="宋体" w:cs="宋体"/>
          <w:b/>
          <w:color w:val="auto"/>
          <w:kern w:val="0"/>
          <w:sz w:val="28"/>
          <w:szCs w:val="21"/>
          <w:highlight w:val="none"/>
        </w:rPr>
        <w:t>三、投标文件的编制</w:t>
      </w:r>
      <w:bookmarkEnd w:id="22"/>
    </w:p>
    <w:p w14:paraId="1C6D02D7">
      <w:pPr>
        <w:snapToGrid w:val="0"/>
        <w:spacing w:before="156" w:beforeLines="50" w:line="360" w:lineRule="auto"/>
        <w:ind w:firstLine="413" w:firstLineChars="196"/>
        <w:jc w:val="left"/>
        <w:outlineLvl w:val="0"/>
        <w:rPr>
          <w:rFonts w:hint="eastAsia" w:ascii="宋体" w:hAnsi="宋体" w:eastAsia="宋体" w:cs="宋体"/>
          <w:b/>
          <w:color w:val="auto"/>
          <w:szCs w:val="21"/>
          <w:highlight w:val="none"/>
        </w:rPr>
      </w:pPr>
      <w:bookmarkStart w:id="23" w:name="_Toc121800406"/>
      <w:r>
        <w:rPr>
          <w:rFonts w:hint="eastAsia" w:ascii="宋体" w:hAnsi="宋体" w:eastAsia="宋体" w:cs="宋体"/>
          <w:b/>
          <w:color w:val="auto"/>
          <w:szCs w:val="21"/>
          <w:highlight w:val="none"/>
        </w:rPr>
        <w:t>（一）投标文件的组成</w:t>
      </w:r>
      <w:bookmarkEnd w:id="23"/>
    </w:p>
    <w:p w14:paraId="4910DA4A">
      <w:pPr>
        <w:pStyle w:val="10"/>
        <w:kinsoku w:val="0"/>
        <w:overflowPunct w:val="0"/>
        <w:spacing w:after="0" w:line="360" w:lineRule="auto"/>
        <w:ind w:firstLine="422" w:firstLineChars="200"/>
        <w:rPr>
          <w:rFonts w:hint="eastAsia" w:ascii="宋体" w:hAnsi="宋体" w:eastAsia="宋体" w:cs="宋体"/>
          <w:b/>
          <w:bCs/>
          <w:color w:val="auto"/>
          <w:highlight w:val="none"/>
        </w:rPr>
      </w:pPr>
      <w:bookmarkStart w:id="24" w:name="_Toc527495473"/>
      <w:bookmarkStart w:id="25" w:name="_Toc14400"/>
      <w:r>
        <w:rPr>
          <w:rFonts w:hint="eastAsia" w:ascii="宋体" w:hAnsi="宋体" w:eastAsia="宋体" w:cs="宋体"/>
          <w:b/>
          <w:bCs/>
          <w:color w:val="auto"/>
          <w:highlight w:val="none"/>
        </w:rPr>
        <w:t>投标文件由</w:t>
      </w:r>
      <w:bookmarkStart w:id="26" w:name="_Hlk123645314"/>
      <w:r>
        <w:rPr>
          <w:rFonts w:hint="eastAsia" w:ascii="宋体" w:hAnsi="宋体" w:eastAsia="宋体" w:cs="宋体"/>
          <w:b/>
          <w:bCs/>
          <w:color w:val="auto"/>
          <w:highlight w:val="none"/>
        </w:rPr>
        <w:t>资格审查文件</w:t>
      </w:r>
      <w:bookmarkEnd w:id="26"/>
      <w:r>
        <w:rPr>
          <w:rFonts w:hint="eastAsia" w:ascii="宋体" w:hAnsi="宋体" w:eastAsia="宋体" w:cs="宋体"/>
          <w:b/>
          <w:bCs/>
          <w:color w:val="auto"/>
          <w:highlight w:val="none"/>
        </w:rPr>
        <w:t>、商务技术标、价格标组成。</w:t>
      </w:r>
    </w:p>
    <w:p w14:paraId="315349F4">
      <w:pPr>
        <w:pStyle w:val="10"/>
        <w:kinsoku w:val="0"/>
        <w:overflowPunct w:val="0"/>
        <w:spacing w:after="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1、资格审查文件的组成：</w:t>
      </w:r>
    </w:p>
    <w:p w14:paraId="0CC70B47">
      <w:pPr>
        <w:pStyle w:val="11"/>
        <w:rPr>
          <w:rFonts w:hint="eastAsia"/>
          <w:color w:val="auto"/>
          <w:highlight w:val="none"/>
        </w:rPr>
      </w:pPr>
    </w:p>
    <w:tbl>
      <w:tblPr>
        <w:tblStyle w:val="25"/>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24"/>
        <w:gridCol w:w="1984"/>
      </w:tblGrid>
      <w:tr w14:paraId="3C09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629ADC3">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124" w:type="dxa"/>
            <w:vAlign w:val="center"/>
          </w:tcPr>
          <w:p w14:paraId="56C0585B">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984" w:type="dxa"/>
            <w:vAlign w:val="center"/>
          </w:tcPr>
          <w:p w14:paraId="542EBFE4">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2395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0DD2DF24">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6124" w:type="dxa"/>
            <w:vAlign w:val="center"/>
          </w:tcPr>
          <w:p w14:paraId="77DF315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w:t>
            </w:r>
          </w:p>
        </w:tc>
        <w:tc>
          <w:tcPr>
            <w:tcW w:w="1984" w:type="dxa"/>
            <w:vAlign w:val="center"/>
          </w:tcPr>
          <w:p w14:paraId="0739B28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附件一-1</w:t>
            </w:r>
          </w:p>
        </w:tc>
      </w:tr>
      <w:tr w14:paraId="3D21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6D81A28B">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c>
          <w:tcPr>
            <w:tcW w:w="6124" w:type="dxa"/>
            <w:vAlign w:val="center"/>
          </w:tcPr>
          <w:p w14:paraId="412B13EA">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法定代表人授权委托书</w:t>
            </w:r>
          </w:p>
        </w:tc>
        <w:tc>
          <w:tcPr>
            <w:tcW w:w="1984" w:type="dxa"/>
            <w:vAlign w:val="center"/>
          </w:tcPr>
          <w:p w14:paraId="41E6DC5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附件一-2</w:t>
            </w:r>
          </w:p>
        </w:tc>
      </w:tr>
      <w:tr w14:paraId="166F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9B3A9C8">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p>
        </w:tc>
        <w:tc>
          <w:tcPr>
            <w:tcW w:w="6124" w:type="dxa"/>
            <w:vAlign w:val="center"/>
          </w:tcPr>
          <w:p w14:paraId="41E4C386">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营业执照(或事业法人登记证书或其它工商等登记证明材料)</w:t>
            </w:r>
          </w:p>
        </w:tc>
        <w:tc>
          <w:tcPr>
            <w:tcW w:w="1984" w:type="dxa"/>
            <w:vAlign w:val="center"/>
          </w:tcPr>
          <w:p w14:paraId="2ACA99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附件一-3</w:t>
            </w:r>
          </w:p>
        </w:tc>
      </w:tr>
      <w:tr w14:paraId="6538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03834D08">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w:t>
            </w:r>
          </w:p>
        </w:tc>
        <w:tc>
          <w:tcPr>
            <w:tcW w:w="6124" w:type="dxa"/>
            <w:vAlign w:val="center"/>
          </w:tcPr>
          <w:p w14:paraId="054872DC">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具有履行合同所必需的设备和专业技术能力的承诺函</w:t>
            </w:r>
          </w:p>
        </w:tc>
        <w:tc>
          <w:tcPr>
            <w:tcW w:w="1984" w:type="dxa"/>
            <w:vAlign w:val="center"/>
          </w:tcPr>
          <w:p w14:paraId="46526EC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附件一-4</w:t>
            </w:r>
          </w:p>
        </w:tc>
      </w:tr>
      <w:tr w14:paraId="793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724C799">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6124" w:type="dxa"/>
            <w:vAlign w:val="center"/>
          </w:tcPr>
          <w:p w14:paraId="45E46CF4">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具有良好的信誉和健全的财务会计制度的承诺函</w:t>
            </w:r>
          </w:p>
        </w:tc>
        <w:tc>
          <w:tcPr>
            <w:tcW w:w="1984" w:type="dxa"/>
            <w:vAlign w:val="center"/>
          </w:tcPr>
          <w:p w14:paraId="0D8F088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附件一-5</w:t>
            </w:r>
          </w:p>
        </w:tc>
      </w:tr>
      <w:tr w14:paraId="2AA5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2C61D970">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c>
          <w:tcPr>
            <w:tcW w:w="6124" w:type="dxa"/>
            <w:vAlign w:val="center"/>
          </w:tcPr>
          <w:p w14:paraId="2E8D21CF">
            <w:pPr>
              <w:spacing w:line="400" w:lineRule="exact"/>
              <w:jc w:val="left"/>
              <w:rPr>
                <w:rFonts w:hint="eastAsia"/>
                <w:color w:val="auto"/>
                <w:highlight w:val="none"/>
              </w:rPr>
            </w:pPr>
            <w:r>
              <w:rPr>
                <w:rFonts w:hint="eastAsia" w:ascii="宋体" w:hAnsi="宋体" w:eastAsia="宋体" w:cs="宋体"/>
                <w:color w:val="auto"/>
                <w:sz w:val="21"/>
                <w:szCs w:val="21"/>
                <w:highlight w:val="none"/>
              </w:rPr>
              <w:t>投标人近</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公司所承担业务外包范围内无1人死亡及以上安全生产责任事故（含劳务外包人员）；未被列入安全生产严重失信主体名单。</w:t>
            </w:r>
            <w:r>
              <w:rPr>
                <w:rFonts w:hint="eastAsia" w:ascii="宋体" w:hAnsi="宋体" w:eastAsia="宋体" w:cs="宋体"/>
                <w:color w:val="auto"/>
                <w:sz w:val="21"/>
                <w:szCs w:val="21"/>
                <w:highlight w:val="none"/>
              </w:rPr>
              <w:t>未被列入失信被执行人名单、重大税收违法案件当事人名单、政府采购严重违法失信行为记录名单，信用信息以信用中国网站（www.creditchina.gov.cn）、中国政府采购网（www.ccgp.gov.cn）公布为准；</w:t>
            </w:r>
          </w:p>
        </w:tc>
        <w:tc>
          <w:tcPr>
            <w:tcW w:w="1984" w:type="dxa"/>
            <w:vAlign w:val="center"/>
          </w:tcPr>
          <w:p w14:paraId="05FA619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附件一-6</w:t>
            </w:r>
          </w:p>
        </w:tc>
      </w:tr>
      <w:tr w14:paraId="0598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0B3819BE">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w:t>
            </w:r>
          </w:p>
        </w:tc>
        <w:tc>
          <w:tcPr>
            <w:tcW w:w="6124" w:type="dxa"/>
            <w:vAlign w:val="center"/>
          </w:tcPr>
          <w:p w14:paraId="719ED0B7">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投标人须具有海关颁发的《进出境动植物检疫除害处理单位核准证书》，且资质覆盖A、B、C三类；</w:t>
            </w:r>
          </w:p>
        </w:tc>
        <w:tc>
          <w:tcPr>
            <w:tcW w:w="1984" w:type="dxa"/>
            <w:vAlign w:val="center"/>
          </w:tcPr>
          <w:p w14:paraId="522D90A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附件一-7</w:t>
            </w:r>
          </w:p>
        </w:tc>
      </w:tr>
      <w:tr w14:paraId="46BE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29ABA398">
            <w:pPr>
              <w:spacing w:line="40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1.8</w:t>
            </w:r>
          </w:p>
        </w:tc>
        <w:tc>
          <w:tcPr>
            <w:tcW w:w="6124" w:type="dxa"/>
            <w:vAlign w:val="center"/>
          </w:tcPr>
          <w:p w14:paraId="4C781678">
            <w:pPr>
              <w:spacing w:line="400" w:lineRule="exact"/>
              <w:jc w:val="left"/>
              <w:rPr>
                <w:rFonts w:hint="default" w:ascii="宋体" w:hAnsi="宋体" w:eastAsia="宋体" w:cs="宋体"/>
                <w:color w:val="auto"/>
                <w:szCs w:val="21"/>
                <w:highlight w:val="none"/>
                <w:lang w:val="en-US"/>
              </w:rPr>
            </w:pPr>
            <w:r>
              <w:rPr>
                <w:rFonts w:hint="eastAsia" w:ascii="宋体" w:hAnsi="宋体" w:eastAsia="宋体" w:cs="宋体"/>
                <w:b w:val="0"/>
                <w:bCs w:val="0"/>
                <w:color w:val="auto"/>
                <w:sz w:val="21"/>
                <w:szCs w:val="21"/>
                <w:highlight w:val="none"/>
                <w:lang w:val="en-US" w:eastAsia="zh-CN"/>
              </w:rPr>
              <w:t>用工规模</w:t>
            </w:r>
            <w:r>
              <w:rPr>
                <w:rFonts w:hint="eastAsia" w:ascii="宋体" w:hAnsi="宋体" w:eastAsia="宋体" w:cs="宋体"/>
                <w:color w:val="auto"/>
                <w:sz w:val="21"/>
                <w:szCs w:val="21"/>
                <w:highlight w:val="none"/>
                <w:lang w:val="en-US" w:eastAsia="zh-CN"/>
              </w:rPr>
              <w:t>：与本单位签订劳动合同（劳务协议）的服务人员</w:t>
            </w:r>
            <w:r>
              <w:rPr>
                <w:rFonts w:hint="eastAsia" w:ascii="宋体" w:hAnsi="宋体" w:eastAsia="宋体" w:cs="宋体"/>
                <w:color w:val="auto"/>
                <w:sz w:val="21"/>
                <w:szCs w:val="21"/>
                <w:highlight w:val="none"/>
                <w:lang w:bidi="ar-SA"/>
              </w:rPr>
              <w:t>不少于</w:t>
            </w: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lang w:bidi="ar-SA"/>
              </w:rPr>
              <w:t>0人</w:t>
            </w:r>
            <w:r>
              <w:rPr>
                <w:rFonts w:hint="eastAsia" w:ascii="宋体" w:hAnsi="宋体" w:eastAsia="宋体" w:cs="宋体"/>
                <w:color w:val="auto"/>
                <w:sz w:val="21"/>
                <w:szCs w:val="21"/>
                <w:highlight w:val="none"/>
                <w:lang w:eastAsia="zh-CN" w:bidi="ar-SA"/>
              </w:rPr>
              <w:t>。</w:t>
            </w:r>
            <w:r>
              <w:rPr>
                <w:rFonts w:hint="eastAsia" w:ascii="宋体" w:hAnsi="宋体" w:cs="宋体"/>
                <w:color w:val="auto"/>
                <w:sz w:val="21"/>
                <w:szCs w:val="21"/>
                <w:highlight w:val="none"/>
                <w:lang w:val="en-US" w:eastAsia="zh-CN" w:bidi="ar-SA"/>
              </w:rPr>
              <w:t>提供劳动合同。</w:t>
            </w:r>
          </w:p>
        </w:tc>
        <w:tc>
          <w:tcPr>
            <w:tcW w:w="1984" w:type="dxa"/>
            <w:vAlign w:val="center"/>
          </w:tcPr>
          <w:p w14:paraId="7B010C0B">
            <w:pPr>
              <w:spacing w:line="400" w:lineRule="exact"/>
              <w:jc w:val="center"/>
              <w:rPr>
                <w:rFonts w:hint="eastAsia" w:ascii="宋体" w:hAnsi="宋体" w:eastAsia="宋体" w:cs="宋体"/>
                <w:color w:val="auto"/>
                <w:szCs w:val="21"/>
                <w:highlight w:val="none"/>
              </w:rPr>
            </w:pPr>
          </w:p>
        </w:tc>
      </w:tr>
      <w:tr w14:paraId="67F6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8633AA5">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9</w:t>
            </w:r>
          </w:p>
        </w:tc>
        <w:tc>
          <w:tcPr>
            <w:tcW w:w="6124" w:type="dxa"/>
            <w:vAlign w:val="center"/>
          </w:tcPr>
          <w:p w14:paraId="59E56744">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投标人认为需要提供的其他资格审查资料（如有）</w:t>
            </w:r>
          </w:p>
        </w:tc>
        <w:tc>
          <w:tcPr>
            <w:tcW w:w="1984" w:type="dxa"/>
            <w:vAlign w:val="center"/>
          </w:tcPr>
          <w:p w14:paraId="05FCE9FC">
            <w:pPr>
              <w:spacing w:line="400" w:lineRule="exact"/>
              <w:jc w:val="center"/>
              <w:rPr>
                <w:rFonts w:hint="eastAsia" w:ascii="宋体" w:hAnsi="宋体" w:eastAsia="宋体" w:cs="宋体"/>
                <w:color w:val="auto"/>
                <w:szCs w:val="21"/>
                <w:highlight w:val="none"/>
              </w:rPr>
            </w:pPr>
          </w:p>
        </w:tc>
      </w:tr>
    </w:tbl>
    <w:p w14:paraId="51D9951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highlight w:val="none"/>
        </w:rPr>
        <w:t>商务技术标</w:t>
      </w:r>
      <w:r>
        <w:rPr>
          <w:rFonts w:hint="eastAsia" w:ascii="宋体" w:hAnsi="宋体" w:eastAsia="宋体" w:cs="宋体"/>
          <w:b/>
          <w:color w:val="auto"/>
          <w:szCs w:val="21"/>
          <w:highlight w:val="none"/>
        </w:rPr>
        <w:t>的组成</w:t>
      </w:r>
    </w:p>
    <w:tbl>
      <w:tblPr>
        <w:tblStyle w:val="25"/>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24"/>
        <w:gridCol w:w="1984"/>
      </w:tblGrid>
      <w:tr w14:paraId="03FF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28DFCEB0">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124" w:type="dxa"/>
            <w:vAlign w:val="center"/>
          </w:tcPr>
          <w:p w14:paraId="1502072B">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984" w:type="dxa"/>
            <w:vAlign w:val="center"/>
          </w:tcPr>
          <w:p w14:paraId="2F525DAA">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1E4E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D07C0BD">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w:t>
            </w:r>
          </w:p>
        </w:tc>
        <w:tc>
          <w:tcPr>
            <w:tcW w:w="6124" w:type="dxa"/>
            <w:vAlign w:val="center"/>
          </w:tcPr>
          <w:p w14:paraId="2CC65432">
            <w:pPr>
              <w:spacing w:line="360" w:lineRule="auto"/>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投标函</w:t>
            </w:r>
          </w:p>
        </w:tc>
        <w:tc>
          <w:tcPr>
            <w:tcW w:w="1984" w:type="dxa"/>
            <w:vAlign w:val="center"/>
          </w:tcPr>
          <w:p w14:paraId="1EABBD0F">
            <w:pPr>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附件二</w:t>
            </w:r>
          </w:p>
        </w:tc>
      </w:tr>
      <w:tr w14:paraId="561F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7CAEE09E">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w:t>
            </w:r>
          </w:p>
        </w:tc>
        <w:tc>
          <w:tcPr>
            <w:tcW w:w="6124" w:type="dxa"/>
            <w:vAlign w:val="center"/>
          </w:tcPr>
          <w:p w14:paraId="7DBB58B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技术规格、商务条款偏离表</w:t>
            </w:r>
          </w:p>
        </w:tc>
        <w:tc>
          <w:tcPr>
            <w:tcW w:w="1984" w:type="dxa"/>
            <w:vAlign w:val="center"/>
          </w:tcPr>
          <w:p w14:paraId="7C79EE2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w:t>
            </w:r>
          </w:p>
        </w:tc>
      </w:tr>
      <w:tr w14:paraId="0103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6C4BD47B">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w:t>
            </w:r>
          </w:p>
        </w:tc>
        <w:tc>
          <w:tcPr>
            <w:tcW w:w="6124" w:type="dxa"/>
            <w:vAlign w:val="center"/>
          </w:tcPr>
          <w:p w14:paraId="5FCB136C">
            <w:pPr>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投标人基本情况表</w:t>
            </w:r>
          </w:p>
        </w:tc>
        <w:tc>
          <w:tcPr>
            <w:tcW w:w="1984" w:type="dxa"/>
            <w:vAlign w:val="center"/>
          </w:tcPr>
          <w:p w14:paraId="6A307BD6">
            <w:pPr>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附件四</w:t>
            </w:r>
          </w:p>
        </w:tc>
      </w:tr>
      <w:tr w14:paraId="5F45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53DB16A3">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w:t>
            </w:r>
          </w:p>
        </w:tc>
        <w:tc>
          <w:tcPr>
            <w:tcW w:w="6124" w:type="dxa"/>
            <w:tcBorders>
              <w:top w:val="single" w:color="auto" w:sz="4" w:space="0"/>
              <w:left w:val="single" w:color="auto" w:sz="4" w:space="0"/>
              <w:bottom w:val="single" w:color="auto" w:sz="4" w:space="0"/>
              <w:right w:val="single" w:color="auto" w:sz="4" w:space="0"/>
            </w:tcBorders>
            <w:vAlign w:val="center"/>
          </w:tcPr>
          <w:p w14:paraId="4B08A54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投标人的综合实力</w:t>
            </w:r>
          </w:p>
        </w:tc>
        <w:tc>
          <w:tcPr>
            <w:tcW w:w="1984" w:type="dxa"/>
            <w:tcBorders>
              <w:top w:val="single" w:color="auto" w:sz="4" w:space="0"/>
              <w:left w:val="single" w:color="auto" w:sz="4" w:space="0"/>
              <w:bottom w:val="single" w:color="auto" w:sz="4" w:space="0"/>
              <w:right w:val="single" w:color="auto" w:sz="4" w:space="0"/>
            </w:tcBorders>
            <w:vAlign w:val="center"/>
          </w:tcPr>
          <w:p w14:paraId="7821706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5FA7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61D14F41">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w:t>
            </w:r>
          </w:p>
        </w:tc>
        <w:tc>
          <w:tcPr>
            <w:tcW w:w="6124" w:type="dxa"/>
            <w:tcBorders>
              <w:top w:val="single" w:color="auto" w:sz="4" w:space="0"/>
              <w:left w:val="single" w:color="auto" w:sz="4" w:space="0"/>
              <w:bottom w:val="single" w:color="auto" w:sz="4" w:space="0"/>
              <w:right w:val="single" w:color="auto" w:sz="4" w:space="0"/>
            </w:tcBorders>
            <w:vAlign w:val="center"/>
          </w:tcPr>
          <w:p w14:paraId="5EA56D21">
            <w:pPr>
              <w:spacing w:line="360" w:lineRule="auto"/>
              <w:rPr>
                <w:rFonts w:hint="eastAsia" w:ascii="宋体" w:hAnsi="宋体" w:eastAsia="宋体" w:cs="宋体"/>
                <w:color w:val="auto"/>
                <w:szCs w:val="21"/>
                <w:highlight w:val="none"/>
              </w:rPr>
            </w:pPr>
            <w:r>
              <w:rPr>
                <w:rFonts w:hint="eastAsia" w:ascii="宋体" w:hAnsi="宋体" w:eastAsia="宋体" w:cs="宋体"/>
                <w:snapToGrid w:val="0"/>
                <w:color w:val="auto"/>
                <w:kern w:val="0"/>
                <w:szCs w:val="21"/>
                <w:highlight w:val="none"/>
              </w:rPr>
              <w:t>体系认证情况</w:t>
            </w:r>
          </w:p>
        </w:tc>
        <w:tc>
          <w:tcPr>
            <w:tcW w:w="1984" w:type="dxa"/>
            <w:tcBorders>
              <w:top w:val="single" w:color="auto" w:sz="4" w:space="0"/>
              <w:left w:val="single" w:color="auto" w:sz="4" w:space="0"/>
              <w:bottom w:val="single" w:color="auto" w:sz="4" w:space="0"/>
              <w:right w:val="single" w:color="auto" w:sz="4" w:space="0"/>
            </w:tcBorders>
            <w:vAlign w:val="center"/>
          </w:tcPr>
          <w:p w14:paraId="71933D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附件五</w:t>
            </w:r>
          </w:p>
        </w:tc>
      </w:tr>
      <w:tr w14:paraId="5BC0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0688860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w:t>
            </w:r>
          </w:p>
        </w:tc>
        <w:tc>
          <w:tcPr>
            <w:tcW w:w="6124" w:type="dxa"/>
            <w:tcBorders>
              <w:top w:val="single" w:color="auto" w:sz="4" w:space="0"/>
              <w:left w:val="single" w:color="auto" w:sz="4" w:space="0"/>
              <w:bottom w:val="single" w:color="auto" w:sz="4" w:space="0"/>
              <w:right w:val="single" w:color="auto" w:sz="4" w:space="0"/>
            </w:tcBorders>
            <w:vAlign w:val="center"/>
          </w:tcPr>
          <w:p w14:paraId="5FC16C88">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spacing w:val="6"/>
                <w:szCs w:val="21"/>
                <w:highlight w:val="none"/>
              </w:rPr>
              <w:t>项目</w:t>
            </w:r>
            <w:r>
              <w:rPr>
                <w:rFonts w:hint="eastAsia" w:ascii="宋体" w:hAnsi="宋体" w:eastAsia="宋体" w:cs="宋体"/>
                <w:snapToGrid w:val="0"/>
                <w:color w:val="auto"/>
                <w:kern w:val="0"/>
                <w:szCs w:val="21"/>
                <w:highlight w:val="none"/>
              </w:rPr>
              <w:t>业绩情况表</w:t>
            </w:r>
          </w:p>
        </w:tc>
        <w:tc>
          <w:tcPr>
            <w:tcW w:w="1984" w:type="dxa"/>
            <w:tcBorders>
              <w:top w:val="single" w:color="auto" w:sz="4" w:space="0"/>
              <w:left w:val="single" w:color="auto" w:sz="4" w:space="0"/>
              <w:bottom w:val="single" w:color="auto" w:sz="4" w:space="0"/>
              <w:right w:val="single" w:color="auto" w:sz="4" w:space="0"/>
            </w:tcBorders>
            <w:vAlign w:val="center"/>
          </w:tcPr>
          <w:p w14:paraId="62597B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附件六</w:t>
            </w:r>
          </w:p>
        </w:tc>
      </w:tr>
      <w:tr w14:paraId="20DB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7CC921A9">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w:t>
            </w:r>
          </w:p>
        </w:tc>
        <w:tc>
          <w:tcPr>
            <w:tcW w:w="6124" w:type="dxa"/>
            <w:vAlign w:val="center"/>
          </w:tcPr>
          <w:p w14:paraId="6B46CCB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拟投入本项目的工作人员</w:t>
            </w:r>
          </w:p>
        </w:tc>
        <w:tc>
          <w:tcPr>
            <w:tcW w:w="1984" w:type="dxa"/>
            <w:vAlign w:val="center"/>
          </w:tcPr>
          <w:p w14:paraId="381FE4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附件七</w:t>
            </w:r>
          </w:p>
        </w:tc>
      </w:tr>
      <w:tr w14:paraId="5522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58730987">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2.8</w:t>
            </w:r>
          </w:p>
        </w:tc>
        <w:tc>
          <w:tcPr>
            <w:tcW w:w="6124" w:type="dxa"/>
            <w:vAlign w:val="center"/>
          </w:tcPr>
          <w:p w14:paraId="45CD15D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投标人监测服务使用器械</w:t>
            </w:r>
          </w:p>
        </w:tc>
        <w:tc>
          <w:tcPr>
            <w:tcW w:w="1984" w:type="dxa"/>
            <w:vAlign w:val="center"/>
          </w:tcPr>
          <w:p w14:paraId="5FFA8F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2447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84B3736">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2.9</w:t>
            </w:r>
          </w:p>
        </w:tc>
        <w:tc>
          <w:tcPr>
            <w:tcW w:w="6124" w:type="dxa"/>
            <w:vAlign w:val="center"/>
          </w:tcPr>
          <w:p w14:paraId="752365B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监测实施方案</w:t>
            </w:r>
          </w:p>
        </w:tc>
        <w:tc>
          <w:tcPr>
            <w:tcW w:w="1984" w:type="dxa"/>
            <w:vAlign w:val="center"/>
          </w:tcPr>
          <w:p w14:paraId="1ABB0E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0761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0888B2FA">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2.10</w:t>
            </w:r>
          </w:p>
        </w:tc>
        <w:tc>
          <w:tcPr>
            <w:tcW w:w="6124" w:type="dxa"/>
            <w:vAlign w:val="center"/>
          </w:tcPr>
          <w:p w14:paraId="75F75E8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售后服务保障</w:t>
            </w:r>
          </w:p>
        </w:tc>
        <w:tc>
          <w:tcPr>
            <w:tcW w:w="1984" w:type="dxa"/>
            <w:vAlign w:val="center"/>
          </w:tcPr>
          <w:p w14:paraId="06854C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2400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7E64B21">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2.11</w:t>
            </w:r>
          </w:p>
        </w:tc>
        <w:tc>
          <w:tcPr>
            <w:tcW w:w="6124" w:type="dxa"/>
            <w:vAlign w:val="center"/>
          </w:tcPr>
          <w:p w14:paraId="2C6733F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投标人认为需要提供的其他商务技术资料（如有）</w:t>
            </w:r>
          </w:p>
        </w:tc>
        <w:tc>
          <w:tcPr>
            <w:tcW w:w="1984" w:type="dxa"/>
            <w:vAlign w:val="center"/>
          </w:tcPr>
          <w:p w14:paraId="31914E22">
            <w:pPr>
              <w:spacing w:line="360" w:lineRule="auto"/>
              <w:jc w:val="center"/>
              <w:rPr>
                <w:rFonts w:hint="eastAsia" w:ascii="宋体" w:hAnsi="宋体" w:eastAsia="宋体" w:cs="宋体"/>
                <w:color w:val="auto"/>
                <w:szCs w:val="21"/>
                <w:highlight w:val="none"/>
              </w:rPr>
            </w:pPr>
          </w:p>
        </w:tc>
      </w:tr>
    </w:tbl>
    <w:p w14:paraId="3CF0E64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3、价格标</w:t>
      </w:r>
    </w:p>
    <w:tbl>
      <w:tblPr>
        <w:tblStyle w:val="25"/>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24"/>
        <w:gridCol w:w="1984"/>
      </w:tblGrid>
      <w:tr w14:paraId="1FF9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51" w:type="dxa"/>
            <w:vAlign w:val="center"/>
          </w:tcPr>
          <w:p w14:paraId="28736DC1">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124" w:type="dxa"/>
            <w:vAlign w:val="center"/>
          </w:tcPr>
          <w:p w14:paraId="1282BFB4">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984" w:type="dxa"/>
            <w:vAlign w:val="center"/>
          </w:tcPr>
          <w:p w14:paraId="24D5C5A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0F7BE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1" w:type="dxa"/>
            <w:vAlign w:val="center"/>
          </w:tcPr>
          <w:p w14:paraId="025E7DAA">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124" w:type="dxa"/>
            <w:vAlign w:val="center"/>
          </w:tcPr>
          <w:p w14:paraId="77256FD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w:t>
            </w:r>
          </w:p>
        </w:tc>
        <w:tc>
          <w:tcPr>
            <w:tcW w:w="1984" w:type="dxa"/>
            <w:vAlign w:val="center"/>
          </w:tcPr>
          <w:p w14:paraId="5F871A7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附件八-1</w:t>
            </w:r>
          </w:p>
        </w:tc>
      </w:tr>
      <w:bookmarkEnd w:id="24"/>
    </w:tbl>
    <w:p w14:paraId="3DC17BC3">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27" w:name="_Toc50128391"/>
      <w:bookmarkStart w:id="28" w:name="_Toc404"/>
      <w:bookmarkStart w:id="29" w:name="_Toc121800407"/>
      <w:bookmarkStart w:id="30" w:name="_Toc527495474"/>
      <w:r>
        <w:rPr>
          <w:rFonts w:hint="eastAsia" w:ascii="宋体" w:hAnsi="宋体" w:eastAsia="宋体" w:cs="宋体"/>
          <w:b/>
          <w:color w:val="auto"/>
          <w:szCs w:val="21"/>
          <w:highlight w:val="none"/>
        </w:rPr>
        <w:t>★注：投标函、法定代表人授权委托书（或法定代表人资格证明书）、投标声明书、各类承诺函、开标一览表必须加盖单位公章。</w:t>
      </w:r>
      <w:bookmarkEnd w:id="27"/>
    </w:p>
    <w:p w14:paraId="1F449CD5">
      <w:pPr>
        <w:snapToGrid w:val="0"/>
        <w:spacing w:line="360" w:lineRule="auto"/>
        <w:ind w:firstLine="413" w:firstLineChars="196"/>
        <w:jc w:val="left"/>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（二）投标文件的语言及计量</w:t>
      </w:r>
      <w:bookmarkEnd w:id="25"/>
      <w:bookmarkEnd w:id="28"/>
      <w:bookmarkEnd w:id="29"/>
      <w:bookmarkEnd w:id="30"/>
    </w:p>
    <w:p w14:paraId="675318C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★1.投标文件以及投标人与招标人就有关投标事宜的所有来往函电，均应以中文汉语书写。除签名、盖章、专用名称等特殊情形外，以中文汉语以外的文字表述的投标文件视同未提供。</w:t>
      </w:r>
    </w:p>
    <w:p w14:paraId="6813FB25">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★2.投标计量单位，招标文件已有明确规定的，使用招标文件规定的计量单位；招标文件没有规定的，应采用中华人民共和国法定计量单位（例如货币单位：人民币元），否则视同未响应。</w:t>
      </w:r>
    </w:p>
    <w:p w14:paraId="71EF71B5">
      <w:pPr>
        <w:snapToGrid w:val="0"/>
        <w:spacing w:line="360" w:lineRule="auto"/>
        <w:ind w:firstLine="413" w:firstLineChars="196"/>
        <w:jc w:val="left"/>
        <w:outlineLvl w:val="0"/>
        <w:rPr>
          <w:rFonts w:hint="eastAsia" w:ascii="宋体" w:hAnsi="宋体" w:eastAsia="宋体" w:cs="宋体"/>
          <w:b/>
          <w:color w:val="auto"/>
          <w:sz w:val="21"/>
          <w:szCs w:val="21"/>
          <w:highlight w:val="none"/>
        </w:rPr>
      </w:pPr>
      <w:bookmarkStart w:id="31" w:name="_Toc527495475"/>
      <w:bookmarkStart w:id="32" w:name="_Toc18319"/>
      <w:bookmarkStart w:id="33" w:name="_Toc30109"/>
      <w:bookmarkStart w:id="34" w:name="_Toc121800408"/>
      <w:r>
        <w:rPr>
          <w:rFonts w:hint="eastAsia" w:ascii="宋体" w:hAnsi="宋体" w:eastAsia="宋体" w:cs="宋体"/>
          <w:b/>
          <w:color w:val="auto"/>
          <w:sz w:val="21"/>
          <w:szCs w:val="21"/>
          <w:highlight w:val="none"/>
        </w:rPr>
        <w:t>（三）投标报价</w:t>
      </w:r>
      <w:bookmarkEnd w:id="31"/>
      <w:bookmarkEnd w:id="32"/>
      <w:bookmarkEnd w:id="33"/>
      <w:bookmarkEnd w:id="34"/>
    </w:p>
    <w:p w14:paraId="1D2B3296">
      <w:pPr>
        <w:pStyle w:val="38"/>
        <w:spacing w:line="360" w:lineRule="auto"/>
        <w:ind w:firstLine="442"/>
        <w:rPr>
          <w:rFonts w:hint="eastAsia" w:ascii="宋体" w:hAnsi="宋体" w:eastAsia="宋体" w:cs="宋体"/>
          <w:b/>
          <w:bCs/>
          <w:color w:val="auto"/>
          <w:sz w:val="21"/>
          <w:szCs w:val="21"/>
          <w:highlight w:val="none"/>
        </w:rPr>
      </w:pPr>
      <w:bookmarkStart w:id="35" w:name="_Toc27582"/>
      <w:bookmarkStart w:id="36" w:name="_Toc26553"/>
      <w:bookmarkStart w:id="37" w:name="_Toc527495476"/>
      <w:r>
        <w:rPr>
          <w:rFonts w:hint="eastAsia" w:ascii="宋体" w:hAnsi="宋体" w:eastAsia="宋体" w:cs="宋体"/>
          <w:b/>
          <w:bCs/>
          <w:color w:val="auto"/>
          <w:sz w:val="21"/>
          <w:szCs w:val="21"/>
          <w:highlight w:val="none"/>
        </w:rPr>
        <w:t>1.投标报价应按招标文件中相关附表格式填写。</w:t>
      </w:r>
      <w:bookmarkEnd w:id="35"/>
      <w:bookmarkEnd w:id="36"/>
      <w:bookmarkEnd w:id="37"/>
    </w:p>
    <w:p w14:paraId="7D15D9D5">
      <w:pPr>
        <w:pStyle w:val="38"/>
        <w:spacing w:line="360" w:lineRule="auto"/>
        <w:ind w:firstLine="424" w:firstLineChars="201"/>
        <w:rPr>
          <w:rFonts w:hint="eastAsia" w:ascii="宋体" w:hAnsi="宋体" w:eastAsia="宋体" w:cs="宋体"/>
          <w:color w:val="auto"/>
          <w:sz w:val="22"/>
          <w:szCs w:val="22"/>
          <w:highlight w:val="none"/>
        </w:rPr>
      </w:pPr>
      <w:bookmarkStart w:id="38" w:name="_Toc27262"/>
      <w:bookmarkStart w:id="39" w:name="_Toc527495477"/>
      <w:r>
        <w:rPr>
          <w:rFonts w:hint="eastAsia" w:ascii="宋体" w:hAnsi="宋体" w:eastAsia="宋体" w:cs="宋体"/>
          <w:b/>
          <w:color w:val="auto"/>
          <w:sz w:val="21"/>
          <w:szCs w:val="21"/>
          <w:highlight w:val="none"/>
        </w:rPr>
        <w:t>★2.</w:t>
      </w:r>
      <w:bookmarkEnd w:id="38"/>
      <w:bookmarkEnd w:id="39"/>
      <w:r>
        <w:rPr>
          <w:rFonts w:hint="eastAsia" w:ascii="宋体" w:hAnsi="宋体" w:eastAsia="宋体" w:cs="宋体"/>
          <w:color w:val="auto"/>
          <w:sz w:val="21"/>
          <w:szCs w:val="21"/>
          <w:highlight w:val="none"/>
        </w:rPr>
        <w:t xml:space="preserve"> 投标报价是指中标人在正确地完全履行合同义务后招标人应支付给中标人所有的服务价款，包含本项目的人力成本、设备成本、管理费、资料费用、调查费用、专家考察、咨询及审查费、正式报告印刷费、交通费、保险费、税费等完成本项目的所有费用，以及合同实施过程中的应预见和不可预见费用等完成合同规定责任和义务、达到合同目的的一切费用及利润等各项全部费用</w:t>
      </w:r>
      <w:r>
        <w:rPr>
          <w:rFonts w:hint="eastAsia" w:ascii="宋体" w:hAnsi="宋体" w:eastAsia="宋体" w:cs="宋体"/>
          <w:color w:val="auto"/>
          <w:sz w:val="21"/>
          <w:szCs w:val="21"/>
          <w:highlight w:val="none"/>
          <w:lang w:eastAsia="zh-CN"/>
        </w:rPr>
        <w:t>。</w:t>
      </w:r>
    </w:p>
    <w:p w14:paraId="1A4228BD">
      <w:pPr>
        <w:pStyle w:val="38"/>
        <w:spacing w:line="360" w:lineRule="auto"/>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★3.投标文件只允许有一个投标价，有选择的或有条件的报价将不予接受。</w:t>
      </w:r>
    </w:p>
    <w:p w14:paraId="01282ECC">
      <w:pPr>
        <w:tabs>
          <w:tab w:val="left" w:pos="-180"/>
          <w:tab w:val="left" w:pos="180"/>
          <w:tab w:val="left" w:pos="360"/>
        </w:tabs>
        <w:spacing w:line="440" w:lineRule="exact"/>
        <w:ind w:left="1" w:firstLine="424" w:firstLine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★投标报价报出后，投标人不得以任何理由予以变更。任何包含价格调整的要求，将被认为是非实质性响应投标而予以拒绝。</w:t>
      </w:r>
    </w:p>
    <w:p w14:paraId="54B447A8">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40" w:name="_Toc121800409"/>
      <w:bookmarkStart w:id="41" w:name="_Toc11291"/>
      <w:bookmarkStart w:id="42" w:name="_Toc527495479"/>
      <w:bookmarkStart w:id="43" w:name="_Toc26111"/>
      <w:r>
        <w:rPr>
          <w:rFonts w:hint="eastAsia" w:ascii="宋体" w:hAnsi="宋体" w:eastAsia="宋体" w:cs="宋体"/>
          <w:b/>
          <w:color w:val="auto"/>
          <w:szCs w:val="21"/>
          <w:highlight w:val="none"/>
        </w:rPr>
        <w:t>（四）投标文件的有效期</w:t>
      </w:r>
      <w:bookmarkEnd w:id="40"/>
      <w:bookmarkEnd w:id="41"/>
      <w:bookmarkEnd w:id="42"/>
      <w:bookmarkEnd w:id="43"/>
    </w:p>
    <w:p w14:paraId="1F67279E">
      <w:pPr>
        <w:pStyle w:val="6"/>
        <w:numPr>
          <w:ilvl w:val="0"/>
          <w:numId w:val="0"/>
        </w:numPr>
        <w:tabs>
          <w:tab w:val="left" w:pos="567"/>
          <w:tab w:val="clear" w:pos="360"/>
        </w:tabs>
        <w:snapToGrid w:val="0"/>
        <w:spacing w:line="360" w:lineRule="auto"/>
        <w:ind w:left="360" w:firstLine="6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★1.自投标截止日起</w:t>
      </w:r>
      <w:r>
        <w:rPr>
          <w:rFonts w:hint="eastAsia" w:ascii="宋体" w:hAnsi="宋体" w:eastAsia="宋体" w:cs="宋体"/>
          <w:b/>
          <w:color w:val="auto"/>
          <w:szCs w:val="21"/>
          <w:highlight w:val="none"/>
          <w:u w:val="single"/>
        </w:rPr>
        <w:t>90</w:t>
      </w:r>
      <w:r>
        <w:rPr>
          <w:rFonts w:hint="eastAsia" w:ascii="宋体" w:hAnsi="宋体" w:eastAsia="宋体" w:cs="宋体"/>
          <w:b/>
          <w:color w:val="auto"/>
          <w:szCs w:val="21"/>
          <w:highlight w:val="none"/>
        </w:rPr>
        <w:t>天投标文件应保持有效。有效期不足的投标文件将被拒绝。</w:t>
      </w:r>
    </w:p>
    <w:p w14:paraId="08B31901">
      <w:pPr>
        <w:pStyle w:val="6"/>
        <w:numPr>
          <w:ilvl w:val="0"/>
          <w:numId w:val="0"/>
        </w:numPr>
        <w:tabs>
          <w:tab w:val="left" w:pos="567"/>
          <w:tab w:val="clear" w:pos="360"/>
        </w:tabs>
        <w:snapToGrid w:val="0"/>
        <w:spacing w:line="360" w:lineRule="auto"/>
        <w:ind w:left="210" w:lef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2.在特殊情况下，招标人可与投标人协商延长投标书的有效期，这种要求和答复均以书面形式进行。</w:t>
      </w:r>
    </w:p>
    <w:p w14:paraId="66FBE029">
      <w:pPr>
        <w:pStyle w:val="6"/>
        <w:numPr>
          <w:ilvl w:val="0"/>
          <w:numId w:val="0"/>
        </w:numPr>
        <w:tabs>
          <w:tab w:val="left" w:pos="567"/>
          <w:tab w:val="clear" w:pos="360"/>
        </w:tabs>
        <w:snapToGrid w:val="0"/>
        <w:spacing w:line="360" w:lineRule="auto"/>
        <w:ind w:left="210" w:leftChars="100" w:firstLine="420" w:firstLineChars="200"/>
        <w:rPr>
          <w:rFonts w:hint="eastAsia" w:ascii="宋体" w:hAnsi="宋体" w:eastAsia="宋体" w:cs="宋体"/>
          <w:color w:val="auto"/>
          <w:szCs w:val="21"/>
          <w:highlight w:val="none"/>
        </w:rPr>
      </w:pPr>
      <w:bookmarkStart w:id="44" w:name="_Toc527495480"/>
      <w:bookmarkStart w:id="45" w:name="_Toc10050"/>
      <w:bookmarkStart w:id="46" w:name="_Toc13025"/>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44"/>
      <w:bookmarkEnd w:id="45"/>
      <w:bookmarkEnd w:id="46"/>
    </w:p>
    <w:p w14:paraId="15C8D97F">
      <w:pPr>
        <w:pStyle w:val="6"/>
        <w:numPr>
          <w:ilvl w:val="0"/>
          <w:numId w:val="0"/>
        </w:numPr>
        <w:tabs>
          <w:tab w:val="left" w:pos="567"/>
          <w:tab w:val="clear" w:pos="360"/>
        </w:tabs>
        <w:snapToGrid w:val="0"/>
        <w:spacing w:line="360" w:lineRule="auto"/>
        <w:ind w:left="210" w:leftChars="100" w:firstLine="420" w:firstLineChars="200"/>
        <w:rPr>
          <w:rFonts w:hint="eastAsia" w:ascii="宋体" w:hAnsi="宋体" w:eastAsia="宋体" w:cs="宋体"/>
          <w:color w:val="auto"/>
          <w:szCs w:val="21"/>
          <w:highlight w:val="none"/>
        </w:rPr>
      </w:pPr>
      <w:bookmarkStart w:id="47" w:name="_Toc527495481"/>
      <w:bookmarkStart w:id="48" w:name="_Toc19039"/>
      <w:bookmarkStart w:id="49" w:name="_Toc26137"/>
      <w:r>
        <w:rPr>
          <w:rFonts w:hint="eastAsia" w:ascii="宋体" w:hAnsi="宋体" w:eastAsia="宋体" w:cs="宋体"/>
          <w:color w:val="auto"/>
          <w:szCs w:val="21"/>
          <w:highlight w:val="none"/>
        </w:rPr>
        <w:t>4.中标人的投标文件自开标之日起至合同履行完毕止均应保持有效。</w:t>
      </w:r>
      <w:bookmarkEnd w:id="47"/>
      <w:bookmarkEnd w:id="48"/>
      <w:bookmarkEnd w:id="49"/>
    </w:p>
    <w:p w14:paraId="3D78ED42">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50" w:name="_Toc527495482"/>
      <w:bookmarkStart w:id="51" w:name="_Toc121800410"/>
      <w:bookmarkStart w:id="52" w:name="_Toc1123"/>
      <w:bookmarkStart w:id="53" w:name="_Toc10656"/>
      <w:r>
        <w:rPr>
          <w:rFonts w:hint="eastAsia" w:ascii="宋体" w:hAnsi="宋体" w:eastAsia="宋体" w:cs="宋体"/>
          <w:b/>
          <w:color w:val="auto"/>
          <w:szCs w:val="21"/>
          <w:highlight w:val="none"/>
        </w:rPr>
        <w:t>（五）投标保证金</w:t>
      </w:r>
      <w:bookmarkEnd w:id="50"/>
      <w:bookmarkEnd w:id="51"/>
      <w:bookmarkEnd w:id="52"/>
      <w:bookmarkEnd w:id="53"/>
    </w:p>
    <w:p w14:paraId="5B5E5457">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★1.投标人须按规定提交投标保证金。否则，其投标将被拒绝。</w:t>
      </w:r>
    </w:p>
    <w:p w14:paraId="6AAE2837">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2.保证金形式：</w:t>
      </w:r>
      <w:r>
        <w:rPr>
          <w:rFonts w:hint="eastAsia" w:ascii="宋体" w:hAnsi="宋体" w:eastAsia="宋体" w:cs="宋体"/>
          <w:bCs/>
          <w:color w:val="auto"/>
          <w:kern w:val="0"/>
          <w:szCs w:val="21"/>
          <w:highlight w:val="none"/>
        </w:rPr>
        <w:t>银行转账</w:t>
      </w:r>
      <w:r>
        <w:rPr>
          <w:rFonts w:hint="eastAsia" w:ascii="宋体" w:hAnsi="宋体" w:eastAsia="宋体" w:cs="宋体"/>
          <w:color w:val="auto"/>
          <w:szCs w:val="21"/>
          <w:highlight w:val="none"/>
        </w:rPr>
        <w:t>；</w:t>
      </w:r>
    </w:p>
    <w:p w14:paraId="4CFD07BC">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3.未中标人的投标保证金将在中标通知书发出后 5个工作日内，向未中标人无息退还投标保证金。</w:t>
      </w:r>
    </w:p>
    <w:p w14:paraId="2213E536">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4.中标人应在中标通知书发出后30日内与招标人签订合同，中标人的投标保证金在与招标人签订合同后5个工作日内一次性无息退还给中标人。</w:t>
      </w:r>
    </w:p>
    <w:p w14:paraId="209AC8F6">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5.投标人有下列情形之一的，投标保证金将不予退还：</w:t>
      </w:r>
    </w:p>
    <w:p w14:paraId="47D4A454">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（1）投标人在投标有效期内撤回投标文件的；</w:t>
      </w:r>
    </w:p>
    <w:p w14:paraId="144E2D85">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（2）未按规定提交履约保证金的；</w:t>
      </w:r>
    </w:p>
    <w:p w14:paraId="7A76C796">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（3）投标人在投标过程中弄虚作假，提供虚假材料的；</w:t>
      </w:r>
    </w:p>
    <w:p w14:paraId="2C0FB197">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（4）中标人无正当理由不与招标人签订合同的；</w:t>
      </w:r>
    </w:p>
    <w:p w14:paraId="19B5ABCA">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（5）将中标项目转让给他人或者在投标文件中未说明且未经招标人同意，将中标项目分包给他人的；</w:t>
      </w:r>
    </w:p>
    <w:p w14:paraId="0D285EC1">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（6）投标人在投标过程中违反有关法律法规的；</w:t>
      </w:r>
    </w:p>
    <w:p w14:paraId="05B2A643">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（7）其他严重扰乱招投标程序的；</w:t>
      </w:r>
    </w:p>
    <w:p w14:paraId="31B2D9F2">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54" w:name="_Toc2315"/>
      <w:bookmarkStart w:id="55" w:name="_Toc527495483"/>
      <w:bookmarkStart w:id="56" w:name="_Toc121800411"/>
      <w:bookmarkStart w:id="57" w:name="_Toc1814"/>
      <w:r>
        <w:rPr>
          <w:rFonts w:hint="eastAsia" w:ascii="宋体" w:hAnsi="宋体" w:eastAsia="宋体" w:cs="宋体"/>
          <w:b/>
          <w:color w:val="auto"/>
          <w:szCs w:val="21"/>
          <w:highlight w:val="none"/>
        </w:rPr>
        <w:t>（六）投标文件的签署</w:t>
      </w:r>
      <w:bookmarkEnd w:id="54"/>
      <w:bookmarkEnd w:id="55"/>
      <w:bookmarkEnd w:id="56"/>
      <w:bookmarkEnd w:id="57"/>
    </w:p>
    <w:p w14:paraId="49D9D3A1">
      <w:pPr>
        <w:snapToGrid w:val="0"/>
        <w:spacing w:before="156" w:beforeLines="50" w:line="360" w:lineRule="auto"/>
        <w:ind w:firstLine="308" w:firstLineChars="147"/>
        <w:jc w:val="left"/>
        <w:rPr>
          <w:rFonts w:hint="eastAsia" w:ascii="宋体" w:hAnsi="宋体" w:eastAsia="宋体" w:cs="宋体"/>
          <w:bCs/>
          <w:color w:val="auto"/>
          <w:szCs w:val="21"/>
          <w:highlight w:val="none"/>
        </w:rPr>
      </w:pPr>
      <w:bookmarkStart w:id="58" w:name="_Toc121800412"/>
      <w:r>
        <w:rPr>
          <w:rFonts w:hint="eastAsia" w:ascii="宋体" w:hAnsi="宋体" w:eastAsia="宋体" w:cs="宋体"/>
          <w:bCs/>
          <w:color w:val="auto"/>
          <w:szCs w:val="21"/>
          <w:highlight w:val="none"/>
        </w:rPr>
        <w:t>1.投标人应按本招标文件规定的格式和顺序编制、标注页码，投标文件内容不完整、编排混乱导致投标文件被误读、漏读或者查找不到相关内容的，是投标人的责任。</w:t>
      </w:r>
    </w:p>
    <w:p w14:paraId="49CCA42A">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2.将电子投标文件加密后递交至电子招标采购平台。</w:t>
      </w:r>
    </w:p>
    <w:p w14:paraId="6AF0C261">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3.投标文件需打印或用不褪色的墨水填写，制作成电子加密投标文件后上传到电子招标采购平台。</w:t>
      </w:r>
    </w:p>
    <w:p w14:paraId="0579D3A8">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4.投标文件须由投标人在规定位置盖章并由法定代表人或法定代表人的授权委托人签署，投标人应写全称。</w:t>
      </w:r>
    </w:p>
    <w:p w14:paraId="4256637C">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5.投标文件不得涂改，若有修改错漏处，须加盖单位公章或者法定代表人或授权委托人签字或盖章。投标文件因字迹潦草或表达不清或电子文件质量差辨识不清等所引起的后果由投标人负责。</w:t>
      </w:r>
    </w:p>
    <w:p w14:paraId="525DD6EA">
      <w:pPr>
        <w:snapToGrid w:val="0"/>
        <w:spacing w:line="360" w:lineRule="auto"/>
        <w:ind w:firstLine="413" w:firstLineChars="196"/>
        <w:jc w:val="left"/>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（七）投标文件的上传、递交、修改和撤回</w:t>
      </w:r>
      <w:bookmarkEnd w:id="58"/>
    </w:p>
    <w:p w14:paraId="084C27E8">
      <w:pPr>
        <w:snapToGrid w:val="0"/>
        <w:spacing w:line="480" w:lineRule="exact"/>
        <w:ind w:firstLine="420"/>
        <w:jc w:val="left"/>
        <w:rPr>
          <w:rFonts w:hint="eastAsia" w:ascii="宋体" w:hAnsi="宋体" w:eastAsia="宋体" w:cs="宋体"/>
          <w:color w:val="auto"/>
          <w:highlight w:val="none"/>
        </w:rPr>
      </w:pPr>
      <w:bookmarkStart w:id="59" w:name="_Toc121800413"/>
      <w:r>
        <w:rPr>
          <w:rFonts w:hint="eastAsia" w:ascii="宋体" w:hAnsi="宋体" w:eastAsia="宋体" w:cs="宋体"/>
          <w:color w:val="auto"/>
          <w:szCs w:val="21"/>
          <w:highlight w:val="none"/>
        </w:rPr>
        <w:t>1.</w:t>
      </w:r>
      <w:r>
        <w:rPr>
          <w:rFonts w:hint="eastAsia" w:ascii="宋体" w:hAnsi="宋体" w:eastAsia="宋体" w:cs="宋体"/>
          <w:color w:val="auto"/>
          <w:highlight w:val="none"/>
        </w:rPr>
        <w:t xml:space="preserve"> 投标人应在投标截止时间前递交投标文件。</w:t>
      </w:r>
    </w:p>
    <w:p w14:paraId="1945C7B4">
      <w:pPr>
        <w:snapToGrid w:val="0"/>
        <w:spacing w:line="48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2. 投标人通过</w:t>
      </w:r>
      <w:r>
        <w:rPr>
          <w:rFonts w:hint="eastAsia" w:ascii="宋体" w:hAnsi="宋体" w:eastAsia="宋体" w:cs="宋体"/>
          <w:color w:val="auto"/>
          <w:szCs w:val="21"/>
          <w:highlight w:val="none"/>
        </w:rPr>
        <w:t>电子招标采购平台</w:t>
      </w:r>
      <w:r>
        <w:rPr>
          <w:rFonts w:hint="eastAsia" w:ascii="宋体" w:hAnsi="宋体" w:eastAsia="宋体" w:cs="宋体"/>
          <w:color w:val="auto"/>
          <w:highlight w:val="none"/>
        </w:rPr>
        <w:t>递交电子投标文件。</w:t>
      </w:r>
    </w:p>
    <w:p w14:paraId="3BCE0566">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3.电子投标文件的拒收情形（因招标人或系统原因导致的除外）：</w:t>
      </w:r>
    </w:p>
    <w:p w14:paraId="19DECA79">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（1）.投标截止时间后送达（上传）的投标文件、未按招标文件要求上传的；</w:t>
      </w:r>
    </w:p>
    <w:p w14:paraId="44922E20">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（2）.投标人未按规定加密的投标文件，应当拒收并提示；</w:t>
      </w:r>
    </w:p>
    <w:p w14:paraId="157321EC">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（3）.电子投标文件无法解密的；</w:t>
      </w:r>
    </w:p>
    <w:p w14:paraId="0F38C286">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（4）.电子投标文件解密后无法正确读取的；</w:t>
      </w:r>
    </w:p>
    <w:p w14:paraId="605C41AD">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（5）.电子投标文件无法导入成功的。</w:t>
      </w:r>
    </w:p>
    <w:p w14:paraId="757148EB">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4.在投标截止时间前，投标人可以修改或撤回已递交的投标文件，但应以书面形式通知招标人。投标截止时间前未完成投标文件传输的，视为撤回投标文件。</w:t>
      </w:r>
    </w:p>
    <w:p w14:paraId="686E44B9">
      <w:pPr>
        <w:snapToGrid w:val="0"/>
        <w:spacing w:before="156" w:beforeLines="50" w:line="360" w:lineRule="auto"/>
        <w:ind w:firstLine="411" w:firstLineChars="196"/>
        <w:jc w:val="left"/>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5.投标人修改或撤回已递交投标文件的通知，应按要求加盖单位公章。电子招标投标交易平台收到通知后，即时向投标人发出确认回执通知。</w:t>
      </w:r>
    </w:p>
    <w:p w14:paraId="57DD355A">
      <w:pPr>
        <w:snapToGrid w:val="0"/>
        <w:spacing w:line="360" w:lineRule="auto"/>
        <w:ind w:firstLine="411" w:firstLineChars="196"/>
        <w:jc w:val="left"/>
        <w:outlineLvl w:val="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（八）投标无效的情形</w:t>
      </w:r>
      <w:bookmarkEnd w:id="59"/>
    </w:p>
    <w:p w14:paraId="2E64A362">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制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3FEA18DB">
      <w:pPr>
        <w:snapToGrid w:val="0"/>
        <w:spacing w:line="360" w:lineRule="auto"/>
        <w:ind w:firstLine="404" w:firstLineChars="200"/>
        <w:jc w:val="left"/>
        <w:rPr>
          <w:rFonts w:hint="eastAsia" w:ascii="宋体" w:hAnsi="宋体" w:eastAsia="宋体" w:cs="宋体"/>
          <w:b/>
          <w:bCs/>
          <w:color w:val="auto"/>
          <w:szCs w:val="21"/>
          <w:highlight w:val="none"/>
        </w:rPr>
      </w:pPr>
      <w:r>
        <w:rPr>
          <w:rFonts w:hint="eastAsia" w:ascii="宋体" w:hAnsi="宋体" w:eastAsia="宋体" w:cs="宋体"/>
          <w:color w:val="auto"/>
          <w:spacing w:val="-4"/>
          <w:szCs w:val="21"/>
          <w:highlight w:val="none"/>
        </w:rPr>
        <w:t>★</w:t>
      </w:r>
      <w:r>
        <w:rPr>
          <w:rFonts w:hint="eastAsia" w:ascii="宋体" w:hAnsi="宋体" w:eastAsia="宋体" w:cs="宋体"/>
          <w:b/>
          <w:bCs/>
          <w:color w:val="auto"/>
          <w:szCs w:val="21"/>
          <w:highlight w:val="none"/>
        </w:rPr>
        <w:t>在初步评审时，如发现下列情形之一的，投标文件将被视为无效：</w:t>
      </w:r>
    </w:p>
    <w:p w14:paraId="263A572C">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1.1投标人的资格条件不符合招标文件要求的；</w:t>
      </w:r>
    </w:p>
    <w:p w14:paraId="33A499FA">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1.2投标人未提交投标保证金或保证金金额不足，投标保证金不符合招标文件要求的；</w:t>
      </w:r>
    </w:p>
    <w:p w14:paraId="63D8204A">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1.3投标文件未按招标文件要求签字盖章，无法定代表人签字或签字人无法定代表人有效授权书的；</w:t>
      </w:r>
    </w:p>
    <w:p w14:paraId="3EF17717">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1.4投标有效期不足的；</w:t>
      </w:r>
    </w:p>
    <w:p w14:paraId="23121FE9">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作无效标处理；</w:t>
      </w:r>
    </w:p>
    <w:p w14:paraId="2DCF14CF">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r>
        <w:rPr>
          <w:rFonts w:hint="eastAsia" w:ascii="宋体" w:hAnsi="宋体" w:eastAsia="宋体" w:cs="宋体"/>
          <w:color w:val="auto"/>
          <w:spacing w:val="-4"/>
          <w:szCs w:val="21"/>
          <w:highlight w:val="none"/>
        </w:rPr>
        <w:t>投标文件的实质性内容未使用中文表述、意思表述不明确、前后矛盾或者使用计量单位不符合招标文件要求的；</w:t>
      </w:r>
    </w:p>
    <w:p w14:paraId="679AC602">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w:t>
      </w:r>
      <w:r>
        <w:rPr>
          <w:rFonts w:hint="eastAsia" w:ascii="宋体" w:hAnsi="宋体" w:eastAsia="宋体" w:cs="宋体"/>
          <w:color w:val="auto"/>
          <w:spacing w:val="-4"/>
          <w:szCs w:val="21"/>
          <w:highlight w:val="none"/>
        </w:rPr>
        <w:t>未实质性响应招标文件要求（与招标文件中标“★”的实质性条款偏离）或者投标文件有招标人不能接受的附加条件的；</w:t>
      </w:r>
    </w:p>
    <w:p w14:paraId="07241779">
      <w:pPr>
        <w:snapToGrid w:val="0"/>
        <w:spacing w:line="360" w:lineRule="auto"/>
        <w:ind w:firstLine="404"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1.8存在串标、抬标或弄虚作假情况的；</w:t>
      </w:r>
    </w:p>
    <w:p w14:paraId="708C28EE">
      <w:pPr>
        <w:snapToGrid w:val="0"/>
        <w:spacing w:line="360" w:lineRule="auto"/>
        <w:ind w:firstLine="404"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1.9法律、法规和招标文件规定的其他无效情形；</w:t>
      </w:r>
    </w:p>
    <w:p w14:paraId="2B87ED6F">
      <w:pPr>
        <w:snapToGrid w:val="0"/>
        <w:spacing w:line="360" w:lineRule="auto"/>
        <w:ind w:firstLine="404"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1.10不同投标人的电子投标文件编制时的计算机硬件信息中网卡MAC地址（如有）、硬盘（含移动存储介质）序列号（Optane_0000或0100_0000_0000_0000序列号除外）、互联网接入IP地址相同的，投标文件为无效标。</w:t>
      </w:r>
    </w:p>
    <w:p w14:paraId="4C67E181">
      <w:pPr>
        <w:snapToGrid w:val="0"/>
        <w:spacing w:line="360" w:lineRule="auto"/>
        <w:ind w:left="551"/>
        <w:jc w:val="center"/>
        <w:outlineLvl w:val="0"/>
        <w:rPr>
          <w:rFonts w:hint="eastAsia" w:ascii="宋体" w:hAnsi="宋体" w:eastAsia="宋体" w:cs="宋体"/>
          <w:b/>
          <w:color w:val="auto"/>
          <w:kern w:val="0"/>
          <w:sz w:val="28"/>
          <w:szCs w:val="21"/>
          <w:highlight w:val="none"/>
        </w:rPr>
      </w:pPr>
      <w:bookmarkStart w:id="60" w:name="_Toc121800414"/>
      <w:r>
        <w:rPr>
          <w:rFonts w:hint="eastAsia" w:ascii="宋体" w:hAnsi="宋体" w:eastAsia="宋体" w:cs="宋体"/>
          <w:b/>
          <w:color w:val="auto"/>
          <w:kern w:val="0"/>
          <w:sz w:val="28"/>
          <w:szCs w:val="21"/>
          <w:highlight w:val="none"/>
        </w:rPr>
        <w:t>四、重新招标</w:t>
      </w:r>
      <w:bookmarkEnd w:id="60"/>
    </w:p>
    <w:p w14:paraId="100FC320">
      <w:pPr>
        <w:snapToGrid w:val="0"/>
        <w:spacing w:line="360" w:lineRule="auto"/>
        <w:ind w:left="181" w:leftChars="86" w:firstLine="210" w:firstLineChars="1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宋体" w:hAnsi="宋体" w:cs="宋体"/>
          <w:color w:val="auto"/>
          <w:szCs w:val="21"/>
          <w:highlight w:val="none"/>
        </w:rPr>
        <w:t>投标截止时间</w:t>
      </w:r>
      <w:r>
        <w:rPr>
          <w:rFonts w:hint="eastAsia" w:ascii="宋体" w:hAnsi="宋体" w:cs="宋体"/>
          <w:color w:val="auto"/>
          <w:szCs w:val="21"/>
          <w:highlight w:val="none"/>
          <w:lang w:val="en-US" w:eastAsia="zh-CN"/>
        </w:rPr>
        <w:t>时</w:t>
      </w:r>
      <w:r>
        <w:rPr>
          <w:rFonts w:hint="eastAsia" w:ascii="宋体" w:hAnsi="宋体" w:cs="宋体"/>
          <w:color w:val="auto"/>
          <w:szCs w:val="21"/>
          <w:highlight w:val="none"/>
        </w:rPr>
        <w:t>，投标人不足</w:t>
      </w:r>
      <w:r>
        <w:rPr>
          <w:rFonts w:ascii="宋体" w:hAnsi="宋体" w:cs="宋体"/>
          <w:color w:val="auto"/>
          <w:szCs w:val="21"/>
          <w:highlight w:val="none"/>
        </w:rPr>
        <w:t>3家的，本项目无法开标，重新组织招标</w:t>
      </w:r>
      <w:r>
        <w:rPr>
          <w:rFonts w:hint="eastAsia" w:asciiTheme="minorEastAsia" w:hAnsiTheme="minorEastAsia" w:eastAsiaTheme="minorEastAsia" w:cstheme="minorEastAsia"/>
          <w:bCs/>
          <w:color w:val="auto"/>
          <w:szCs w:val="21"/>
          <w:highlight w:val="none"/>
        </w:rPr>
        <w:t>。</w:t>
      </w:r>
    </w:p>
    <w:p w14:paraId="1CE701CD">
      <w:pPr>
        <w:snapToGrid w:val="0"/>
        <w:spacing w:line="360" w:lineRule="auto"/>
        <w:ind w:left="181" w:leftChars="86" w:firstLine="210" w:firstLineChars="1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宋体" w:hAnsi="宋体" w:cs="宋体"/>
          <w:color w:val="auto"/>
          <w:szCs w:val="21"/>
          <w:highlight w:val="none"/>
        </w:rPr>
        <w:t>开标后经评审，当有效标不足</w:t>
      </w:r>
      <w:r>
        <w:rPr>
          <w:rFonts w:ascii="宋体" w:hAnsi="宋体" w:cs="宋体"/>
          <w:color w:val="auto"/>
          <w:szCs w:val="21"/>
          <w:highlight w:val="none"/>
        </w:rPr>
        <w:t>3家时，评标委员会应否决全部投标，重新组织招标</w:t>
      </w:r>
      <w:r>
        <w:rPr>
          <w:rFonts w:hint="eastAsia" w:asciiTheme="minorEastAsia" w:hAnsiTheme="minorEastAsia" w:eastAsiaTheme="minorEastAsia" w:cstheme="minorEastAsia"/>
          <w:bCs/>
          <w:color w:val="auto"/>
          <w:szCs w:val="21"/>
          <w:highlight w:val="none"/>
        </w:rPr>
        <w:t>。</w:t>
      </w:r>
    </w:p>
    <w:p w14:paraId="3DAAD329">
      <w:pPr>
        <w:snapToGrid w:val="0"/>
        <w:spacing w:line="360" w:lineRule="auto"/>
        <w:ind w:left="181" w:leftChars="86" w:firstLine="210" w:firstLineChars="100"/>
        <w:rPr>
          <w:rFonts w:hint="eastAsia" w:ascii="宋体" w:hAnsi="宋体" w:eastAsia="宋体" w:cs="宋体"/>
          <w:bCs/>
          <w:color w:val="auto"/>
          <w:szCs w:val="21"/>
          <w:highlight w:val="none"/>
        </w:rPr>
      </w:pPr>
      <w:r>
        <w:rPr>
          <w:rFonts w:hint="eastAsia" w:asciiTheme="minorEastAsia" w:hAnsiTheme="minorEastAsia" w:eastAsiaTheme="minorEastAsia" w:cstheme="minorEastAsia"/>
          <w:bCs/>
          <w:color w:val="auto"/>
          <w:szCs w:val="21"/>
          <w:highlight w:val="none"/>
        </w:rPr>
        <w:t>3.中标候选人均未与招标人签订合同的</w:t>
      </w:r>
      <w:r>
        <w:rPr>
          <w:rFonts w:hint="eastAsia" w:asciiTheme="minorEastAsia" w:hAnsiTheme="minorEastAsia" w:eastAsiaTheme="minorEastAsia" w:cstheme="minorEastAsia"/>
          <w:bCs/>
          <w:color w:val="auto"/>
          <w:szCs w:val="21"/>
          <w:highlight w:val="none"/>
          <w:lang w:eastAsia="zh-CN"/>
        </w:rPr>
        <w:t>，</w:t>
      </w:r>
      <w:r>
        <w:rPr>
          <w:rFonts w:ascii="宋体" w:hAnsi="宋体" w:cs="宋体"/>
          <w:color w:val="auto"/>
          <w:szCs w:val="21"/>
          <w:highlight w:val="none"/>
        </w:rPr>
        <w:t>重新组织招标</w:t>
      </w:r>
      <w:r>
        <w:rPr>
          <w:rFonts w:hint="eastAsia" w:asciiTheme="minorEastAsia" w:hAnsiTheme="minorEastAsia" w:eastAsiaTheme="minorEastAsia" w:cstheme="minorEastAsia"/>
          <w:bCs/>
          <w:color w:val="auto"/>
          <w:szCs w:val="21"/>
          <w:highlight w:val="none"/>
        </w:rPr>
        <w:t>。</w:t>
      </w:r>
    </w:p>
    <w:p w14:paraId="1FBC27B1">
      <w:pPr>
        <w:snapToGrid w:val="0"/>
        <w:spacing w:line="360" w:lineRule="auto"/>
        <w:jc w:val="center"/>
        <w:outlineLvl w:val="0"/>
        <w:rPr>
          <w:rFonts w:hint="eastAsia" w:ascii="宋体" w:hAnsi="宋体" w:eastAsia="宋体" w:cs="宋体"/>
          <w:b/>
          <w:color w:val="auto"/>
          <w:kern w:val="0"/>
          <w:sz w:val="28"/>
          <w:szCs w:val="21"/>
          <w:highlight w:val="none"/>
        </w:rPr>
      </w:pPr>
      <w:bookmarkStart w:id="61" w:name="_Toc121800415"/>
      <w:r>
        <w:rPr>
          <w:rFonts w:hint="eastAsia" w:ascii="宋体" w:hAnsi="宋体" w:eastAsia="宋体" w:cs="宋体"/>
          <w:b/>
          <w:color w:val="auto"/>
          <w:kern w:val="0"/>
          <w:sz w:val="28"/>
          <w:szCs w:val="21"/>
          <w:highlight w:val="none"/>
        </w:rPr>
        <w:t>五、开标</w:t>
      </w:r>
      <w:bookmarkEnd w:id="61"/>
    </w:p>
    <w:p w14:paraId="78EEF962">
      <w:pPr>
        <w:pStyle w:val="15"/>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bookmarkStart w:id="62" w:name="_Hlk112923055"/>
      <w:r>
        <w:rPr>
          <w:rFonts w:hint="eastAsia" w:ascii="宋体" w:hAnsi="宋体" w:eastAsia="宋体" w:cs="宋体"/>
          <w:b/>
          <w:color w:val="auto"/>
          <w:sz w:val="21"/>
          <w:szCs w:val="21"/>
          <w:highlight w:val="none"/>
        </w:rPr>
        <w:t>（一）开标准备</w:t>
      </w:r>
    </w:p>
    <w:p w14:paraId="74E5B6A2">
      <w:pPr>
        <w:snapToGrid w:val="0"/>
        <w:spacing w:line="360" w:lineRule="auto"/>
        <w:ind w:left="181" w:leftChars="86"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14:paraId="0EC76AA0">
      <w:pPr>
        <w:pStyle w:val="15"/>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（二）开标程序：</w:t>
      </w:r>
    </w:p>
    <w:bookmarkEnd w:id="62"/>
    <w:p w14:paraId="3DCBE67E">
      <w:pPr>
        <w:pStyle w:val="15"/>
        <w:snapToGrid w:val="0"/>
        <w:spacing w:before="156" w:after="156" w:line="360" w:lineRule="auto"/>
        <w:ind w:firstLine="420" w:firstLineChars="200"/>
        <w:rPr>
          <w:rFonts w:hint="eastAsia" w:ascii="宋体" w:hAnsi="宋体" w:eastAsia="宋体" w:cs="宋体"/>
          <w:color w:val="auto"/>
          <w:sz w:val="21"/>
          <w:szCs w:val="21"/>
          <w:highlight w:val="none"/>
        </w:rPr>
      </w:pPr>
      <w:bookmarkStart w:id="63" w:name="_Toc121800416"/>
      <w:r>
        <w:rPr>
          <w:rFonts w:hint="eastAsia" w:ascii="宋体" w:hAnsi="宋体" w:eastAsia="宋体" w:cs="宋体"/>
          <w:color w:val="auto"/>
          <w:sz w:val="21"/>
          <w:szCs w:val="21"/>
          <w:highlight w:val="none"/>
        </w:rPr>
        <w:t>1.开标会由招标人或代理机构主持，主持人宣布开标会议开始；</w:t>
      </w:r>
    </w:p>
    <w:p w14:paraId="3E0F9D4E">
      <w:pPr>
        <w:pStyle w:val="15"/>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2.主持人介绍参加开标会的人员名单； </w:t>
      </w:r>
    </w:p>
    <w:p w14:paraId="0C0F55BA">
      <w:pPr>
        <w:pStyle w:val="15"/>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3.主持人发起投标文件解密；</w:t>
      </w:r>
    </w:p>
    <w:p w14:paraId="333B98B7">
      <w:pPr>
        <w:pStyle w:val="15"/>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4.所有投标解密后开启电子投标文件；</w:t>
      </w:r>
    </w:p>
    <w:p w14:paraId="52466E75">
      <w:pPr>
        <w:pStyle w:val="15"/>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5.开启电子投标文件后公布开标结果；</w:t>
      </w:r>
    </w:p>
    <w:p w14:paraId="06A8D7D7">
      <w:pPr>
        <w:pStyle w:val="15"/>
        <w:snapToGrid w:val="0"/>
        <w:spacing w:before="156" w:after="156" w:line="360" w:lineRule="auto"/>
        <w:ind w:left="689" w:leftChars="228"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6.开标会议结束。</w:t>
      </w:r>
    </w:p>
    <w:p w14:paraId="216B3C6F">
      <w:pPr>
        <w:snapToGrid w:val="0"/>
        <w:spacing w:line="360" w:lineRule="auto"/>
        <w:jc w:val="center"/>
        <w:outlineLvl w:val="0"/>
        <w:rPr>
          <w:rFonts w:hint="eastAsia" w:ascii="宋体" w:hAnsi="宋体" w:eastAsia="宋体" w:cs="宋体"/>
          <w:b/>
          <w:color w:val="auto"/>
          <w:kern w:val="0"/>
          <w:sz w:val="28"/>
          <w:szCs w:val="21"/>
          <w:highlight w:val="none"/>
        </w:rPr>
      </w:pPr>
      <w:r>
        <w:rPr>
          <w:rFonts w:hint="eastAsia" w:ascii="宋体" w:hAnsi="宋体" w:eastAsia="宋体" w:cs="宋体"/>
          <w:b/>
          <w:color w:val="auto"/>
          <w:kern w:val="0"/>
          <w:sz w:val="28"/>
          <w:szCs w:val="21"/>
          <w:highlight w:val="none"/>
        </w:rPr>
        <w:t>六、评标</w:t>
      </w:r>
      <w:bookmarkEnd w:id="63"/>
    </w:p>
    <w:p w14:paraId="3897C82E">
      <w:pPr>
        <w:pStyle w:val="15"/>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（一）组建评标委员会</w:t>
      </w:r>
    </w:p>
    <w:p w14:paraId="76D79256">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本项目评标委员会由评审专家和招标人代表共5人组成。</w:t>
      </w:r>
    </w:p>
    <w:p w14:paraId="495A95C5">
      <w:pPr>
        <w:pStyle w:val="15"/>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（二）评标的原则</w:t>
      </w:r>
    </w:p>
    <w:p w14:paraId="78A4B0A1">
      <w:pPr>
        <w:pStyle w:val="15"/>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本项目采用不公开方式评标，评标的依据为招标文件和投标文件。</w:t>
      </w:r>
    </w:p>
    <w:p w14:paraId="7CEE2A29">
      <w:pPr>
        <w:pStyle w:val="15"/>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bCs/>
          <w:color w:val="auto"/>
          <w:sz w:val="21"/>
          <w:szCs w:val="21"/>
          <w:highlight w:val="none"/>
        </w:rPr>
        <w:t>评标程序</w:t>
      </w:r>
    </w:p>
    <w:p w14:paraId="61ED1426">
      <w:pPr>
        <w:snapToGrid w:val="0"/>
        <w:spacing w:line="360" w:lineRule="auto"/>
        <w:ind w:firstLine="413" w:firstLineChars="19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1.形式审查</w:t>
      </w:r>
    </w:p>
    <w:p w14:paraId="4C93DFAC">
      <w:pPr>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招标人的工作人员协助评标委员会对投标人的资格和投标文件的完整性、合法性等进行审查。</w:t>
      </w:r>
    </w:p>
    <w:p w14:paraId="2E86DD90">
      <w:pPr>
        <w:snapToGrid w:val="0"/>
        <w:spacing w:line="360" w:lineRule="auto"/>
        <w:ind w:firstLine="413" w:firstLineChars="19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453D393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7966D807">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（2）评标委员会将根据投标人的投标文件进行审查、核对,如有疑问,将对投标人进行询标,投标人要向评标委员会澄清有关问题,并最终以书面形式进行答复。</w:t>
      </w:r>
    </w:p>
    <w:p w14:paraId="420522DE">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投标人代表未到场或者拒绝澄清或者澄清的内容改变了投标文件的实质性内容的，评标委员会有权对该投标文件作出不利于投标人的评判。</w:t>
      </w:r>
    </w:p>
    <w:p w14:paraId="34451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（3）各投标人的商务技术得分为所有评委的有效评分的算术平均数(计算保留两位小数)。</w:t>
      </w:r>
    </w:p>
    <w:p w14:paraId="5CF1CB7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（4）评标委员会根据本项目的评分标准计算各投标人的价格标得分。</w:t>
      </w:r>
    </w:p>
    <w:p w14:paraId="5215273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（5）评标委员会完成评标后,评委对各部分得分汇总,计算出本项目最终得分。评标委员会按评标原则推荐中标候选人同时起草评标报告。</w:t>
      </w:r>
    </w:p>
    <w:p w14:paraId="1604E957">
      <w:pPr>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（四）澄清问题的形式</w:t>
      </w:r>
    </w:p>
    <w:p w14:paraId="4009E55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1EE2C6E9">
      <w:pPr>
        <w:pStyle w:val="15"/>
        <w:snapToGrid w:val="0"/>
        <w:spacing w:beforeLines="0" w:afterLines="0" w:line="360" w:lineRule="auto"/>
        <w:ind w:left="690" w:leftChars="228" w:hanging="211" w:hanging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（五）错误修正</w:t>
      </w:r>
    </w:p>
    <w:p w14:paraId="5889027D">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投标文件如果出现计算或表达上的错误，修正错误的原则如下：</w:t>
      </w:r>
    </w:p>
    <w:p w14:paraId="5276021D">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1.投标文件的大写金额和小写金额不一致的，以大写金额为准；</w:t>
      </w:r>
    </w:p>
    <w:p w14:paraId="7BA7E9C3">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2.总价金额与按单价汇总金额不一致的，以单价金额计算结果为准；</w:t>
      </w:r>
    </w:p>
    <w:p w14:paraId="136421E1">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3.对不同文字文本投标文件的解释发生异议的，以中文文本为准。</w:t>
      </w:r>
    </w:p>
    <w:p w14:paraId="4B5CE488">
      <w:pPr>
        <w:pStyle w:val="15"/>
        <w:snapToGrid w:val="0"/>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29ABE6E8">
      <w:pPr>
        <w:pStyle w:val="15"/>
        <w:tabs>
          <w:tab w:val="left" w:pos="630"/>
        </w:tabs>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（六）评标原则和评标办法</w:t>
      </w:r>
    </w:p>
    <w:p w14:paraId="5DD5113F">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04F8273E">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2.评标办法。本项目评标办法是</w:t>
      </w:r>
      <w:r>
        <w:rPr>
          <w:rFonts w:hint="eastAsia" w:ascii="宋体" w:hAnsi="宋体" w:eastAsia="宋体" w:cs="宋体"/>
          <w:color w:val="auto"/>
          <w:sz w:val="21"/>
          <w:szCs w:val="21"/>
          <w:highlight w:val="none"/>
          <w:u w:val="single"/>
        </w:rPr>
        <w:t>综合评分法</w:t>
      </w:r>
      <w:r>
        <w:rPr>
          <w:rFonts w:hint="eastAsia" w:ascii="宋体" w:hAnsi="宋体" w:eastAsia="宋体" w:cs="宋体"/>
          <w:color w:val="auto"/>
          <w:sz w:val="21"/>
          <w:szCs w:val="21"/>
          <w:highlight w:val="none"/>
        </w:rPr>
        <w:t>，具体评标内容及评分标准等详见《第</w:t>
      </w:r>
      <w:r>
        <w:rPr>
          <w:rFonts w:hint="eastAsia" w:ascii="宋体" w:hAnsi="宋体" w:eastAsia="宋体" w:cs="宋体"/>
          <w:bCs/>
          <w:color w:val="auto"/>
          <w:sz w:val="21"/>
          <w:szCs w:val="21"/>
          <w:highlight w:val="none"/>
          <w:u w:val="single"/>
        </w:rPr>
        <w:t>四</w:t>
      </w:r>
      <w:r>
        <w:rPr>
          <w:rFonts w:hint="eastAsia" w:ascii="宋体" w:hAnsi="宋体" w:eastAsia="宋体" w:cs="宋体"/>
          <w:color w:val="auto"/>
          <w:sz w:val="21"/>
          <w:szCs w:val="21"/>
          <w:highlight w:val="none"/>
        </w:rPr>
        <w:t>章：评标办法及评分标准》。</w:t>
      </w:r>
    </w:p>
    <w:p w14:paraId="68FFF4C5">
      <w:pPr>
        <w:pStyle w:val="15"/>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（七）评标过程的监控</w:t>
      </w:r>
    </w:p>
    <w:p w14:paraId="36A884E6">
      <w:pPr>
        <w:pStyle w:val="15"/>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投标人在评标过程中所进行的试图影响评标结果的不公正活动，可能导致其投标被拒绝。</w:t>
      </w:r>
    </w:p>
    <w:p w14:paraId="1B74F7CC">
      <w:pPr>
        <w:pStyle w:val="15"/>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（八）中标候选人</w:t>
      </w:r>
    </w:p>
    <w:p w14:paraId="654DEBF1">
      <w:pPr>
        <w:snapToGrid w:val="0"/>
        <w:spacing w:line="360" w:lineRule="auto"/>
        <w:ind w:firstLine="422" w:firstLineChars="200"/>
        <w:rPr>
          <w:rFonts w:hint="eastAsia" w:ascii="宋体" w:hAnsi="宋体" w:eastAsia="宋体" w:cs="宋体"/>
          <w:b/>
          <w:bCs/>
          <w:color w:val="auto"/>
          <w:kern w:val="0"/>
          <w:szCs w:val="21"/>
          <w:highlight w:val="none"/>
        </w:rPr>
      </w:pPr>
      <w:bookmarkStart w:id="64" w:name="_Hlk112924491"/>
      <w:r>
        <w:rPr>
          <w:rFonts w:hint="eastAsia" w:ascii="宋体" w:hAnsi="宋体" w:eastAsia="宋体" w:cs="宋体"/>
          <w:b/>
          <w:bCs/>
          <w:color w:val="auto"/>
          <w:kern w:val="0"/>
          <w:szCs w:val="21"/>
          <w:highlight w:val="none"/>
        </w:rPr>
        <w:t>1.评标委员会根据各投标人的综合得分高低排定顺序，推荐综合得分最高的投标人为中标候选人</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得分相同投标报价低的排序优先；得分且投标报价相同的，抽签决定</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。招标人根据评标委员会推荐的中标候选人确定中标人。</w:t>
      </w:r>
    </w:p>
    <w:bookmarkEnd w:id="64"/>
    <w:p w14:paraId="6141DC4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2.中标人拖延、拒签合同或拒交履约保证金的或在本次招标活动中存在违法违规行为,将被扣罚投标保证金并取消中标资格。</w:t>
      </w:r>
    </w:p>
    <w:p w14:paraId="112F1DD0">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 中标候选人放弃中标；因不可抗力提出不能履行合同；或者招标文件规定应当提交履约保证金而在规定的期限内未能提交的；或未能在规定时间内与招标人签订合同的；或者经质疑，招标人审查后，确因中标候选人在本次招标活动中存在违法违规行为或其他原因使质疑成立的，招标人重新招标。</w:t>
      </w:r>
    </w:p>
    <w:p w14:paraId="75C2ABD5">
      <w:pPr>
        <w:tabs>
          <w:tab w:val="left" w:pos="540"/>
        </w:tabs>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4.招标人对决标结果不做任何解释，也不保证最低报价中标。</w:t>
      </w:r>
    </w:p>
    <w:p w14:paraId="4E1227D3">
      <w:pPr>
        <w:pStyle w:val="15"/>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（九）合同授予</w:t>
      </w:r>
    </w:p>
    <w:p w14:paraId="62E25885">
      <w:pPr>
        <w:tabs>
          <w:tab w:val="left" w:pos="540"/>
        </w:tabs>
        <w:spacing w:line="360" w:lineRule="auto"/>
        <w:ind w:firstLine="527" w:firstLineChars="25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1.评审结束后，招标人将对评标专家推荐的中标候选人进行最终审查，审查内容主要是中标人是否有能力（财务、技术和生产能力）履行合同。</w:t>
      </w:r>
      <w:r>
        <w:rPr>
          <w:rFonts w:hint="eastAsia" w:ascii="宋体" w:hAnsi="宋体" w:eastAsia="宋体" w:cs="宋体"/>
          <w:bCs/>
          <w:color w:val="auto"/>
          <w:szCs w:val="21"/>
          <w:highlight w:val="none"/>
        </w:rPr>
        <w:t>审查通过，招标人将把中标合同授予该中标人，审查未通过，招标人将拒绝其中标，</w:t>
      </w:r>
      <w:r>
        <w:rPr>
          <w:rFonts w:hint="eastAsia" w:ascii="宋体" w:hAnsi="宋体" w:eastAsia="宋体" w:cs="宋体"/>
          <w:color w:val="auto"/>
          <w:szCs w:val="21"/>
          <w:highlight w:val="none"/>
        </w:rPr>
        <w:t>并重新招标</w:t>
      </w:r>
      <w:r>
        <w:rPr>
          <w:rFonts w:hint="eastAsia" w:ascii="宋体" w:hAnsi="宋体" w:eastAsia="宋体" w:cs="宋体"/>
          <w:bCs/>
          <w:color w:val="auto"/>
          <w:szCs w:val="21"/>
          <w:highlight w:val="none"/>
        </w:rPr>
        <w:t>。</w:t>
      </w:r>
    </w:p>
    <w:p w14:paraId="2564E458">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评标专家确定的中标候选人经招标人审查合格后在本项目招标指定信息发布媒体上公示，评标结果公示期限为3个工作日。各投标人对评标结果如有异议，可在规定时间内以书面形式向招标人进行署名投诉或提出质疑，但需对投诉或质疑内容的真实性承担法律责任。</w:t>
      </w:r>
    </w:p>
    <w:p w14:paraId="17546DFE">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3.公示期结束后，招标人向中标人发出中标通知书，中标通知书是合同的一个组成部分,对招标人和中标人均具有同等法律效力。</w:t>
      </w:r>
    </w:p>
    <w:p w14:paraId="550EAF40">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4.招标人与中标人应当在《中标通知书》发出之日起30日内签订合同。同时，招标人对合同内容进行审查，如发现与采购结果和投标承诺内容不一致的，应予以纠正。</w:t>
      </w:r>
    </w:p>
    <w:p w14:paraId="0E674B6D">
      <w:pPr>
        <w:pStyle w:val="15"/>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（十）履约保证金</w:t>
      </w:r>
    </w:p>
    <w:p w14:paraId="1ED08682">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1.中标人在收到中标通知书后，签订合同</w:t>
      </w:r>
      <w:r>
        <w:rPr>
          <w:rFonts w:hint="eastAsia" w:ascii="宋体" w:hAnsi="宋体" w:eastAsia="宋体" w:cs="宋体"/>
          <w:color w:val="auto"/>
          <w:sz w:val="21"/>
          <w:szCs w:val="21"/>
          <w:highlight w:val="none"/>
        </w:rPr>
        <w:t>前须向</w:t>
      </w:r>
      <w:r>
        <w:rPr>
          <w:rFonts w:hint="eastAsia" w:ascii="宋体" w:hAnsi="宋体" w:cs="宋体"/>
          <w:color w:val="auto"/>
          <w:sz w:val="21"/>
          <w:szCs w:val="21"/>
          <w:highlight w:val="none"/>
          <w:lang w:eastAsia="zh-CN"/>
        </w:rPr>
        <w:t>温州港南岳港务有限公司、温州港益嘉港务有限公司</w:t>
      </w:r>
      <w:r>
        <w:rPr>
          <w:rFonts w:hint="eastAsia" w:ascii="宋体" w:hAnsi="宋体" w:cs="宋体"/>
          <w:color w:val="auto"/>
          <w:sz w:val="21"/>
          <w:szCs w:val="21"/>
          <w:highlight w:val="none"/>
          <w:lang w:val="en-US" w:eastAsia="zh-CN"/>
        </w:rPr>
        <w:t>分别</w:t>
      </w:r>
      <w:r>
        <w:rPr>
          <w:rFonts w:hint="eastAsia" w:ascii="宋体" w:hAnsi="宋体" w:eastAsia="宋体" w:cs="宋体"/>
          <w:color w:val="auto"/>
          <w:sz w:val="21"/>
          <w:szCs w:val="21"/>
          <w:highlight w:val="none"/>
        </w:rPr>
        <w:t>提交合同金额5%履约保证金，并且要保证履约保证金在合同履行期间的有效性。</w:t>
      </w:r>
    </w:p>
    <w:p w14:paraId="19342ED2">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2.履约保证金用于补偿招标人因中标人不能完成其合同义务而蒙受的损失。</w:t>
      </w:r>
    </w:p>
    <w:p w14:paraId="75CF0AE4">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3.履约保证金自合同签订之日起至服务期结束之日止有效。有效期满后，招标人应及时将履约保证金无息退还给中标人。</w:t>
      </w:r>
    </w:p>
    <w:p w14:paraId="2D3F1E62">
      <w:pPr>
        <w:spacing w:line="440" w:lineRule="exact"/>
        <w:ind w:left="4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（十一）招标代理服务费</w:t>
      </w:r>
    </w:p>
    <w:p w14:paraId="316A836E">
      <w:pPr>
        <w:spacing w:line="440" w:lineRule="exact"/>
        <w:ind w:firstLine="424" w:firstLineChars="192"/>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本次招标，</w:t>
      </w:r>
      <w:r>
        <w:rPr>
          <w:rFonts w:hint="eastAsia" w:ascii="宋体" w:hAnsi="宋体" w:eastAsia="宋体" w:cs="宋体"/>
          <w:b/>
          <w:bCs/>
          <w:color w:val="auto"/>
          <w:sz w:val="22"/>
          <w:szCs w:val="22"/>
          <w:highlight w:val="none"/>
        </w:rPr>
        <w:t>招标代理服务费</w:t>
      </w:r>
      <w:r>
        <w:rPr>
          <w:rFonts w:hint="eastAsia" w:ascii="宋体" w:hAnsi="宋体" w:eastAsia="宋体" w:cs="宋体"/>
          <w:b/>
          <w:color w:val="auto"/>
          <w:sz w:val="22"/>
          <w:szCs w:val="22"/>
          <w:highlight w:val="none"/>
        </w:rPr>
        <w:t>按人民币</w:t>
      </w:r>
      <w:r>
        <w:rPr>
          <w:rFonts w:hint="eastAsia" w:asciiTheme="minorEastAsia" w:hAnsiTheme="minorEastAsia" w:eastAsiaTheme="minorEastAsia" w:cstheme="minorEastAsia"/>
          <w:b/>
          <w:color w:val="auto"/>
          <w:sz w:val="22"/>
          <w:szCs w:val="22"/>
          <w:highlight w:val="none"/>
          <w:lang w:val="en-US" w:eastAsia="zh-CN"/>
        </w:rPr>
        <w:t>叁仟陆佰</w:t>
      </w:r>
      <w:r>
        <w:rPr>
          <w:rFonts w:hint="eastAsia" w:ascii="宋体" w:hAnsi="宋体" w:eastAsia="宋体" w:cs="宋体"/>
          <w:b/>
          <w:color w:val="auto"/>
          <w:sz w:val="22"/>
          <w:szCs w:val="22"/>
          <w:highlight w:val="none"/>
        </w:rPr>
        <w:t>元整（¥</w:t>
      </w:r>
      <w:r>
        <w:rPr>
          <w:rFonts w:hint="eastAsia" w:ascii="宋体" w:hAnsi="宋体" w:cs="宋体"/>
          <w:b/>
          <w:color w:val="auto"/>
          <w:sz w:val="22"/>
          <w:szCs w:val="22"/>
          <w:highlight w:val="none"/>
          <w:lang w:val="en-US" w:eastAsia="zh-CN"/>
        </w:rPr>
        <w:t>3600</w:t>
      </w:r>
      <w:r>
        <w:rPr>
          <w:rFonts w:hint="eastAsia" w:ascii="宋体" w:hAnsi="宋体" w:eastAsia="宋体" w:cs="宋体"/>
          <w:b/>
          <w:color w:val="auto"/>
          <w:sz w:val="22"/>
          <w:szCs w:val="22"/>
          <w:highlight w:val="none"/>
        </w:rPr>
        <w:t>.00）</w:t>
      </w:r>
      <w:r>
        <w:rPr>
          <w:rFonts w:hint="eastAsia" w:ascii="宋体" w:hAnsi="宋体" w:eastAsia="宋体" w:cs="宋体"/>
          <w:b/>
          <w:bCs/>
          <w:color w:val="auto"/>
          <w:sz w:val="22"/>
          <w:szCs w:val="22"/>
          <w:highlight w:val="none"/>
        </w:rPr>
        <w:t>包干计取，</w:t>
      </w:r>
      <w:r>
        <w:rPr>
          <w:rFonts w:hint="eastAsia" w:ascii="宋体" w:hAnsi="宋体" w:eastAsia="宋体" w:cs="宋体"/>
          <w:b/>
          <w:color w:val="auto"/>
          <w:sz w:val="22"/>
          <w:szCs w:val="22"/>
          <w:highlight w:val="none"/>
        </w:rPr>
        <w:t>由中标人在领取中标（成交）通知书之前将代理服务费用支付给招标代理机构</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或其授权分公司</w:t>
      </w:r>
      <w:r>
        <w:rPr>
          <w:rFonts w:hint="eastAsia" w:ascii="宋体" w:hAnsi="宋体" w:cs="宋体"/>
          <w:b/>
          <w:color w:val="auto"/>
          <w:sz w:val="22"/>
          <w:szCs w:val="22"/>
          <w:highlight w:val="none"/>
          <w:lang w:eastAsia="zh-CN"/>
        </w:rPr>
        <w:t>）</w:t>
      </w:r>
      <w:r>
        <w:rPr>
          <w:rFonts w:hint="eastAsia" w:ascii="宋体" w:hAnsi="宋体" w:eastAsia="宋体" w:cs="宋体"/>
          <w:b/>
          <w:bCs/>
          <w:color w:val="auto"/>
          <w:sz w:val="22"/>
          <w:szCs w:val="22"/>
          <w:highlight w:val="none"/>
        </w:rPr>
        <w:t>。</w:t>
      </w:r>
    </w:p>
    <w:p w14:paraId="5F8FB2AB">
      <w:pPr>
        <w:spacing w:line="440" w:lineRule="exact"/>
        <w:ind w:left="420"/>
        <w:rPr>
          <w:rFonts w:hint="eastAsia" w:ascii="宋体" w:hAnsi="宋体"/>
          <w:b/>
          <w:bCs/>
          <w:color w:val="auto"/>
          <w:szCs w:val="21"/>
          <w:highlight w:val="none"/>
        </w:rPr>
      </w:pPr>
      <w:r>
        <w:rPr>
          <w:rFonts w:hint="eastAsia" w:ascii="宋体" w:hAnsi="宋体"/>
          <w:b/>
          <w:bCs/>
          <w:color w:val="auto"/>
          <w:szCs w:val="21"/>
          <w:highlight w:val="none"/>
        </w:rPr>
        <w:t>（十二）电子招标采购平台交易服务费</w:t>
      </w:r>
    </w:p>
    <w:p w14:paraId="037C4C9B">
      <w:pPr>
        <w:widowControl/>
        <w:spacing w:line="440" w:lineRule="exact"/>
        <w:ind w:right="62"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本项目采用电子招标，中标人须在明确中标后、获取中标通知书前将相应的交易服务费缴入平台指定的集团账户（在“投标管家”工具中查看）。</w:t>
      </w:r>
    </w:p>
    <w:p w14:paraId="246A0834">
      <w:pPr>
        <w:widowControl/>
        <w:spacing w:line="440" w:lineRule="exact"/>
        <w:ind w:right="6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具体收费标准如下：</w:t>
      </w:r>
    </w:p>
    <w:p w14:paraId="3883BD5C">
      <w:pPr>
        <w:rPr>
          <w:color w:val="auto"/>
          <w:highlight w:val="none"/>
        </w:rPr>
      </w:pPr>
    </w:p>
    <w:p w14:paraId="3B01A16E">
      <w:pPr>
        <w:pStyle w:val="11"/>
        <w:ind w:firstLine="211"/>
        <w:rPr>
          <w:rFonts w:hint="eastAsia" w:ascii="宋体" w:hAnsi="宋体" w:eastAsia="宋体" w:cs="宋体"/>
          <w:b/>
          <w:color w:val="auto"/>
          <w:highlight w:val="none"/>
        </w:rPr>
      </w:pPr>
    </w:p>
    <w:p w14:paraId="1B6F1D5B">
      <w:pPr>
        <w:pStyle w:val="11"/>
        <w:ind w:firstLine="211"/>
        <w:rPr>
          <w:rFonts w:hint="eastAsia" w:ascii="宋体" w:hAnsi="宋体" w:eastAsia="宋体" w:cs="宋体"/>
          <w:b/>
          <w:color w:val="auto"/>
          <w:highlight w:val="none"/>
        </w:rPr>
      </w:pPr>
    </w:p>
    <w:p w14:paraId="28BCC6D3">
      <w:pPr>
        <w:pStyle w:val="11"/>
        <w:ind w:firstLine="211"/>
        <w:rPr>
          <w:rFonts w:hint="eastAsia" w:ascii="宋体" w:hAnsi="宋体" w:eastAsia="宋体" w:cs="宋体"/>
          <w:b/>
          <w:color w:val="auto"/>
          <w:highlight w:val="none"/>
        </w:rPr>
      </w:pPr>
    </w:p>
    <w:p w14:paraId="56E0ACF3">
      <w:pPr>
        <w:pStyle w:val="11"/>
        <w:ind w:firstLine="211"/>
        <w:rPr>
          <w:rFonts w:hint="eastAsia" w:ascii="宋体" w:hAnsi="宋体" w:eastAsia="宋体" w:cs="宋体"/>
          <w:b/>
          <w:color w:val="auto"/>
          <w:highlight w:val="none"/>
        </w:rPr>
      </w:pPr>
    </w:p>
    <w:p w14:paraId="2E8F0AA8">
      <w:pPr>
        <w:pStyle w:val="12"/>
        <w:rPr>
          <w:rFonts w:hint="eastAsia" w:ascii="宋体" w:hAnsi="宋体" w:eastAsia="宋体" w:cs="宋体"/>
          <w:b/>
          <w:color w:val="auto"/>
          <w:highlight w:val="none"/>
        </w:rPr>
      </w:pPr>
    </w:p>
    <w:p w14:paraId="74681550">
      <w:pPr>
        <w:rPr>
          <w:rFonts w:hint="eastAsia" w:ascii="宋体" w:hAnsi="宋体" w:eastAsia="宋体" w:cs="宋体"/>
          <w:color w:val="auto"/>
          <w:highlight w:val="none"/>
        </w:rPr>
      </w:pPr>
    </w:p>
    <w:p w14:paraId="156D1EBF">
      <w:pPr>
        <w:pStyle w:val="11"/>
        <w:ind w:firstLine="211"/>
        <w:rPr>
          <w:rFonts w:hint="eastAsia" w:ascii="宋体" w:hAnsi="宋体" w:eastAsia="宋体" w:cs="宋体"/>
          <w:b/>
          <w:color w:val="auto"/>
          <w:highlight w:val="none"/>
        </w:rPr>
      </w:pPr>
    </w:p>
    <w:p w14:paraId="0CDAEA9A">
      <w:pPr>
        <w:pStyle w:val="12"/>
        <w:rPr>
          <w:rFonts w:hint="eastAsia" w:ascii="宋体" w:hAnsi="宋体" w:eastAsia="宋体" w:cs="宋体"/>
          <w:b/>
          <w:color w:val="auto"/>
          <w:highlight w:val="none"/>
        </w:rPr>
      </w:pPr>
    </w:p>
    <w:p w14:paraId="77AAACBC">
      <w:pPr>
        <w:rPr>
          <w:rFonts w:hint="eastAsia" w:ascii="宋体" w:hAnsi="宋体" w:eastAsia="宋体" w:cs="宋体"/>
          <w:color w:val="auto"/>
          <w:highlight w:val="none"/>
        </w:rPr>
      </w:pPr>
    </w:p>
    <w:p w14:paraId="1478405C">
      <w:pPr>
        <w:pStyle w:val="11"/>
        <w:ind w:firstLine="211"/>
        <w:rPr>
          <w:rFonts w:hint="eastAsia" w:ascii="宋体" w:hAnsi="宋体" w:eastAsia="宋体" w:cs="宋体"/>
          <w:b/>
          <w:color w:val="auto"/>
          <w:highlight w:val="none"/>
        </w:rPr>
      </w:pPr>
    </w:p>
    <w:p w14:paraId="5DAA0B67">
      <w:pPr>
        <w:pStyle w:val="11"/>
        <w:ind w:firstLine="211"/>
        <w:rPr>
          <w:rFonts w:hint="eastAsia" w:ascii="宋体" w:hAnsi="宋体" w:eastAsia="宋体" w:cs="宋体"/>
          <w:b/>
          <w:color w:val="auto"/>
          <w:highlight w:val="none"/>
        </w:rPr>
      </w:pPr>
    </w:p>
    <w:p w14:paraId="1183316C">
      <w:pPr>
        <w:pStyle w:val="11"/>
        <w:ind w:firstLine="211"/>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drawing>
          <wp:inline distT="0" distB="0" distL="114300" distR="114300">
            <wp:extent cx="5514975" cy="5572125"/>
            <wp:effectExtent l="0" t="0" r="9525" b="9525"/>
            <wp:docPr id="3" name="图片 3" descr="3a3c5e96-827a-4d61-b023-f635f056d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3c5e96-827a-4d61-b023-f635f056d3e2"/>
                    <pic:cNvPicPr>
                      <a:picLocks noChangeAspect="1"/>
                    </pic:cNvPicPr>
                  </pic:nvPicPr>
                  <pic:blipFill>
                    <a:blip r:embed="rId6"/>
                    <a:stretch>
                      <a:fillRect/>
                    </a:stretch>
                  </pic:blipFill>
                  <pic:spPr>
                    <a:xfrm>
                      <a:off x="0" y="0"/>
                      <a:ext cx="5514975" cy="5572125"/>
                    </a:xfrm>
                    <a:prstGeom prst="rect">
                      <a:avLst/>
                    </a:prstGeom>
                  </pic:spPr>
                </pic:pic>
              </a:graphicData>
            </a:graphic>
          </wp:inline>
        </w:drawing>
      </w:r>
    </w:p>
    <w:p w14:paraId="7A95C7BF">
      <w:pPr>
        <w:pStyle w:val="11"/>
        <w:ind w:firstLine="211"/>
        <w:rPr>
          <w:rFonts w:hint="eastAsia" w:ascii="宋体" w:hAnsi="宋体" w:eastAsia="宋体" w:cs="宋体"/>
          <w:b/>
          <w:color w:val="auto"/>
          <w:highlight w:val="none"/>
        </w:rPr>
      </w:pPr>
    </w:p>
    <w:p w14:paraId="7975BF71">
      <w:pPr>
        <w:rPr>
          <w:rFonts w:hint="eastAsia" w:ascii="宋体" w:hAnsi="宋体" w:eastAsia="宋体" w:cs="宋体"/>
          <w:b/>
          <w:color w:val="auto"/>
          <w:sz w:val="32"/>
          <w:szCs w:val="32"/>
          <w:highlight w:val="none"/>
        </w:rPr>
      </w:pPr>
      <w:bookmarkStart w:id="65" w:name="_Toc121800417"/>
      <w:r>
        <w:rPr>
          <w:rFonts w:hint="eastAsia" w:ascii="宋体" w:hAnsi="宋体" w:eastAsia="宋体" w:cs="宋体"/>
          <w:b/>
          <w:color w:val="auto"/>
          <w:sz w:val="32"/>
          <w:szCs w:val="32"/>
          <w:highlight w:val="none"/>
        </w:rPr>
        <w:br w:type="page"/>
      </w:r>
    </w:p>
    <w:p w14:paraId="7FA918A8">
      <w:pPr>
        <w:spacing w:before="100" w:beforeAutospacing="1" w:after="100" w:afterAutospacing="1"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  评标办法及评分标准</w:t>
      </w:r>
      <w:bookmarkEnd w:id="65"/>
    </w:p>
    <w:p w14:paraId="2BAC4557">
      <w:pPr>
        <w:pStyle w:val="10"/>
        <w:spacing w:before="156" w:beforeLines="50" w:after="156" w:afterLines="50" w:line="360" w:lineRule="auto"/>
        <w:rPr>
          <w:rFonts w:hint="eastAsia" w:ascii="宋体" w:hAnsi="宋体" w:eastAsia="宋体" w:cs="宋体"/>
          <w:b/>
          <w:color w:val="auto"/>
          <w:szCs w:val="21"/>
          <w:highlight w:val="none"/>
        </w:rPr>
      </w:pPr>
      <w:bookmarkStart w:id="66" w:name="_Toc221356961"/>
      <w:bookmarkStart w:id="67" w:name="_Toc221356898"/>
      <w:r>
        <w:rPr>
          <w:rFonts w:hint="eastAsia" w:ascii="宋体" w:hAnsi="宋体" w:eastAsia="宋体" w:cs="宋体"/>
          <w:b/>
          <w:color w:val="auto"/>
          <w:szCs w:val="21"/>
          <w:highlight w:val="none"/>
        </w:rPr>
        <w:t>一、总则</w:t>
      </w:r>
      <w:bookmarkEnd w:id="66"/>
      <w:bookmarkEnd w:id="67"/>
    </w:p>
    <w:p w14:paraId="6F16A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4B4EFC9D">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二、评标组织</w:t>
      </w:r>
    </w:p>
    <w:p w14:paraId="5E38E6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评标工作由招标人依法组建5人评标专家成员负责，评标全过程由有关部门指导监督。</w:t>
      </w:r>
    </w:p>
    <w:p w14:paraId="726BC9E1">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三、评标程序</w:t>
      </w:r>
    </w:p>
    <w:p w14:paraId="5B8B24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由招标人或招标代理机构对各投标人的投标资格进行审查；然后对合格投标人的商务技术标进行评审。最后价格标评审，计算综合得分，提交评审报告。</w:t>
      </w:r>
    </w:p>
    <w:p w14:paraId="25A97C9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四、评标办法</w:t>
      </w:r>
    </w:p>
    <w:p w14:paraId="30B8FE28">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hint="eastAsia" w:ascii="宋体" w:hAnsi="宋体" w:eastAsia="宋体" w:cs="宋体"/>
          <w:b/>
          <w:color w:val="auto"/>
          <w:szCs w:val="21"/>
          <w:highlight w:val="none"/>
        </w:rPr>
        <w:t>总分设定为100分；其中商务技术标</w:t>
      </w:r>
      <w:r>
        <w:rPr>
          <w:rFonts w:hint="eastAsia" w:ascii="宋体" w:hAnsi="宋体" w:cs="宋体"/>
          <w:b/>
          <w:color w:val="auto"/>
          <w:szCs w:val="21"/>
          <w:highlight w:val="none"/>
          <w:u w:val="single"/>
          <w:lang w:val="en-US" w:eastAsia="zh-CN"/>
        </w:rPr>
        <w:t>2</w:t>
      </w:r>
      <w:r>
        <w:rPr>
          <w:rFonts w:hint="eastAsia" w:ascii="宋体" w:hAnsi="宋体" w:eastAsia="宋体" w:cs="宋体"/>
          <w:b/>
          <w:color w:val="auto"/>
          <w:szCs w:val="21"/>
          <w:highlight w:val="none"/>
          <w:u w:val="single"/>
        </w:rPr>
        <w:t>0</w:t>
      </w:r>
      <w:r>
        <w:rPr>
          <w:rFonts w:hint="eastAsia" w:ascii="宋体" w:hAnsi="宋体" w:eastAsia="宋体" w:cs="宋体"/>
          <w:b/>
          <w:color w:val="auto"/>
          <w:szCs w:val="21"/>
          <w:highlight w:val="none"/>
        </w:rPr>
        <w:t>分、价格标</w:t>
      </w:r>
      <w:r>
        <w:rPr>
          <w:rFonts w:hint="eastAsia" w:ascii="宋体" w:hAnsi="宋体" w:cs="宋体"/>
          <w:b/>
          <w:color w:val="auto"/>
          <w:szCs w:val="21"/>
          <w:highlight w:val="none"/>
          <w:u w:val="single"/>
          <w:lang w:val="en-US" w:eastAsia="zh-CN"/>
        </w:rPr>
        <w:t>8</w:t>
      </w:r>
      <w:r>
        <w:rPr>
          <w:rFonts w:hint="eastAsia" w:ascii="宋体" w:hAnsi="宋体" w:eastAsia="宋体" w:cs="宋体"/>
          <w:b/>
          <w:color w:val="auto"/>
          <w:szCs w:val="21"/>
          <w:highlight w:val="none"/>
          <w:u w:val="single"/>
        </w:rPr>
        <w:t>0</w:t>
      </w:r>
      <w:r>
        <w:rPr>
          <w:rFonts w:hint="eastAsia" w:ascii="宋体" w:hAnsi="宋体" w:eastAsia="宋体" w:cs="宋体"/>
          <w:b/>
          <w:color w:val="auto"/>
          <w:szCs w:val="21"/>
          <w:highlight w:val="none"/>
        </w:rPr>
        <w:t>分。</w:t>
      </w:r>
      <w:bookmarkStart w:id="68" w:name="_Toc221356965"/>
      <w:bookmarkStart w:id="69" w:name="_Toc221356902"/>
    </w:p>
    <w:p w14:paraId="3089B53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五、</w:t>
      </w:r>
      <w:bookmarkEnd w:id="68"/>
      <w:bookmarkEnd w:id="69"/>
      <w:r>
        <w:rPr>
          <w:rFonts w:hint="eastAsia" w:ascii="宋体" w:hAnsi="宋体" w:eastAsia="宋体" w:cs="宋体"/>
          <w:b/>
          <w:bCs/>
          <w:color w:val="auto"/>
          <w:szCs w:val="21"/>
          <w:highlight w:val="none"/>
        </w:rPr>
        <w:t>评分标准</w:t>
      </w:r>
    </w:p>
    <w:p w14:paraId="70EA28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1、商务技术标评分</w:t>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rPr>
        <w:t>0分</w:t>
      </w:r>
    </w:p>
    <w:p w14:paraId="6391372F">
      <w:pPr>
        <w:spacing w:line="360" w:lineRule="auto"/>
        <w:ind w:firstLine="420" w:firstLineChars="200"/>
        <w:rPr>
          <w:rFonts w:hint="eastAsia" w:ascii="宋体" w:hAnsi="宋体" w:eastAsia="宋体" w:cs="宋体"/>
          <w:color w:val="auto"/>
          <w:szCs w:val="21"/>
          <w:highlight w:val="none"/>
        </w:rPr>
      </w:pPr>
      <w:bookmarkStart w:id="70" w:name="_Toc221356903"/>
      <w:bookmarkStart w:id="71" w:name="_Toc221356966"/>
      <w:r>
        <w:rPr>
          <w:rFonts w:hint="eastAsia" w:ascii="宋体" w:hAnsi="宋体" w:eastAsia="宋体" w:cs="宋体"/>
          <w:color w:val="auto"/>
          <w:szCs w:val="21"/>
          <w:highlight w:val="none"/>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商务技术部分的最终得分（四舍五入，保留小数点后二位）。</w:t>
      </w:r>
    </w:p>
    <w:tbl>
      <w:tblPr>
        <w:tblStyle w:val="25"/>
        <w:tblW w:w="9427"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662"/>
        <w:gridCol w:w="800"/>
        <w:gridCol w:w="6274"/>
      </w:tblGrid>
      <w:tr w14:paraId="6B4C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91" w:type="dxa"/>
            <w:vAlign w:val="center"/>
          </w:tcPr>
          <w:p w14:paraId="143D24FE">
            <w:pPr>
              <w:spacing w:line="440" w:lineRule="exact"/>
              <w:ind w:left="-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662" w:type="dxa"/>
            <w:vAlign w:val="center"/>
          </w:tcPr>
          <w:p w14:paraId="563AADA7">
            <w:pPr>
              <w:spacing w:line="440" w:lineRule="exact"/>
              <w:ind w:left="-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评分内容</w:t>
            </w:r>
          </w:p>
        </w:tc>
        <w:tc>
          <w:tcPr>
            <w:tcW w:w="800" w:type="dxa"/>
            <w:vAlign w:val="center"/>
          </w:tcPr>
          <w:p w14:paraId="55EA1D56">
            <w:pPr>
              <w:spacing w:line="440" w:lineRule="exact"/>
              <w:ind w:left="-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分值</w:t>
            </w:r>
          </w:p>
        </w:tc>
        <w:tc>
          <w:tcPr>
            <w:tcW w:w="6274" w:type="dxa"/>
            <w:vAlign w:val="center"/>
          </w:tcPr>
          <w:p w14:paraId="570F4CAD">
            <w:pPr>
              <w:spacing w:line="440" w:lineRule="exact"/>
              <w:ind w:left="-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评审因素</w:t>
            </w:r>
          </w:p>
        </w:tc>
      </w:tr>
      <w:tr w14:paraId="1A5C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91" w:type="dxa"/>
            <w:vAlign w:val="center"/>
          </w:tcPr>
          <w:p w14:paraId="7767C0E3">
            <w:pPr>
              <w:spacing w:line="440" w:lineRule="exact"/>
              <w:ind w:left="-5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662" w:type="dxa"/>
            <w:vAlign w:val="center"/>
          </w:tcPr>
          <w:p w14:paraId="44CA4438">
            <w:pPr>
              <w:spacing w:line="360" w:lineRule="exac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投标人的综合实力</w:t>
            </w:r>
          </w:p>
        </w:tc>
        <w:tc>
          <w:tcPr>
            <w:tcW w:w="800" w:type="dxa"/>
            <w:vAlign w:val="center"/>
          </w:tcPr>
          <w:p w14:paraId="39D49A1E">
            <w:pPr>
              <w:pStyle w:val="15"/>
              <w:snapToGrid w:val="0"/>
              <w:spacing w:before="156" w:after="156" w:line="340" w:lineRule="exact"/>
              <w:jc w:val="center"/>
              <w:rPr>
                <w:rFonts w:hint="eastAsia" w:ascii="宋体" w:hAnsi="宋体" w:eastAsia="宋体" w:cs="宋体"/>
                <w:color w:val="auto"/>
                <w:sz w:val="18"/>
                <w:szCs w:val="18"/>
                <w:highlight w:val="none"/>
                <w:lang w:eastAsia="zh-CN"/>
              </w:rPr>
            </w:pPr>
            <w:r>
              <w:rPr>
                <w:rFonts w:hint="eastAsia" w:hAnsi="宋体" w:cs="宋体"/>
                <w:color w:val="auto"/>
                <w:sz w:val="18"/>
                <w:szCs w:val="18"/>
                <w:highlight w:val="none"/>
                <w:lang w:val="en-US" w:eastAsia="zh-CN"/>
              </w:rPr>
              <w:t>2</w:t>
            </w:r>
          </w:p>
        </w:tc>
        <w:tc>
          <w:tcPr>
            <w:tcW w:w="6274" w:type="dxa"/>
            <w:vAlign w:val="center"/>
          </w:tcPr>
          <w:p w14:paraId="336DD031">
            <w:pPr>
              <w:pStyle w:val="15"/>
              <w:snapToGrid w:val="0"/>
              <w:spacing w:before="156" w:after="156" w:line="340" w:lineRule="exact"/>
              <w:ind w:firstLine="21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根据投标人在行业中的市场信誉、人员组成及资质情况，由评委横向比较进行评分，其中A档：</w:t>
            </w:r>
            <w:r>
              <w:rPr>
                <w:rFonts w:hint="eastAsia" w:hAnsi="宋体" w:cs="宋体"/>
                <w:color w:val="auto"/>
                <w:sz w:val="18"/>
                <w:szCs w:val="18"/>
                <w:highlight w:val="none"/>
                <w:lang w:val="en-US" w:eastAsia="zh-CN"/>
              </w:rPr>
              <w:t>2</w:t>
            </w:r>
            <w:r>
              <w:rPr>
                <w:rFonts w:hint="eastAsia" w:ascii="宋体" w:hAnsi="宋体" w:eastAsia="宋体" w:cs="宋体"/>
                <w:color w:val="auto"/>
                <w:sz w:val="18"/>
                <w:szCs w:val="18"/>
                <w:highlight w:val="none"/>
              </w:rPr>
              <w:t>.0-</w:t>
            </w:r>
            <w:r>
              <w:rPr>
                <w:rFonts w:hint="eastAsia" w:hAnsi="宋体" w:cs="宋体"/>
                <w:color w:val="auto"/>
                <w:sz w:val="18"/>
                <w:szCs w:val="18"/>
                <w:highlight w:val="none"/>
                <w:lang w:val="en-US" w:eastAsia="zh-CN"/>
              </w:rPr>
              <w:t>1.3</w:t>
            </w:r>
            <w:r>
              <w:rPr>
                <w:rFonts w:hint="eastAsia" w:ascii="宋体" w:hAnsi="宋体" w:eastAsia="宋体" w:cs="宋体"/>
                <w:color w:val="auto"/>
                <w:sz w:val="18"/>
                <w:szCs w:val="18"/>
                <w:highlight w:val="none"/>
              </w:rPr>
              <w:t>；B档:</w:t>
            </w:r>
            <w:r>
              <w:rPr>
                <w:rFonts w:hint="eastAsia" w:hAnsi="宋体" w:cs="宋体"/>
                <w:color w:val="auto"/>
                <w:sz w:val="18"/>
                <w:szCs w:val="18"/>
                <w:highlight w:val="none"/>
                <w:lang w:val="en-US" w:eastAsia="zh-CN"/>
              </w:rPr>
              <w:t>1.3</w:t>
            </w:r>
            <w:r>
              <w:rPr>
                <w:rFonts w:hint="eastAsia" w:ascii="宋体" w:hAnsi="宋体" w:eastAsia="宋体" w:cs="宋体"/>
                <w:color w:val="auto"/>
                <w:sz w:val="18"/>
                <w:szCs w:val="18"/>
                <w:highlight w:val="none"/>
              </w:rPr>
              <w:t>-</w:t>
            </w:r>
            <w:r>
              <w:rPr>
                <w:rFonts w:hint="eastAsia" w:hAnsi="宋体" w:cs="宋体"/>
                <w:color w:val="auto"/>
                <w:sz w:val="18"/>
                <w:szCs w:val="18"/>
                <w:highlight w:val="none"/>
                <w:lang w:val="en-US" w:eastAsia="zh-CN"/>
              </w:rPr>
              <w:t>0.6</w:t>
            </w:r>
            <w:r>
              <w:rPr>
                <w:rFonts w:hint="eastAsia" w:ascii="宋体" w:hAnsi="宋体" w:eastAsia="宋体" w:cs="宋体"/>
                <w:color w:val="auto"/>
                <w:sz w:val="18"/>
                <w:szCs w:val="18"/>
                <w:highlight w:val="none"/>
              </w:rPr>
              <w:t>；C档:</w:t>
            </w:r>
            <w:r>
              <w:rPr>
                <w:rFonts w:hint="eastAsia" w:hAnsi="宋体" w:cs="宋体"/>
                <w:color w:val="auto"/>
                <w:sz w:val="18"/>
                <w:szCs w:val="18"/>
                <w:highlight w:val="none"/>
                <w:lang w:val="en-US" w:eastAsia="zh-CN"/>
              </w:rPr>
              <w:t>0.6</w:t>
            </w:r>
            <w:r>
              <w:rPr>
                <w:rFonts w:hint="eastAsia" w:ascii="宋体" w:hAnsi="宋体" w:eastAsia="宋体" w:cs="宋体"/>
                <w:color w:val="auto"/>
                <w:sz w:val="18"/>
                <w:szCs w:val="18"/>
                <w:highlight w:val="none"/>
              </w:rPr>
              <w:t>-0。</w:t>
            </w:r>
          </w:p>
        </w:tc>
      </w:tr>
      <w:tr w14:paraId="3134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691" w:type="dxa"/>
            <w:vAlign w:val="center"/>
          </w:tcPr>
          <w:p w14:paraId="35D5D0D5">
            <w:pPr>
              <w:spacing w:line="440" w:lineRule="exact"/>
              <w:ind w:left="-5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2</w:t>
            </w:r>
          </w:p>
        </w:tc>
        <w:tc>
          <w:tcPr>
            <w:tcW w:w="1662" w:type="dxa"/>
            <w:vAlign w:val="center"/>
          </w:tcPr>
          <w:p w14:paraId="2A3D206D">
            <w:pPr>
              <w:spacing w:line="276"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体系认证情况</w:t>
            </w:r>
          </w:p>
        </w:tc>
        <w:tc>
          <w:tcPr>
            <w:tcW w:w="800" w:type="dxa"/>
            <w:vAlign w:val="center"/>
          </w:tcPr>
          <w:p w14:paraId="2D48F430">
            <w:pPr>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2</w:t>
            </w:r>
          </w:p>
        </w:tc>
        <w:tc>
          <w:tcPr>
            <w:tcW w:w="6274" w:type="dxa"/>
            <w:vAlign w:val="center"/>
          </w:tcPr>
          <w:p w14:paraId="3923A4F5">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投标人具有有效质量管理体系认证证书得</w:t>
            </w:r>
            <w:r>
              <w:rPr>
                <w:rFonts w:hint="eastAsia" w:ascii="宋体" w:hAnsi="宋体" w:cs="宋体"/>
                <w:color w:val="auto"/>
                <w:sz w:val="18"/>
                <w:szCs w:val="18"/>
                <w:highlight w:val="none"/>
                <w:lang w:val="en-US" w:eastAsia="zh-CN"/>
              </w:rPr>
              <w:t>0.7</w:t>
            </w:r>
            <w:r>
              <w:rPr>
                <w:rFonts w:hint="eastAsia" w:ascii="宋体" w:hAnsi="宋体" w:eastAsia="宋体" w:cs="宋体"/>
                <w:color w:val="auto"/>
                <w:sz w:val="18"/>
                <w:szCs w:val="18"/>
                <w:highlight w:val="none"/>
              </w:rPr>
              <w:t>分；</w:t>
            </w:r>
          </w:p>
          <w:p w14:paraId="0673B2FE">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投标人具有有效环境管理体系认证证书得</w:t>
            </w:r>
            <w:r>
              <w:rPr>
                <w:rFonts w:hint="eastAsia" w:ascii="宋体" w:hAnsi="宋体" w:cs="宋体"/>
                <w:color w:val="auto"/>
                <w:sz w:val="18"/>
                <w:szCs w:val="18"/>
                <w:highlight w:val="none"/>
                <w:lang w:val="en-US" w:eastAsia="zh-CN"/>
              </w:rPr>
              <w:t>0.7</w:t>
            </w:r>
            <w:r>
              <w:rPr>
                <w:rFonts w:hint="eastAsia" w:ascii="宋体" w:hAnsi="宋体" w:eastAsia="宋体" w:cs="宋体"/>
                <w:color w:val="auto"/>
                <w:sz w:val="18"/>
                <w:szCs w:val="18"/>
                <w:highlight w:val="none"/>
              </w:rPr>
              <w:t>分；</w:t>
            </w:r>
          </w:p>
          <w:p w14:paraId="0ED97986">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投标人具有有效职业健康安全管理体系认证得</w:t>
            </w:r>
            <w:r>
              <w:rPr>
                <w:rFonts w:hint="eastAsia" w:ascii="宋体" w:hAnsi="宋体" w:cs="宋体"/>
                <w:color w:val="auto"/>
                <w:sz w:val="18"/>
                <w:szCs w:val="18"/>
                <w:highlight w:val="none"/>
                <w:lang w:val="en-US" w:eastAsia="zh-CN"/>
              </w:rPr>
              <w:t>0.6</w:t>
            </w:r>
            <w:r>
              <w:rPr>
                <w:rFonts w:hint="eastAsia" w:ascii="宋体" w:hAnsi="宋体" w:eastAsia="宋体" w:cs="宋体"/>
                <w:color w:val="auto"/>
                <w:sz w:val="18"/>
                <w:szCs w:val="18"/>
                <w:highlight w:val="none"/>
              </w:rPr>
              <w:t>分。</w:t>
            </w:r>
          </w:p>
          <w:p w14:paraId="6B0CFC01">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注：未提供不得分，本项最高</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分。</w:t>
            </w:r>
          </w:p>
        </w:tc>
      </w:tr>
      <w:tr w14:paraId="3E80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91" w:type="dxa"/>
            <w:vAlign w:val="center"/>
          </w:tcPr>
          <w:p w14:paraId="0EF6ABB7">
            <w:pPr>
              <w:spacing w:line="340" w:lineRule="exact"/>
              <w:ind w:left="-5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w:t>
            </w:r>
          </w:p>
        </w:tc>
        <w:tc>
          <w:tcPr>
            <w:tcW w:w="1662" w:type="dxa"/>
            <w:vAlign w:val="center"/>
          </w:tcPr>
          <w:p w14:paraId="66D9E1C0">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项目业绩</w:t>
            </w:r>
          </w:p>
        </w:tc>
        <w:tc>
          <w:tcPr>
            <w:tcW w:w="800" w:type="dxa"/>
            <w:vAlign w:val="center"/>
          </w:tcPr>
          <w:p w14:paraId="369A3F0E">
            <w:pPr>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2</w:t>
            </w:r>
          </w:p>
        </w:tc>
        <w:tc>
          <w:tcPr>
            <w:tcW w:w="6274" w:type="dxa"/>
            <w:vAlign w:val="center"/>
          </w:tcPr>
          <w:p w14:paraId="258894EA">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自202</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年1月1日起（以合同签订时间为准）承担过</w:t>
            </w:r>
            <w:r>
              <w:rPr>
                <w:rFonts w:hint="eastAsia" w:ascii="宋体" w:hAnsi="宋体" w:cs="宋体"/>
                <w:color w:val="auto"/>
                <w:sz w:val="18"/>
                <w:szCs w:val="18"/>
                <w:highlight w:val="none"/>
                <w:lang w:val="en-US" w:eastAsia="zh-CN"/>
              </w:rPr>
              <w:t>医学媒介生物本底调查</w:t>
            </w:r>
            <w:r>
              <w:rPr>
                <w:rFonts w:hint="eastAsia" w:ascii="宋体" w:hAnsi="宋体" w:eastAsia="宋体" w:cs="宋体"/>
                <w:color w:val="auto"/>
                <w:sz w:val="18"/>
                <w:szCs w:val="18"/>
                <w:highlight w:val="none"/>
              </w:rPr>
              <w:t>服务项目业绩，每个项目业绩得1分，本项最高</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分。（提供合同复印件，同一</w:t>
            </w:r>
            <w:r>
              <w:rPr>
                <w:rFonts w:hint="eastAsia" w:ascii="宋体" w:hAnsi="宋体" w:cs="宋体"/>
                <w:color w:val="auto"/>
                <w:sz w:val="18"/>
                <w:szCs w:val="18"/>
                <w:highlight w:val="none"/>
                <w:lang w:val="en-US" w:eastAsia="zh-CN"/>
              </w:rPr>
              <w:t>招标人</w:t>
            </w:r>
            <w:r>
              <w:rPr>
                <w:rFonts w:hint="eastAsia" w:ascii="宋体" w:hAnsi="宋体" w:eastAsia="宋体" w:cs="宋体"/>
                <w:color w:val="auto"/>
                <w:sz w:val="18"/>
                <w:szCs w:val="18"/>
                <w:highlight w:val="none"/>
              </w:rPr>
              <w:t>单位</w:t>
            </w:r>
            <w:r>
              <w:rPr>
                <w:rFonts w:hint="eastAsia" w:ascii="宋体" w:hAnsi="宋体" w:cs="宋体"/>
                <w:color w:val="auto"/>
                <w:sz w:val="18"/>
                <w:szCs w:val="18"/>
                <w:highlight w:val="none"/>
                <w:lang w:val="en-US" w:eastAsia="zh-CN"/>
              </w:rPr>
              <w:t>合同</w:t>
            </w:r>
            <w:r>
              <w:rPr>
                <w:rFonts w:hint="eastAsia" w:ascii="宋体" w:hAnsi="宋体" w:eastAsia="宋体" w:cs="宋体"/>
                <w:color w:val="auto"/>
                <w:sz w:val="18"/>
                <w:szCs w:val="18"/>
                <w:highlight w:val="none"/>
              </w:rPr>
              <w:t>不重复得分）</w:t>
            </w:r>
          </w:p>
        </w:tc>
      </w:tr>
      <w:tr w14:paraId="4AC5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691" w:type="dxa"/>
            <w:vAlign w:val="center"/>
          </w:tcPr>
          <w:p w14:paraId="79050D67">
            <w:pPr>
              <w:spacing w:line="340" w:lineRule="exact"/>
              <w:ind w:left="-5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4</w:t>
            </w:r>
          </w:p>
        </w:tc>
        <w:tc>
          <w:tcPr>
            <w:tcW w:w="1662" w:type="dxa"/>
            <w:vAlign w:val="center"/>
          </w:tcPr>
          <w:p w14:paraId="3AD934A2">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拟投入本项目的工作人员</w:t>
            </w:r>
          </w:p>
        </w:tc>
        <w:tc>
          <w:tcPr>
            <w:tcW w:w="800" w:type="dxa"/>
            <w:vAlign w:val="center"/>
          </w:tcPr>
          <w:p w14:paraId="496ED869">
            <w:pPr>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3</w:t>
            </w:r>
          </w:p>
        </w:tc>
        <w:tc>
          <w:tcPr>
            <w:tcW w:w="6274" w:type="dxa"/>
            <w:vAlign w:val="center"/>
          </w:tcPr>
          <w:p w14:paraId="61F01084">
            <w:pPr>
              <w:spacing w:line="340" w:lineRule="exact"/>
              <w:ind w:left="-51"/>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根据投标人对本项目拟投入人员的配置情况，并结合配置人员的证书、经验等综合情况，由评委横向比较进行评分，其中A档：3.0-2.0；B档:2.0-1.0；C档:1.0-0。</w:t>
            </w:r>
          </w:p>
        </w:tc>
      </w:tr>
      <w:tr w14:paraId="7CA1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691" w:type="dxa"/>
            <w:vAlign w:val="center"/>
          </w:tcPr>
          <w:p w14:paraId="20BC8167">
            <w:pPr>
              <w:spacing w:line="440" w:lineRule="exact"/>
              <w:ind w:left="-5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5</w:t>
            </w:r>
          </w:p>
        </w:tc>
        <w:tc>
          <w:tcPr>
            <w:tcW w:w="1662" w:type="dxa"/>
            <w:vAlign w:val="center"/>
          </w:tcPr>
          <w:p w14:paraId="4FC0CF3F">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投标人监测服务使用器械</w:t>
            </w:r>
          </w:p>
        </w:tc>
        <w:tc>
          <w:tcPr>
            <w:tcW w:w="800" w:type="dxa"/>
            <w:vAlign w:val="center"/>
          </w:tcPr>
          <w:p w14:paraId="678FF494">
            <w:pPr>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6274" w:type="dxa"/>
            <w:vAlign w:val="center"/>
          </w:tcPr>
          <w:p w14:paraId="2C9F2FA4">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根据投标人监测服务使用器械的先进性、合理性、可靠性进行综合比较打分。</w:t>
            </w:r>
          </w:p>
          <w:p w14:paraId="2B4067D3">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其中A档：3.0-2.0；B档:2.0-1.0；C档:1.0-0。</w:t>
            </w:r>
          </w:p>
        </w:tc>
      </w:tr>
      <w:tr w14:paraId="1A79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691" w:type="dxa"/>
            <w:vAlign w:val="center"/>
          </w:tcPr>
          <w:p w14:paraId="5E8E8761">
            <w:pPr>
              <w:spacing w:line="440" w:lineRule="exact"/>
              <w:ind w:left="-50"/>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6</w:t>
            </w:r>
          </w:p>
        </w:tc>
        <w:tc>
          <w:tcPr>
            <w:tcW w:w="1662" w:type="dxa"/>
            <w:vAlign w:val="center"/>
          </w:tcPr>
          <w:p w14:paraId="7DCC7305">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监测实施方案</w:t>
            </w:r>
          </w:p>
        </w:tc>
        <w:tc>
          <w:tcPr>
            <w:tcW w:w="800" w:type="dxa"/>
            <w:vAlign w:val="center"/>
          </w:tcPr>
          <w:p w14:paraId="60A72CB4">
            <w:pPr>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val="en-US" w:eastAsia="zh-CN"/>
              </w:rPr>
              <w:t>5</w:t>
            </w:r>
          </w:p>
        </w:tc>
        <w:tc>
          <w:tcPr>
            <w:tcW w:w="6274" w:type="dxa"/>
            <w:vAlign w:val="center"/>
          </w:tcPr>
          <w:p w14:paraId="7262EA49">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（1）针对本项目实施区域的熟悉程度及针对该区域的难点、服务实施建议进行横向比较打分（0-</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p>
          <w:p w14:paraId="0ACDF541">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（2）在不同时间对各类别地域、重点场所实施监测评估工作的难点、要点和关键部分的阐述及实施意见（0-</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p>
          <w:p w14:paraId="3D13231E">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（3）针对病媒生物不同种类密度的监测评估技术方法与措施（0-</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w:t>
            </w:r>
          </w:p>
          <w:p w14:paraId="57FD3E03">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（4）对不同类别环境可能存在的每种害虫监测工作计划的安排及应急响应制度和应急技术规范（0-</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p>
        </w:tc>
      </w:tr>
      <w:tr w14:paraId="5D57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91" w:type="dxa"/>
            <w:vAlign w:val="center"/>
          </w:tcPr>
          <w:p w14:paraId="3C2D0869">
            <w:pPr>
              <w:spacing w:line="276" w:lineRule="auto"/>
              <w:jc w:val="center"/>
              <w:rPr>
                <w:rFonts w:hint="eastAsia" w:ascii="宋体" w:hAnsi="宋体" w:eastAsia="宋体" w:cs="宋体"/>
                <w:color w:val="auto"/>
                <w:sz w:val="18"/>
                <w:szCs w:val="18"/>
                <w:highlight w:val="none"/>
                <w:lang w:eastAsia="zh-CN"/>
              </w:rPr>
            </w:pPr>
            <w:r>
              <w:rPr>
                <w:rFonts w:hint="eastAsia" w:ascii="宋体" w:hAnsi="宋体" w:cs="宋体"/>
                <w:b/>
                <w:color w:val="auto"/>
                <w:sz w:val="18"/>
                <w:szCs w:val="18"/>
                <w:highlight w:val="none"/>
                <w:lang w:val="en-US" w:eastAsia="zh-CN"/>
              </w:rPr>
              <w:t>7</w:t>
            </w:r>
          </w:p>
        </w:tc>
        <w:tc>
          <w:tcPr>
            <w:tcW w:w="1662" w:type="dxa"/>
            <w:vAlign w:val="center"/>
          </w:tcPr>
          <w:p w14:paraId="2856B192">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售后服务保障</w:t>
            </w:r>
          </w:p>
        </w:tc>
        <w:tc>
          <w:tcPr>
            <w:tcW w:w="800" w:type="dxa"/>
            <w:vAlign w:val="center"/>
          </w:tcPr>
          <w:p w14:paraId="1A4862A3">
            <w:pPr>
              <w:spacing w:line="27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6274" w:type="dxa"/>
            <w:vAlign w:val="center"/>
          </w:tcPr>
          <w:p w14:paraId="7A2BEC74">
            <w:pPr>
              <w:spacing w:line="276"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投标人服务承诺、提供的后续服务，响应计划包括服务能力、应急服务的快速响应能力和其他服务承诺等,由评委根据承诺情况酌情打分。 （0-3分）</w:t>
            </w:r>
          </w:p>
        </w:tc>
      </w:tr>
    </w:tbl>
    <w:p w14:paraId="70D012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2、价格标评分</w:t>
      </w:r>
      <w:r>
        <w:rPr>
          <w:rFonts w:hint="eastAsia" w:ascii="宋体" w:hAnsi="宋体" w:cs="宋体"/>
          <w:b/>
          <w:color w:val="auto"/>
          <w:szCs w:val="21"/>
          <w:highlight w:val="none"/>
          <w:lang w:val="en-US" w:eastAsia="zh-CN"/>
        </w:rPr>
        <w:t>8</w:t>
      </w:r>
      <w:r>
        <w:rPr>
          <w:rFonts w:hint="eastAsia" w:ascii="宋体" w:hAnsi="宋体" w:eastAsia="宋体" w:cs="宋体"/>
          <w:b/>
          <w:color w:val="auto"/>
          <w:szCs w:val="21"/>
          <w:highlight w:val="none"/>
        </w:rPr>
        <w:t>0分</w:t>
      </w:r>
    </w:p>
    <w:p w14:paraId="38DD133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 评标基准价： </w:t>
      </w:r>
    </w:p>
    <w:p w14:paraId="4C0D38A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评标基准价=经评审合格的投标人有效报价的</w:t>
      </w:r>
      <w:r>
        <w:rPr>
          <w:rFonts w:hint="eastAsia" w:ascii="宋体" w:hAnsi="宋体" w:cs="宋体"/>
          <w:color w:val="auto"/>
          <w:szCs w:val="21"/>
          <w:highlight w:val="none"/>
          <w:lang w:val="en-US" w:eastAsia="zh-CN"/>
        </w:rPr>
        <w:t>最低</w:t>
      </w:r>
      <w:r>
        <w:rPr>
          <w:rFonts w:hint="eastAsia" w:ascii="宋体" w:hAnsi="宋体" w:eastAsia="宋体" w:cs="宋体"/>
          <w:color w:val="auto"/>
          <w:szCs w:val="21"/>
          <w:highlight w:val="none"/>
        </w:rPr>
        <w:t xml:space="preserve">值； </w:t>
      </w:r>
    </w:p>
    <w:p w14:paraId="6CB3713C">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 其他投标报价的价格分公式： </w:t>
      </w:r>
    </w:p>
    <w:p w14:paraId="2FAD0EFA">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投标价等于基准价的得 </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 xml:space="preserve">0 分， </w:t>
      </w:r>
    </w:p>
    <w:p w14:paraId="450CF1C8">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投标价高于基准价的计算公式：价格分=</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0-（投标价-基准价）/基准价*100*</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 xml:space="preserve">。 </w:t>
      </w:r>
    </w:p>
    <w:p w14:paraId="3A2A4B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价格分保留小数点后两位，第三位四舍五入。</w:t>
      </w:r>
    </w:p>
    <w:p w14:paraId="6E5BCA4A">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2.3★最高限价</w:t>
      </w:r>
      <w:r>
        <w:rPr>
          <w:rFonts w:hint="eastAsia" w:ascii="宋体" w:hAnsi="宋体" w:eastAsia="宋体" w:cs="宋体"/>
          <w:b/>
          <w:bCs/>
          <w:color w:val="auto"/>
          <w:kern w:val="0"/>
          <w:szCs w:val="21"/>
          <w:highlight w:val="none"/>
        </w:rPr>
        <w:t>：</w:t>
      </w:r>
      <w:r>
        <w:rPr>
          <w:rFonts w:hint="eastAsia" w:ascii="宋体" w:hAnsi="宋体" w:cs="宋体"/>
          <w:b/>
          <w:color w:val="auto"/>
          <w:szCs w:val="21"/>
          <w:highlight w:val="none"/>
          <w:lang w:val="en-US" w:eastAsia="zh-CN"/>
        </w:rPr>
        <w:t>20</w:t>
      </w:r>
      <w:r>
        <w:rPr>
          <w:rFonts w:hint="eastAsia" w:ascii="宋体" w:hAnsi="宋体" w:eastAsia="宋体" w:cs="宋体"/>
          <w:b/>
          <w:color w:val="auto"/>
          <w:szCs w:val="21"/>
          <w:highlight w:val="none"/>
        </w:rPr>
        <w:t>万元</w:t>
      </w:r>
      <w:r>
        <w:rPr>
          <w:rFonts w:hint="eastAsia" w:ascii="宋体" w:hAnsi="宋体" w:eastAsia="宋体" w:cs="宋体"/>
          <w:b/>
          <w:bCs/>
          <w:color w:val="auto"/>
          <w:kern w:val="0"/>
          <w:szCs w:val="21"/>
          <w:highlight w:val="none"/>
        </w:rPr>
        <w:t>。</w:t>
      </w:r>
    </w:p>
    <w:p w14:paraId="5FC35B1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2.4投标人报价不得超过最高限价，否则投标文件作无效标处理。所有投标人报价均超最高限价，重新组织招标。</w:t>
      </w:r>
    </w:p>
    <w:p w14:paraId="6D7A1E7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3、说明</w:t>
      </w:r>
    </w:p>
    <w:p w14:paraId="55EC91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有效投标人的综合得分为商务技术分和价格分的总和，计算公式为：综合得分=商务技术得分+价格得分。</w:t>
      </w:r>
    </w:p>
    <w:p w14:paraId="12BB5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3.2本次招标由评标委员会推荐中标候选人，招标人根据评标委员会的推荐结果进行最终确认。</w:t>
      </w:r>
    </w:p>
    <w:bookmarkEnd w:id="70"/>
    <w:bookmarkEnd w:id="71"/>
    <w:p w14:paraId="4D5A0608">
      <w:pPr>
        <w:spacing w:line="360" w:lineRule="auto"/>
        <w:ind w:firstLine="420" w:firstLineChars="200"/>
        <w:rPr>
          <w:rFonts w:hint="eastAsia" w:ascii="宋体" w:hAnsi="宋体" w:eastAsia="宋体" w:cs="宋体"/>
          <w:color w:val="auto"/>
          <w:szCs w:val="21"/>
          <w:highlight w:val="none"/>
        </w:rPr>
      </w:pPr>
      <w:bookmarkStart w:id="72" w:name="_Hlk112924122"/>
      <w:r>
        <w:rPr>
          <w:rFonts w:hint="eastAsia" w:ascii="宋体" w:hAnsi="宋体" w:eastAsia="宋体" w:cs="宋体"/>
          <w:color w:val="auto"/>
          <w:szCs w:val="21"/>
          <w:highlight w:val="none"/>
        </w:rPr>
        <w:t>3.3、评标专家按综合得分由高到低顺序排列，综合得分第一名的投标人作为该项目中标候选人</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向招标人推荐，并提交评标报告（得分相同投标报价低的排序第一；如果均相同，则抽签决定）。</w:t>
      </w:r>
    </w:p>
    <w:bookmarkEnd w:id="72"/>
    <w:p w14:paraId="4853772C">
      <w:pPr>
        <w:spacing w:line="360" w:lineRule="auto"/>
        <w:ind w:firstLine="422" w:firstLineChars="200"/>
        <w:rPr>
          <w:rFonts w:hint="eastAsia" w:ascii="宋体" w:hAnsi="宋体" w:eastAsia="宋体" w:cs="宋体"/>
          <w:b/>
          <w:color w:val="auto"/>
          <w:szCs w:val="21"/>
          <w:highlight w:val="none"/>
        </w:rPr>
      </w:pPr>
      <w:bookmarkStart w:id="73" w:name="_Toc221356967"/>
      <w:bookmarkStart w:id="74" w:name="_Toc221356904"/>
      <w:r>
        <w:rPr>
          <w:rFonts w:hint="eastAsia" w:ascii="宋体" w:hAnsi="宋体" w:eastAsia="宋体" w:cs="宋体"/>
          <w:b/>
          <w:color w:val="auto"/>
          <w:szCs w:val="21"/>
          <w:highlight w:val="none"/>
        </w:rPr>
        <w:t>六、确定中标人</w:t>
      </w:r>
      <w:bookmarkEnd w:id="73"/>
      <w:bookmarkEnd w:id="74"/>
    </w:p>
    <w:p w14:paraId="66C20716">
      <w:pPr>
        <w:spacing w:line="360" w:lineRule="auto"/>
        <w:ind w:firstLine="420" w:firstLineChars="200"/>
        <w:rPr>
          <w:rFonts w:hint="eastAsia" w:ascii="宋体" w:hAnsi="宋体" w:eastAsia="宋体" w:cs="宋体"/>
          <w:color w:val="auto"/>
          <w:szCs w:val="21"/>
          <w:highlight w:val="none"/>
        </w:rPr>
      </w:pPr>
      <w:bookmarkStart w:id="75" w:name="_Toc221356968"/>
      <w:bookmarkStart w:id="76" w:name="_Toc221356905"/>
      <w:r>
        <w:rPr>
          <w:rFonts w:hint="eastAsia" w:ascii="宋体" w:hAnsi="宋体" w:eastAsia="宋体" w:cs="宋体"/>
          <w:color w:val="auto"/>
          <w:szCs w:val="21"/>
          <w:highlight w:val="none"/>
        </w:rPr>
        <w:t>评标结束后，招标人将在采购指定信息媒体“浙江海港电子招标采购平台（http://hgdzzb.nbport.com.cn/）、温州港集团有限公司网站（https://www.wzport.com/wzport/wzgzz/sy/index.html）”</w:t>
      </w:r>
      <w:r>
        <w:rPr>
          <w:rFonts w:hint="eastAsia" w:asciiTheme="minorEastAsia" w:hAnsiTheme="minorEastAsia" w:eastAsiaTheme="minorEastAsia" w:cstheme="minorEastAsia"/>
          <w:color w:val="auto"/>
          <w:szCs w:val="21"/>
          <w:highlight w:val="none"/>
          <w:lang w:val="en-US" w:eastAsia="zh-CN"/>
        </w:rPr>
        <w:t>、</w:t>
      </w:r>
      <w:r>
        <w:rPr>
          <w:rFonts w:hint="eastAsia" w:hAnsi="宋体" w:cs="宋体"/>
          <w:kern w:val="2"/>
          <w:sz w:val="21"/>
          <w:szCs w:val="21"/>
          <w:lang w:val="en-US" w:eastAsia="zh-CN"/>
        </w:rPr>
        <w:t>中国采购与招标网（https://www.chinabidding.cn/?utm_term）</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szCs w:val="21"/>
          <w:highlight w:val="none"/>
        </w:rPr>
        <w:t>等网站上发布，评标结果公示。公示期结束，在规定期限内无异议则招标机构将向中标人发出中标通知书。</w:t>
      </w:r>
    </w:p>
    <w:p w14:paraId="45D2181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七、投标人义务</w:t>
      </w:r>
      <w:bookmarkEnd w:id="75"/>
      <w:bookmarkEnd w:id="76"/>
    </w:p>
    <w:p w14:paraId="3304F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投标人应随时接受评标专家的询标，解答包括有关的商务、技术问题等。评标结束，所有评标资料存招标机构备查。</w:t>
      </w:r>
    </w:p>
    <w:p w14:paraId="563770BC">
      <w:pPr>
        <w:spacing w:line="360" w:lineRule="auto"/>
        <w:rPr>
          <w:rFonts w:hint="eastAsia" w:ascii="宋体" w:hAnsi="宋体" w:eastAsia="宋体" w:cs="宋体"/>
          <w:color w:val="auto"/>
          <w:highlight w:val="none"/>
        </w:rPr>
      </w:pPr>
    </w:p>
    <w:p w14:paraId="54CA1780">
      <w:pPr>
        <w:spacing w:line="360" w:lineRule="auto"/>
        <w:ind w:firstLine="800" w:firstLineChars="250"/>
        <w:jc w:val="center"/>
        <w:rPr>
          <w:rFonts w:hint="eastAsia" w:ascii="宋体" w:hAnsi="宋体" w:eastAsia="宋体" w:cs="宋体"/>
          <w:color w:val="auto"/>
          <w:sz w:val="32"/>
          <w:szCs w:val="32"/>
          <w:highlight w:val="none"/>
        </w:rPr>
      </w:pPr>
    </w:p>
    <w:p w14:paraId="6382813C">
      <w:pPr>
        <w:spacing w:line="360" w:lineRule="auto"/>
        <w:ind w:firstLine="800" w:firstLineChars="250"/>
        <w:jc w:val="center"/>
        <w:rPr>
          <w:rFonts w:hint="eastAsia" w:ascii="宋体" w:hAnsi="宋体" w:eastAsia="宋体" w:cs="宋体"/>
          <w:color w:val="auto"/>
          <w:sz w:val="32"/>
          <w:szCs w:val="32"/>
          <w:highlight w:val="none"/>
        </w:rPr>
      </w:pPr>
    </w:p>
    <w:p w14:paraId="60C648A2">
      <w:pPr>
        <w:spacing w:line="360" w:lineRule="auto"/>
        <w:ind w:firstLine="800" w:firstLineChars="250"/>
        <w:jc w:val="center"/>
        <w:rPr>
          <w:rFonts w:hint="eastAsia" w:ascii="宋体" w:hAnsi="宋体" w:eastAsia="宋体" w:cs="宋体"/>
          <w:color w:val="auto"/>
          <w:sz w:val="32"/>
          <w:szCs w:val="32"/>
          <w:highlight w:val="none"/>
        </w:rPr>
      </w:pPr>
    </w:p>
    <w:p w14:paraId="27A29737">
      <w:pPr>
        <w:spacing w:line="360" w:lineRule="auto"/>
        <w:ind w:firstLine="800" w:firstLineChars="250"/>
        <w:jc w:val="center"/>
        <w:rPr>
          <w:rFonts w:hint="eastAsia" w:ascii="宋体" w:hAnsi="宋体" w:eastAsia="宋体" w:cs="宋体"/>
          <w:color w:val="auto"/>
          <w:sz w:val="32"/>
          <w:szCs w:val="32"/>
          <w:highlight w:val="none"/>
        </w:rPr>
      </w:pPr>
    </w:p>
    <w:p w14:paraId="5F00D7DD">
      <w:pPr>
        <w:spacing w:line="360" w:lineRule="auto"/>
        <w:ind w:firstLine="800" w:firstLineChars="250"/>
        <w:jc w:val="center"/>
        <w:rPr>
          <w:rFonts w:hint="eastAsia" w:ascii="宋体" w:hAnsi="宋体" w:eastAsia="宋体" w:cs="宋体"/>
          <w:color w:val="auto"/>
          <w:sz w:val="32"/>
          <w:szCs w:val="32"/>
          <w:highlight w:val="none"/>
        </w:rPr>
      </w:pPr>
    </w:p>
    <w:p w14:paraId="275691CC">
      <w:pPr>
        <w:spacing w:line="360" w:lineRule="auto"/>
        <w:ind w:firstLine="800" w:firstLineChars="250"/>
        <w:jc w:val="center"/>
        <w:rPr>
          <w:rFonts w:hint="eastAsia" w:ascii="宋体" w:hAnsi="宋体" w:eastAsia="宋体" w:cs="宋体"/>
          <w:color w:val="auto"/>
          <w:sz w:val="32"/>
          <w:szCs w:val="32"/>
          <w:highlight w:val="none"/>
        </w:rPr>
      </w:pPr>
    </w:p>
    <w:p w14:paraId="2A0AA305">
      <w:pPr>
        <w:spacing w:line="360" w:lineRule="auto"/>
        <w:ind w:firstLine="800" w:firstLineChars="250"/>
        <w:jc w:val="center"/>
        <w:rPr>
          <w:rFonts w:hint="eastAsia" w:ascii="宋体" w:hAnsi="宋体" w:eastAsia="宋体" w:cs="宋体"/>
          <w:color w:val="auto"/>
          <w:sz w:val="32"/>
          <w:szCs w:val="32"/>
          <w:highlight w:val="none"/>
        </w:rPr>
      </w:pPr>
    </w:p>
    <w:p w14:paraId="1EE01906">
      <w:pPr>
        <w:spacing w:line="360" w:lineRule="auto"/>
        <w:ind w:firstLine="800" w:firstLineChars="250"/>
        <w:jc w:val="center"/>
        <w:rPr>
          <w:rFonts w:hint="eastAsia" w:ascii="宋体" w:hAnsi="宋体" w:eastAsia="宋体" w:cs="宋体"/>
          <w:color w:val="auto"/>
          <w:sz w:val="32"/>
          <w:szCs w:val="32"/>
          <w:highlight w:val="none"/>
        </w:rPr>
      </w:pPr>
    </w:p>
    <w:p w14:paraId="5A4E38C5">
      <w:pPr>
        <w:spacing w:line="360" w:lineRule="auto"/>
        <w:ind w:firstLine="800" w:firstLineChars="250"/>
        <w:jc w:val="center"/>
        <w:rPr>
          <w:rFonts w:hint="eastAsia" w:ascii="宋体" w:hAnsi="宋体" w:eastAsia="宋体" w:cs="宋体"/>
          <w:color w:val="auto"/>
          <w:sz w:val="32"/>
          <w:szCs w:val="32"/>
          <w:highlight w:val="none"/>
        </w:rPr>
      </w:pPr>
    </w:p>
    <w:p w14:paraId="5351B71D">
      <w:pPr>
        <w:spacing w:line="360" w:lineRule="auto"/>
        <w:ind w:firstLine="803" w:firstLineChars="250"/>
        <w:jc w:val="center"/>
        <w:outlineLvl w:val="0"/>
        <w:rPr>
          <w:rFonts w:hint="eastAsia" w:ascii="宋体" w:hAnsi="宋体" w:eastAsia="宋体" w:cs="宋体"/>
          <w:b/>
          <w:bCs/>
          <w:color w:val="auto"/>
          <w:sz w:val="32"/>
          <w:szCs w:val="32"/>
          <w:highlight w:val="none"/>
        </w:rPr>
      </w:pPr>
      <w:bookmarkStart w:id="77" w:name="_Toc121800418"/>
      <w:r>
        <w:rPr>
          <w:rFonts w:hint="eastAsia" w:ascii="宋体" w:hAnsi="宋体" w:eastAsia="宋体" w:cs="宋体"/>
          <w:b/>
          <w:bCs/>
          <w:color w:val="auto"/>
          <w:sz w:val="32"/>
          <w:szCs w:val="32"/>
          <w:highlight w:val="none"/>
        </w:rPr>
        <w:br w:type="column"/>
      </w:r>
      <w:r>
        <w:rPr>
          <w:rFonts w:hint="eastAsia" w:ascii="宋体" w:hAnsi="宋体" w:eastAsia="宋体" w:cs="宋体"/>
          <w:b/>
          <w:bCs/>
          <w:color w:val="auto"/>
          <w:sz w:val="32"/>
          <w:szCs w:val="32"/>
          <w:highlight w:val="none"/>
        </w:rPr>
        <w:t>第五章合同主要条款</w:t>
      </w:r>
      <w:bookmarkEnd w:id="77"/>
    </w:p>
    <w:p w14:paraId="09915B34">
      <w:pPr>
        <w:ind w:firstLine="220" w:firstLineChars="100"/>
        <w:rPr>
          <w:rFonts w:hint="eastAsia" w:ascii="宋体" w:hAnsi="宋体" w:eastAsia="宋体" w:cs="宋体"/>
          <w:b/>
          <w:color w:val="auto"/>
          <w:sz w:val="28"/>
          <w:szCs w:val="28"/>
          <w:highlight w:val="none"/>
        </w:rPr>
      </w:pPr>
      <w:r>
        <w:rPr>
          <w:rFonts w:hint="eastAsia" w:ascii="宋体" w:hAnsi="宋体" w:eastAsia="宋体" w:cs="宋体"/>
          <w:color w:val="auto"/>
          <w:sz w:val="22"/>
          <w:highlight w:val="none"/>
        </w:rPr>
        <w:t xml:space="preserve">  </w:t>
      </w:r>
      <w:bookmarkStart w:id="78" w:name="_Toc121800419"/>
    </w:p>
    <w:p w14:paraId="748D7CC8">
      <w:pPr>
        <w:spacing w:line="440" w:lineRule="exact"/>
        <w:rPr>
          <w:rFonts w:hint="eastAsia" w:ascii="宋体" w:hAnsi="宋体" w:eastAsia="宋体" w:cs="宋体"/>
          <w:b/>
          <w:color w:val="auto"/>
          <w:sz w:val="28"/>
          <w:szCs w:val="28"/>
          <w:highlight w:val="none"/>
        </w:rPr>
      </w:pPr>
    </w:p>
    <w:p w14:paraId="1D5B2297">
      <w:pPr>
        <w:spacing w:line="440" w:lineRule="exact"/>
        <w:rPr>
          <w:rFonts w:hint="eastAsia" w:ascii="宋体" w:hAnsi="宋体" w:eastAsia="宋体" w:cs="宋体"/>
          <w:b/>
          <w:bCs/>
          <w:color w:val="auto"/>
          <w:sz w:val="21"/>
          <w:szCs w:val="21"/>
          <w:highlight w:val="none"/>
          <w:lang w:val="zh-TW" w:eastAsia="zh-CN"/>
        </w:rPr>
      </w:pPr>
      <w:r>
        <w:rPr>
          <w:rFonts w:hint="eastAsia" w:ascii="宋体" w:hAnsi="宋体" w:eastAsia="宋体" w:cs="宋体"/>
          <w:b/>
          <w:bCs/>
          <w:color w:val="auto"/>
          <w:sz w:val="21"/>
          <w:szCs w:val="21"/>
          <w:highlight w:val="none"/>
          <w:lang w:val="zh-TW" w:eastAsia="zh-TW"/>
        </w:rPr>
        <w:t>甲方（委托方）名称：</w:t>
      </w:r>
    </w:p>
    <w:p w14:paraId="34C6A31C">
      <w:pPr>
        <w:tabs>
          <w:tab w:val="left" w:pos="6015"/>
        </w:tabs>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注册地址：</w:t>
      </w:r>
      <w:r>
        <w:rPr>
          <w:rFonts w:hint="eastAsia" w:ascii="宋体" w:hAnsi="宋体" w:eastAsia="宋体" w:cs="宋体"/>
          <w:b/>
          <w:bCs/>
          <w:color w:val="auto"/>
          <w:sz w:val="21"/>
          <w:szCs w:val="21"/>
          <w:highlight w:val="none"/>
        </w:rPr>
        <w:t xml:space="preserve"> </w:t>
      </w:r>
    </w:p>
    <w:p w14:paraId="1236E054">
      <w:pPr>
        <w:spacing w:line="360" w:lineRule="auto"/>
        <w:rPr>
          <w:rFonts w:hint="eastAsia" w:ascii="宋体" w:hAnsi="宋体" w:eastAsia="宋体" w:cs="宋体"/>
          <w:b/>
          <w:bCs/>
          <w:color w:val="auto"/>
          <w:sz w:val="21"/>
          <w:szCs w:val="21"/>
          <w:highlight w:val="none"/>
          <w:lang w:val="zh-TW"/>
        </w:rPr>
      </w:pPr>
      <w:r>
        <w:rPr>
          <w:rFonts w:hint="eastAsia" w:ascii="宋体" w:hAnsi="宋体" w:eastAsia="宋体" w:cs="宋体"/>
          <w:b/>
          <w:bCs/>
          <w:color w:val="auto"/>
          <w:sz w:val="21"/>
          <w:szCs w:val="21"/>
          <w:highlight w:val="none"/>
          <w:lang w:val="zh-TW" w:eastAsia="zh-TW"/>
        </w:rPr>
        <w:t>法定代表人：</w:t>
      </w:r>
    </w:p>
    <w:p w14:paraId="33CD7C13">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指定联系人：</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zh-TW" w:eastAsia="zh-TW"/>
        </w:rPr>
        <w:t>电话：</w:t>
      </w:r>
    </w:p>
    <w:p w14:paraId="227319DF">
      <w:pPr>
        <w:spacing w:line="360" w:lineRule="auto"/>
        <w:ind w:left="1928" w:hanging="1687" w:hangingChars="80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指定通讯地址：</w:t>
      </w:r>
    </w:p>
    <w:p w14:paraId="25F831AF">
      <w:pPr>
        <w:spacing w:line="360" w:lineRule="auto"/>
        <w:rPr>
          <w:rFonts w:hint="eastAsia" w:ascii="宋体" w:hAnsi="宋体" w:eastAsia="宋体" w:cs="宋体"/>
          <w:b/>
          <w:bCs/>
          <w:color w:val="auto"/>
          <w:sz w:val="21"/>
          <w:szCs w:val="21"/>
          <w:highlight w:val="none"/>
        </w:rPr>
      </w:pPr>
    </w:p>
    <w:p w14:paraId="405331AA">
      <w:pPr>
        <w:spacing w:line="360" w:lineRule="auto"/>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乙方（受托方）名称：</w:t>
      </w:r>
    </w:p>
    <w:p w14:paraId="610BDB04">
      <w:pPr>
        <w:spacing w:line="360" w:lineRule="auto"/>
        <w:ind w:left="1205" w:hanging="1054" w:hanging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注册地址：</w:t>
      </w:r>
    </w:p>
    <w:p w14:paraId="4EE5D2B6">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法定代表人：</w:t>
      </w:r>
      <w:r>
        <w:rPr>
          <w:rFonts w:hint="eastAsia" w:ascii="宋体" w:hAnsi="宋体" w:eastAsia="宋体" w:cs="宋体"/>
          <w:b/>
          <w:bCs/>
          <w:color w:val="auto"/>
          <w:sz w:val="21"/>
          <w:szCs w:val="21"/>
          <w:highlight w:val="none"/>
        </w:rPr>
        <w:t xml:space="preserve"> </w:t>
      </w:r>
    </w:p>
    <w:p w14:paraId="384CB537">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指定联系人：             电话：</w:t>
      </w:r>
    </w:p>
    <w:p w14:paraId="0248C44B">
      <w:pPr>
        <w:spacing w:line="360" w:lineRule="auto"/>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 xml:space="preserve">指定通讯地址： </w:t>
      </w:r>
    </w:p>
    <w:p w14:paraId="01E65180">
      <w:pPr>
        <w:spacing w:line="440" w:lineRule="exact"/>
        <w:rPr>
          <w:rFonts w:hint="eastAsia" w:ascii="宋体" w:hAnsi="宋体" w:eastAsia="宋体" w:cs="宋体"/>
          <w:b/>
          <w:color w:val="auto"/>
          <w:sz w:val="21"/>
          <w:szCs w:val="21"/>
          <w:highlight w:val="none"/>
        </w:rPr>
      </w:pPr>
    </w:p>
    <w:p w14:paraId="5CC9F433">
      <w:pPr>
        <w:spacing w:line="300" w:lineRule="auto"/>
        <w:jc w:val="left"/>
        <w:rPr>
          <w:rFonts w:hint="eastAsia" w:ascii="宋体" w:hAnsi="宋体" w:eastAsia="宋体" w:cs="宋体"/>
          <w:color w:val="auto"/>
          <w:sz w:val="21"/>
          <w:szCs w:val="21"/>
          <w:highlight w:val="none"/>
        </w:rPr>
      </w:pPr>
    </w:p>
    <w:p w14:paraId="4FC4AB40">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依据《中华人民共和国民法典》等相关法律规定，甲乙双方就乙方为甲方提供</w:t>
      </w:r>
      <w:r>
        <w:rPr>
          <w:rFonts w:hint="eastAsia" w:ascii="宋体" w:hAnsi="宋体" w:eastAsia="宋体" w:cs="宋体"/>
          <w:color w:val="auto"/>
          <w:sz w:val="21"/>
          <w:szCs w:val="21"/>
          <w:highlight w:val="none"/>
          <w:u w:val="single"/>
        </w:rPr>
        <w:t>病媒生物监测及防控技术服务</w:t>
      </w:r>
      <w:r>
        <w:rPr>
          <w:rFonts w:hint="eastAsia" w:ascii="宋体" w:hAnsi="宋体" w:eastAsia="宋体" w:cs="宋体"/>
          <w:color w:val="auto"/>
          <w:sz w:val="21"/>
          <w:szCs w:val="21"/>
          <w:highlight w:val="none"/>
        </w:rPr>
        <w:t>事宜，经协商一致，签订本合同。</w:t>
      </w:r>
    </w:p>
    <w:p w14:paraId="5D70D7FC">
      <w:pPr>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服务内容</w:t>
      </w:r>
    </w:p>
    <w:p w14:paraId="35A13AB8">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甲方委托乙方对</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对外开放码头及周边生活工作区域</w:t>
      </w:r>
      <w:r>
        <w:rPr>
          <w:rFonts w:hint="eastAsia" w:ascii="宋体" w:hAnsi="宋体" w:eastAsia="宋体" w:cs="宋体"/>
          <w:color w:val="auto"/>
          <w:sz w:val="21"/>
          <w:szCs w:val="21"/>
          <w:highlight w:val="none"/>
        </w:rPr>
        <w:t>进行病媒生物监测及防控服务，乙方在合同规定的时间内</w:t>
      </w:r>
      <w:r>
        <w:rPr>
          <w:rFonts w:hint="eastAsia" w:ascii="宋体" w:hAnsi="宋体" w:cs="宋体"/>
          <w:color w:val="auto"/>
          <w:sz w:val="21"/>
          <w:szCs w:val="21"/>
          <w:highlight w:val="none"/>
          <w:lang w:val="en-US" w:eastAsia="zh-CN"/>
        </w:rPr>
        <w:t>每年</w:t>
      </w:r>
      <w:r>
        <w:rPr>
          <w:rFonts w:hint="eastAsia" w:ascii="宋体" w:hAnsi="宋体" w:eastAsia="宋体" w:cs="宋体"/>
          <w:color w:val="auto"/>
          <w:sz w:val="21"/>
          <w:szCs w:val="21"/>
          <w:highlight w:val="none"/>
        </w:rPr>
        <w:t>出具</w:t>
      </w:r>
      <w:r>
        <w:rPr>
          <w:rFonts w:hint="eastAsia" w:ascii="宋体" w:hAnsi="宋体" w:cs="宋体"/>
          <w:color w:val="auto"/>
          <w:sz w:val="21"/>
          <w:szCs w:val="21"/>
          <w:highlight w:val="none"/>
          <w:lang w:val="en-US" w:eastAsia="zh-CN"/>
        </w:rPr>
        <w:t>通过</w:t>
      </w:r>
      <w:r>
        <w:rPr>
          <w:rFonts w:hint="eastAsia" w:ascii="宋体" w:hAnsi="宋体" w:eastAsia="宋体" w:cs="宋体"/>
          <w:color w:val="auto"/>
          <w:sz w:val="21"/>
          <w:szCs w:val="21"/>
          <w:highlight w:val="none"/>
        </w:rPr>
        <w:t>海关认可的病媒生物监测报告。</w:t>
      </w:r>
    </w:p>
    <w:p w14:paraId="1C7B7CDA">
      <w:pPr>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工作条件和协作事项</w:t>
      </w:r>
    </w:p>
    <w:p w14:paraId="2198EA32">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（一）甲方在乙方正式工作前及时提供相关的技术资料，同时配合乙方进行调查和监测工作。</w:t>
      </w:r>
    </w:p>
    <w:p w14:paraId="02F8EFE0">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（二）乙方在合同生效后按照海关总署印发的《口岸公共卫生风险监测方案》署卫函〔2022〕102号要求和国家技术规范开展工作、提供报告，为甲方保守有关商业秘密。</w:t>
      </w:r>
    </w:p>
    <w:p w14:paraId="44494209">
      <w:pPr>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履行期限、地点</w:t>
      </w:r>
    </w:p>
    <w:p w14:paraId="41F505EB">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zh-TW" w:eastAsia="zh-TW"/>
        </w:rPr>
        <w:t>本合同服务期限为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val="zh-TW" w:eastAsia="zh-TW"/>
        </w:rPr>
        <w:t>年。自</w:t>
      </w:r>
      <w:r>
        <w:rPr>
          <w:rFonts w:hint="eastAsia" w:ascii="宋体" w:hAnsi="宋体" w:eastAsia="宋体" w:cs="宋体"/>
          <w:color w:val="auto"/>
          <w:sz w:val="21"/>
          <w:szCs w:val="21"/>
          <w:highlight w:val="none"/>
          <w:u w:val="single"/>
          <w:lang w:eastAsia="zh-TW"/>
        </w:rPr>
        <w:t xml:space="preserve">     </w:t>
      </w:r>
      <w:r>
        <w:rPr>
          <w:rFonts w:hint="eastAsia" w:ascii="宋体" w:hAnsi="宋体" w:eastAsia="宋体" w:cs="宋体"/>
          <w:color w:val="auto"/>
          <w:sz w:val="21"/>
          <w:szCs w:val="21"/>
          <w:highlight w:val="none"/>
          <w:lang w:val="zh-TW" w:eastAsia="zh-TW"/>
        </w:rPr>
        <w:t>年</w:t>
      </w:r>
      <w:r>
        <w:rPr>
          <w:rFonts w:hint="eastAsia" w:ascii="宋体" w:hAnsi="宋体" w:eastAsia="宋体" w:cs="宋体"/>
          <w:color w:val="auto"/>
          <w:sz w:val="21"/>
          <w:szCs w:val="21"/>
          <w:highlight w:val="none"/>
          <w:u w:val="single"/>
          <w:lang w:eastAsia="zh-TW"/>
        </w:rPr>
        <w:t xml:space="preserve">    </w:t>
      </w:r>
      <w:r>
        <w:rPr>
          <w:rFonts w:hint="eastAsia" w:ascii="宋体" w:hAnsi="宋体" w:eastAsia="宋体" w:cs="宋体"/>
          <w:color w:val="auto"/>
          <w:sz w:val="21"/>
          <w:szCs w:val="21"/>
          <w:highlight w:val="none"/>
          <w:lang w:val="zh-TW" w:eastAsia="zh-TW"/>
        </w:rPr>
        <w:t>月</w:t>
      </w:r>
      <w:r>
        <w:rPr>
          <w:rFonts w:hint="eastAsia" w:ascii="宋体" w:hAnsi="宋体" w:eastAsia="宋体" w:cs="宋体"/>
          <w:color w:val="auto"/>
          <w:sz w:val="21"/>
          <w:szCs w:val="21"/>
          <w:highlight w:val="none"/>
          <w:u w:val="single"/>
          <w:lang w:eastAsia="zh-TW"/>
        </w:rPr>
        <w:t xml:space="preserve">    </w:t>
      </w:r>
      <w:r>
        <w:rPr>
          <w:rFonts w:hint="eastAsia" w:ascii="宋体" w:hAnsi="宋体" w:eastAsia="宋体" w:cs="宋体"/>
          <w:color w:val="auto"/>
          <w:sz w:val="21"/>
          <w:szCs w:val="21"/>
          <w:highlight w:val="none"/>
          <w:lang w:val="zh-TW" w:eastAsia="zh-TW"/>
        </w:rPr>
        <w:t>日起至</w:t>
      </w:r>
      <w:r>
        <w:rPr>
          <w:rFonts w:hint="eastAsia" w:ascii="宋体" w:hAnsi="宋体" w:eastAsia="宋体" w:cs="宋体"/>
          <w:color w:val="auto"/>
          <w:sz w:val="21"/>
          <w:szCs w:val="21"/>
          <w:highlight w:val="none"/>
          <w:u w:val="single"/>
          <w:lang w:eastAsia="zh-TW"/>
        </w:rPr>
        <w:t xml:space="preserve">     </w:t>
      </w:r>
      <w:r>
        <w:rPr>
          <w:rFonts w:hint="eastAsia" w:ascii="宋体" w:hAnsi="宋体" w:eastAsia="宋体" w:cs="宋体"/>
          <w:color w:val="auto"/>
          <w:sz w:val="21"/>
          <w:szCs w:val="21"/>
          <w:highlight w:val="none"/>
          <w:lang w:val="zh-TW" w:eastAsia="zh-TW"/>
        </w:rPr>
        <w:t>年</w:t>
      </w:r>
      <w:r>
        <w:rPr>
          <w:rFonts w:hint="eastAsia" w:ascii="宋体" w:hAnsi="宋体" w:eastAsia="宋体" w:cs="宋体"/>
          <w:color w:val="auto"/>
          <w:sz w:val="21"/>
          <w:szCs w:val="21"/>
          <w:highlight w:val="none"/>
          <w:u w:val="single"/>
          <w:lang w:eastAsia="zh-TW"/>
        </w:rPr>
        <w:t xml:space="preserve">    </w:t>
      </w:r>
      <w:r>
        <w:rPr>
          <w:rFonts w:hint="eastAsia" w:ascii="宋体" w:hAnsi="宋体" w:eastAsia="宋体" w:cs="宋体"/>
          <w:color w:val="auto"/>
          <w:sz w:val="21"/>
          <w:szCs w:val="21"/>
          <w:highlight w:val="none"/>
          <w:lang w:val="zh-TW" w:eastAsia="zh-TW"/>
        </w:rPr>
        <w:t>月</w:t>
      </w:r>
      <w:r>
        <w:rPr>
          <w:rFonts w:hint="eastAsia" w:ascii="宋体" w:hAnsi="宋体" w:eastAsia="宋体" w:cs="宋体"/>
          <w:color w:val="auto"/>
          <w:sz w:val="21"/>
          <w:szCs w:val="21"/>
          <w:highlight w:val="none"/>
          <w:u w:val="single"/>
          <w:lang w:eastAsia="zh-TW"/>
        </w:rPr>
        <w:t xml:space="preserve">    </w:t>
      </w:r>
      <w:r>
        <w:rPr>
          <w:rFonts w:hint="eastAsia" w:ascii="宋体" w:hAnsi="宋体" w:eastAsia="宋体" w:cs="宋体"/>
          <w:color w:val="auto"/>
          <w:sz w:val="21"/>
          <w:szCs w:val="21"/>
          <w:highlight w:val="none"/>
          <w:lang w:val="zh-TW" w:eastAsia="zh-TW"/>
        </w:rPr>
        <w:t>日止。</w:t>
      </w:r>
    </w:p>
    <w:p w14:paraId="79A3A124">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（二）合同履行地：本合同在</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履行。</w:t>
      </w:r>
    </w:p>
    <w:p w14:paraId="29419294">
      <w:pPr>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技术服务报酬及支付方式</w:t>
      </w:r>
    </w:p>
    <w:p w14:paraId="04997A97">
      <w:pPr>
        <w:tabs>
          <w:tab w:val="left" w:pos="720"/>
        </w:tabs>
        <w:adjustRightInd w:val="0"/>
        <w:snapToGrid w:val="0"/>
        <w:spacing w:line="40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（一）技术服务报酬总额为:      元（年服务费）*   年=     元；大写：人民币        整。技术服务报酬为</w:t>
      </w:r>
      <w:r>
        <w:rPr>
          <w:rFonts w:hint="eastAsia" w:ascii="宋体" w:hAnsi="宋体" w:cs="宋体"/>
          <w:color w:val="auto"/>
          <w:sz w:val="21"/>
          <w:szCs w:val="21"/>
          <w:highlight w:val="none"/>
          <w:u w:val="single"/>
          <w:lang w:val="en-US" w:eastAsia="zh-CN"/>
        </w:rPr>
        <w:t>固定总价</w:t>
      </w:r>
      <w:r>
        <w:rPr>
          <w:rFonts w:hint="eastAsia" w:ascii="宋体" w:hAnsi="宋体" w:eastAsia="宋体" w:cs="宋体"/>
          <w:color w:val="auto"/>
          <w:sz w:val="21"/>
          <w:szCs w:val="21"/>
          <w:highlight w:val="none"/>
          <w:u w:val="single"/>
        </w:rPr>
        <w:t>包干，包含本项目的人力成本、设备成本、管理费、资料费用、调查费用、专家考察、咨询及审查费、正式报告印刷费、交通费、保险费、税费等完成本项目的所有费用。</w:t>
      </w:r>
    </w:p>
    <w:p w14:paraId="598364C9">
      <w:pPr>
        <w:tabs>
          <w:tab w:val="left" w:pos="720"/>
        </w:tabs>
        <w:adjustRightInd w:val="0"/>
        <w:snapToGrid w:val="0"/>
        <w:spacing w:line="400" w:lineRule="exact"/>
        <w:ind w:firstLine="420" w:firstLineChars="200"/>
        <w:jc w:val="lef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（二）支付方式</w:t>
      </w:r>
    </w:p>
    <w:p w14:paraId="6AD0291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1、乙方须在签订协议前向甲方银行账户转入履约保证金（金额为合同总价的5%），协议履行完毕后，甲方将履约保证金无息退还给乙方。</w:t>
      </w:r>
    </w:p>
    <w:p w14:paraId="34F35022">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收到乙方第一年通过海关认可的病媒生物检测报告后</w:t>
      </w:r>
      <w:r>
        <w:rPr>
          <w:rFonts w:hint="eastAsia" w:ascii="宋体" w:hAnsi="宋体" w:eastAsia="宋体" w:cs="宋体"/>
          <w:color w:val="auto"/>
          <w:sz w:val="21"/>
          <w:szCs w:val="21"/>
          <w:highlight w:val="none"/>
        </w:rPr>
        <w:t>的二十个工作日内甲方</w:t>
      </w:r>
      <w:r>
        <w:rPr>
          <w:rFonts w:hint="eastAsia" w:ascii="宋体" w:hAnsi="宋体" w:cs="宋体"/>
          <w:color w:val="auto"/>
          <w:sz w:val="21"/>
          <w:szCs w:val="21"/>
          <w:highlight w:val="none"/>
          <w:lang w:val="en-US" w:eastAsia="zh-CN"/>
        </w:rPr>
        <w:t>支付</w:t>
      </w:r>
      <w:r>
        <w:rPr>
          <w:rFonts w:hint="eastAsia" w:ascii="宋体" w:hAnsi="宋体" w:eastAsia="宋体" w:cs="宋体"/>
          <w:color w:val="auto"/>
          <w:sz w:val="21"/>
          <w:szCs w:val="21"/>
          <w:highlight w:val="none"/>
        </w:rPr>
        <w:t>50%的合同款，即人民币（大写）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收到乙方第二年通过海关认可的病媒生物检测报告后</w:t>
      </w:r>
      <w:r>
        <w:rPr>
          <w:rFonts w:hint="eastAsia" w:ascii="宋体" w:hAnsi="宋体" w:eastAsia="宋体" w:cs="宋体"/>
          <w:color w:val="auto"/>
          <w:sz w:val="21"/>
          <w:szCs w:val="21"/>
          <w:highlight w:val="none"/>
        </w:rPr>
        <w:t>二十个工作日内，支付协议金额50%余款，即人民币（大写）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。乙方必须在甲方支付技术服务费前开具增值税专用发票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税点6%</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p>
    <w:p w14:paraId="17B23C18">
      <w:pPr>
        <w:spacing w:line="400" w:lineRule="exact"/>
        <w:ind w:left="901" w:leftChars="228" w:hanging="422" w:hangingChars="200"/>
        <w:rPr>
          <w:rFonts w:hint="eastAsia" w:ascii="宋体" w:hAnsi="宋体" w:eastAsia="宋体" w:cs="宋体"/>
          <w:b/>
          <w:color w:val="auto"/>
          <w:sz w:val="21"/>
          <w:szCs w:val="21"/>
          <w:highlight w:val="none"/>
          <w:lang w:val="zh-TW" w:eastAsia="zh-TW"/>
        </w:rPr>
      </w:pPr>
      <w:r>
        <w:rPr>
          <w:rFonts w:hint="eastAsia" w:ascii="宋体" w:hAnsi="宋体" w:eastAsia="宋体" w:cs="宋体"/>
          <w:b/>
          <w:color w:val="auto"/>
          <w:sz w:val="21"/>
          <w:szCs w:val="21"/>
          <w:highlight w:val="none"/>
        </w:rPr>
        <w:t xml:space="preserve">第五条 </w:t>
      </w:r>
      <w:r>
        <w:rPr>
          <w:rFonts w:hint="eastAsia" w:ascii="宋体" w:hAnsi="宋体" w:eastAsia="宋体" w:cs="宋体"/>
          <w:b/>
          <w:color w:val="auto"/>
          <w:sz w:val="21"/>
          <w:szCs w:val="21"/>
          <w:highlight w:val="none"/>
          <w:lang w:val="zh-TW" w:eastAsia="zh-TW"/>
        </w:rPr>
        <w:t>双方的权利义务</w:t>
      </w:r>
    </w:p>
    <w:p w14:paraId="4BD3032B">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zh-TW" w:eastAsia="zh-TW"/>
        </w:rPr>
        <w:t>甲方的权利</w:t>
      </w:r>
    </w:p>
    <w:p w14:paraId="1FF4121A">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1.甲方有权监督乙方防制工作，对乙方服务中存在的问题提出整改意见；</w:t>
      </w:r>
    </w:p>
    <w:p w14:paraId="7532803C">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甲方的义务</w:t>
      </w:r>
    </w:p>
    <w:p w14:paraId="7CB1463D">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.为确保服务质量，甲方应当事先提供该项目所在地平面图或地貌图或卫星图，指派专人配合、监督乙方工作，必要时提供协助；</w:t>
      </w:r>
    </w:p>
    <w:p w14:paraId="4F382314">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.甲方需协调作业现场相关部门，以切实保证乙方作业顺利进行。每次作业完毕在乙方服务报告单上签字确认；</w:t>
      </w:r>
    </w:p>
    <w:p w14:paraId="0473519A">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.甲方负责本单位范围内环境卫生的清扫，以及鼠、虫孽生地卫生的整洁，并及时清理鼠迹，采纳并配合乙方提出的防虫害之合理建议，共同将虫害控制在最低范围；</w:t>
      </w:r>
    </w:p>
    <w:p w14:paraId="24080D03">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.甲方应当按照约定按时足额支付服务费用。</w:t>
      </w:r>
    </w:p>
    <w:p w14:paraId="1A57B09A">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rPr>
        <w:t>（</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乙方的权利</w:t>
      </w:r>
    </w:p>
    <w:p w14:paraId="3D82D118">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TW" w:eastAsia="zh-TW"/>
        </w:rPr>
        <w:t>.乙方在进行防制服务时，可以对服务过程进行拍照、录像；</w:t>
      </w:r>
    </w:p>
    <w:p w14:paraId="18021924">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rPr>
        <w:t>（</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乙方的义务</w:t>
      </w:r>
    </w:p>
    <w:p w14:paraId="4E97A27D">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eastAsia="zh-TW"/>
        </w:rPr>
        <w:t>乙方应结合</w:t>
      </w:r>
      <w:r>
        <w:rPr>
          <w:rFonts w:hint="eastAsia" w:ascii="宋体" w:hAnsi="宋体" w:eastAsia="宋体" w:cs="宋体"/>
          <w:color w:val="auto"/>
          <w:sz w:val="21"/>
          <w:szCs w:val="21"/>
          <w:highlight w:val="none"/>
        </w:rPr>
        <w:t>防制对象的生物学特性、客户环境的实际情况，采用适宜的药品、恰当的剂型，</w:t>
      </w:r>
      <w:r>
        <w:rPr>
          <w:rFonts w:hint="eastAsia" w:ascii="宋体" w:hAnsi="宋体" w:eastAsia="宋体" w:cs="宋体"/>
          <w:color w:val="auto"/>
          <w:sz w:val="21"/>
          <w:szCs w:val="21"/>
          <w:highlight w:val="none"/>
          <w:lang w:val="zh-TW" w:eastAsia="zh-TW"/>
        </w:rPr>
        <w:t>制定</w:t>
      </w:r>
      <w:r>
        <w:rPr>
          <w:rFonts w:hint="eastAsia" w:ascii="宋体" w:hAnsi="宋体" w:eastAsia="宋体" w:cs="宋体"/>
          <w:color w:val="auto"/>
          <w:sz w:val="21"/>
          <w:szCs w:val="21"/>
          <w:highlight w:val="none"/>
        </w:rPr>
        <w:t>虫害控制方案</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Hans"/>
        </w:rPr>
        <w:t>甲方确认无误后方可实施</w:t>
      </w:r>
      <w:r>
        <w:rPr>
          <w:rFonts w:hint="eastAsia" w:ascii="宋体" w:hAnsi="宋体" w:eastAsia="宋体" w:cs="宋体"/>
          <w:color w:val="auto"/>
          <w:sz w:val="21"/>
          <w:szCs w:val="21"/>
          <w:highlight w:val="none"/>
        </w:rPr>
        <w:t>防制</w:t>
      </w:r>
      <w:r>
        <w:rPr>
          <w:rFonts w:hint="eastAsia" w:ascii="宋体" w:hAnsi="宋体" w:eastAsia="宋体" w:cs="宋体"/>
          <w:color w:val="auto"/>
          <w:sz w:val="21"/>
          <w:szCs w:val="21"/>
          <w:highlight w:val="none"/>
          <w:lang w:eastAsia="zh-Hans"/>
        </w:rPr>
        <w:t>服务</w:t>
      </w:r>
      <w:r>
        <w:rPr>
          <w:rFonts w:hint="eastAsia" w:ascii="宋体" w:hAnsi="宋体" w:eastAsia="宋体" w:cs="宋体"/>
          <w:color w:val="auto"/>
          <w:sz w:val="21"/>
          <w:szCs w:val="21"/>
          <w:highlight w:val="none"/>
          <w:lang w:val="zh-TW" w:eastAsia="zh-TW"/>
        </w:rPr>
        <w:t>；</w:t>
      </w:r>
    </w:p>
    <w:p w14:paraId="6EF64E76">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乙方防</w:t>
      </w:r>
      <w:r>
        <w:rPr>
          <w:rFonts w:hint="eastAsia" w:ascii="宋体" w:hAnsi="宋体" w:eastAsia="宋体" w:cs="宋体"/>
          <w:color w:val="auto"/>
          <w:sz w:val="21"/>
          <w:szCs w:val="21"/>
          <w:highlight w:val="none"/>
        </w:rPr>
        <w:t>制</w:t>
      </w:r>
      <w:r>
        <w:rPr>
          <w:rFonts w:hint="eastAsia" w:ascii="宋体" w:hAnsi="宋体" w:eastAsia="宋体" w:cs="宋体"/>
          <w:color w:val="auto"/>
          <w:sz w:val="21"/>
          <w:szCs w:val="21"/>
          <w:highlight w:val="none"/>
          <w:lang w:val="zh-TW" w:eastAsia="zh-TW"/>
        </w:rPr>
        <w:t>作业服务人员要遵守甲方相关的管理规定，接受甲方管理人员的监督检查，作业需穿工作服和佩戴上岗证，作业完毕后需填写</w:t>
      </w:r>
      <w:r>
        <w:rPr>
          <w:rFonts w:hint="eastAsia" w:ascii="宋体" w:hAnsi="宋体" w:eastAsia="宋体" w:cs="宋体"/>
          <w:color w:val="auto"/>
          <w:sz w:val="21"/>
          <w:szCs w:val="21"/>
          <w:highlight w:val="none"/>
          <w:lang w:eastAsia="zh-Hans"/>
        </w:rPr>
        <w:t>《</w:t>
      </w:r>
      <w:r>
        <w:rPr>
          <w:rFonts w:hint="eastAsia" w:ascii="宋体" w:hAnsi="宋体" w:eastAsia="宋体" w:cs="宋体"/>
          <w:color w:val="auto"/>
          <w:sz w:val="21"/>
          <w:szCs w:val="21"/>
          <w:highlight w:val="none"/>
        </w:rPr>
        <w:t>作业</w:t>
      </w:r>
      <w:r>
        <w:rPr>
          <w:rFonts w:hint="eastAsia" w:ascii="宋体" w:hAnsi="宋体" w:eastAsia="宋体" w:cs="宋体"/>
          <w:color w:val="auto"/>
          <w:sz w:val="21"/>
          <w:szCs w:val="21"/>
          <w:highlight w:val="none"/>
          <w:lang w:eastAsia="zh-Hans"/>
        </w:rPr>
        <w:t>记录表》</w:t>
      </w:r>
      <w:r>
        <w:rPr>
          <w:rFonts w:hint="eastAsia" w:ascii="宋体" w:hAnsi="宋体" w:eastAsia="宋体" w:cs="宋体"/>
          <w:color w:val="auto"/>
          <w:sz w:val="21"/>
          <w:szCs w:val="21"/>
          <w:highlight w:val="none"/>
          <w:lang w:val="zh-TW" w:eastAsia="zh-TW"/>
        </w:rPr>
        <w:t>，作为每次服务的依据</w:t>
      </w:r>
      <w:r>
        <w:rPr>
          <w:rFonts w:hint="eastAsia" w:ascii="宋体" w:hAnsi="宋体" w:eastAsia="宋体" w:cs="宋体"/>
          <w:color w:val="auto"/>
          <w:sz w:val="21"/>
          <w:szCs w:val="21"/>
          <w:highlight w:val="none"/>
          <w:lang w:val="zh-TW"/>
        </w:rPr>
        <w:t>；</w:t>
      </w:r>
    </w:p>
    <w:p w14:paraId="043F1A17">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TW" w:eastAsia="zh-TW"/>
        </w:rPr>
        <w:t>乙方应严格按照约定的作业标准开展</w:t>
      </w:r>
      <w:r>
        <w:rPr>
          <w:rFonts w:hint="eastAsia" w:ascii="宋体" w:hAnsi="宋体" w:eastAsia="宋体" w:cs="宋体"/>
          <w:color w:val="auto"/>
          <w:sz w:val="21"/>
          <w:szCs w:val="21"/>
          <w:highlight w:val="none"/>
        </w:rPr>
        <w:t>防制</w:t>
      </w:r>
      <w:r>
        <w:rPr>
          <w:rFonts w:hint="eastAsia" w:ascii="宋体" w:hAnsi="宋体" w:eastAsia="宋体" w:cs="宋体"/>
          <w:color w:val="auto"/>
          <w:sz w:val="21"/>
          <w:szCs w:val="21"/>
          <w:highlight w:val="none"/>
          <w:lang w:val="zh-TW" w:eastAsia="zh-TW"/>
        </w:rPr>
        <w:t>工作，确保达到约定的服务标准</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zh-TW" w:eastAsia="zh-TW"/>
        </w:rPr>
        <w:t>对环境产生污染，不对甲方产品质量和安全构成威胁</w:t>
      </w:r>
      <w:r>
        <w:rPr>
          <w:rFonts w:hint="eastAsia" w:ascii="宋体" w:hAnsi="宋体" w:eastAsia="宋体" w:cs="宋体"/>
          <w:color w:val="auto"/>
          <w:sz w:val="21"/>
          <w:szCs w:val="21"/>
          <w:highlight w:val="none"/>
          <w:lang w:val="zh-TW"/>
        </w:rPr>
        <w:t>；</w:t>
      </w:r>
    </w:p>
    <w:p w14:paraId="4EBA49F2">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TW" w:eastAsia="zh-TW"/>
        </w:rPr>
        <w:t>如遇甲方受相关方检查时，乙方需加强虫控；如甲方遇到虫害失控时，乙方需及时采取有效措施</w:t>
      </w:r>
      <w:r>
        <w:rPr>
          <w:rFonts w:hint="eastAsia" w:ascii="宋体" w:hAnsi="宋体" w:eastAsia="宋体" w:cs="宋体"/>
          <w:color w:val="auto"/>
          <w:sz w:val="21"/>
          <w:szCs w:val="21"/>
          <w:highlight w:val="none"/>
          <w:lang w:val="zh-TW"/>
        </w:rPr>
        <w:t>；</w:t>
      </w:r>
    </w:p>
    <w:p w14:paraId="00403C9F">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TW" w:eastAsia="zh-TW"/>
        </w:rPr>
        <w:t>.乙方应当及时提供正规增值税专用发票。</w:t>
      </w:r>
    </w:p>
    <w:p w14:paraId="08D5C8E4">
      <w:pPr>
        <w:tabs>
          <w:tab w:val="left" w:pos="720"/>
        </w:tabs>
        <w:adjustRightInd w:val="0"/>
        <w:snapToGrid w:val="0"/>
        <w:spacing w:line="400" w:lineRule="exact"/>
        <w:ind w:firstLine="422" w:firstLineChars="20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zh-TW" w:eastAsia="zh-TW"/>
        </w:rPr>
        <w:t>保密约定</w:t>
      </w:r>
    </w:p>
    <w:p w14:paraId="288EFBD8">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双方当事人均承认本合同的订立与执行可能涉及某些保密信息，任何一方如向第三方披露则会损害另一方的利益。这些保密信息包括但不限于货物信息、报价、费用、商业计划和进展、财务信息和数据、销售数据、技术数据和其他标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保密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私有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的其他文件。</w:t>
      </w:r>
    </w:p>
    <w:p w14:paraId="48386CE3">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双方当事人均同意：</w:t>
      </w:r>
    </w:p>
    <w:p w14:paraId="4E0A7504">
      <w:pPr>
        <w:tabs>
          <w:tab w:val="left" w:pos="720"/>
        </w:tabs>
        <w:adjustRightInd w:val="0"/>
        <w:snapToGrid w:val="0"/>
        <w:spacing w:line="400" w:lineRule="exac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eastAsia="zh-TW"/>
        </w:rPr>
        <w:t>除履行本合同外，不使用保密信息；</w:t>
      </w:r>
    </w:p>
    <w:p w14:paraId="246BD879">
      <w:pPr>
        <w:tabs>
          <w:tab w:val="left" w:pos="720"/>
        </w:tabs>
        <w:adjustRightInd w:val="0"/>
        <w:snapToGrid w:val="0"/>
        <w:spacing w:line="400" w:lineRule="exact"/>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不将保密信息透露给第三方</w:t>
      </w:r>
      <w:r>
        <w:rPr>
          <w:rFonts w:hint="eastAsia" w:ascii="宋体" w:hAnsi="宋体" w:eastAsia="宋体" w:cs="宋体"/>
          <w:color w:val="auto"/>
          <w:sz w:val="21"/>
          <w:szCs w:val="21"/>
          <w:highlight w:val="none"/>
          <w:lang w:val="zh-TW"/>
        </w:rPr>
        <w:t>。</w:t>
      </w:r>
    </w:p>
    <w:p w14:paraId="2DBA13B5">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上述禁止保密信息公开和使用的规定不适用：</w:t>
      </w:r>
    </w:p>
    <w:p w14:paraId="1789E339">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eastAsia="zh-TW"/>
        </w:rPr>
        <w:t>该信息从不负有保密义务的第三方合法获取；</w:t>
      </w:r>
    </w:p>
    <w:p w14:paraId="5A19FAA1">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该信息已经公开；</w:t>
      </w:r>
    </w:p>
    <w:p w14:paraId="2ED364AA">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TW" w:eastAsia="zh-TW"/>
        </w:rPr>
        <w:t>另一方当事人收到法律或法院、司法机关或政府部门的书面通知，要求公开此信息。</w:t>
      </w:r>
    </w:p>
    <w:p w14:paraId="44C0B087">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TW" w:eastAsia="zh-TW"/>
        </w:rPr>
        <w:t>甲方同意，乙方的雇员、代理方、合作方有权在项目需求范围内合理使用上述保密信息。</w:t>
      </w:r>
    </w:p>
    <w:p w14:paraId="68853F44">
      <w:pPr>
        <w:tabs>
          <w:tab w:val="left" w:pos="720"/>
        </w:tabs>
        <w:adjustRightInd w:val="0"/>
        <w:snapToGrid w:val="0"/>
        <w:spacing w:line="400" w:lineRule="exact"/>
        <w:ind w:firstLine="422" w:firstLineChars="20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rPr>
        <w:t xml:space="preserve"> 第七条 </w:t>
      </w:r>
      <w:r>
        <w:rPr>
          <w:rFonts w:hint="eastAsia" w:ascii="宋体" w:hAnsi="宋体" w:eastAsia="宋体" w:cs="宋体"/>
          <w:b/>
          <w:bCs/>
          <w:color w:val="auto"/>
          <w:sz w:val="21"/>
          <w:szCs w:val="21"/>
          <w:highlight w:val="none"/>
          <w:lang w:val="zh-TW" w:eastAsia="zh-TW"/>
        </w:rPr>
        <w:t>违约责任</w:t>
      </w:r>
    </w:p>
    <w:p w14:paraId="0D3BAAE7">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eastAsia="zh-TW"/>
        </w:rPr>
        <w:t>如果因甲方没有及时向乙方付清相关费用，而导致乙方无法提供服务或服务延期提供，乙方概不负责；</w:t>
      </w:r>
    </w:p>
    <w:p w14:paraId="2D18BFE7">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在提供服务过程中，乙方有下列情形之一的，甲方有权要求乙方退还已收取的报酬，并有权提前单方解除本合同，要求乙方向甲方支付本合同总额30%的违约金。另若因此造成甲方损失的，甲方保留向乙方追究赔偿责任的权利：</w:t>
      </w:r>
    </w:p>
    <w:p w14:paraId="46FB3F34">
      <w:pPr>
        <w:pStyle w:val="24"/>
        <w:snapToGrid w:val="0"/>
        <w:spacing w:line="400" w:lineRule="exact"/>
        <w:ind w:firstLine="48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（1）服务工作不符合本项目规定致使服务质量严重偏离甲方下达的任务要求的。</w:t>
      </w:r>
    </w:p>
    <w:p w14:paraId="528F3CAD">
      <w:pPr>
        <w:pStyle w:val="24"/>
        <w:snapToGrid w:val="0"/>
        <w:spacing w:line="400" w:lineRule="exact"/>
        <w:ind w:firstLine="48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（2）乙方未能履行合同义务，或未能统筹协调整体服务工作且经甲方通知拒绝不整改。</w:t>
      </w:r>
    </w:p>
    <w:p w14:paraId="3771BA94">
      <w:pPr>
        <w:pStyle w:val="24"/>
        <w:snapToGrid w:val="0"/>
        <w:spacing w:line="400" w:lineRule="exact"/>
        <w:ind w:firstLine="48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（3）乙方未经甲方书面同意，擅自修改工作成果。</w:t>
      </w:r>
    </w:p>
    <w:p w14:paraId="04C20E3D">
      <w:pPr>
        <w:pStyle w:val="24"/>
        <w:snapToGrid w:val="0"/>
        <w:spacing w:line="400" w:lineRule="exact"/>
        <w:ind w:firstLine="48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（4）乙方未经甲方书面同意，擅自将项目分包或转包的。</w:t>
      </w:r>
    </w:p>
    <w:p w14:paraId="5094160F">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TW" w:eastAsia="zh-TW"/>
        </w:rPr>
        <w:t>因甲方配合不到位而产生的作业质量问题，乙方应当场提出意见，甲方应立即整改，否则产生的后果由甲方承担；</w:t>
      </w:r>
    </w:p>
    <w:p w14:paraId="1636C07B">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TW" w:eastAsia="zh-TW"/>
        </w:rPr>
        <w:t>凡因任何一方违约而引起的所有损失、损害、成本开支等各种形式的合理费用、诉讼或索赔，违约方应承担违约责任和赔偿责任。但非因乙方原因造成乙方逾期完成相关工作的，乙方不承担法律责任。</w:t>
      </w:r>
    </w:p>
    <w:p w14:paraId="060ACF18">
      <w:pPr>
        <w:tabs>
          <w:tab w:val="left" w:pos="720"/>
        </w:tabs>
        <w:adjustRightInd w:val="0"/>
        <w:snapToGrid w:val="0"/>
        <w:spacing w:line="400" w:lineRule="exact"/>
        <w:ind w:firstLine="48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rPr>
        <w:t xml:space="preserve">第八条 </w:t>
      </w:r>
      <w:r>
        <w:rPr>
          <w:rFonts w:hint="eastAsia" w:ascii="宋体" w:hAnsi="宋体" w:eastAsia="宋体" w:cs="宋体"/>
          <w:b/>
          <w:bCs/>
          <w:color w:val="auto"/>
          <w:sz w:val="21"/>
          <w:szCs w:val="21"/>
          <w:highlight w:val="none"/>
          <w:lang w:val="zh-TW" w:eastAsia="zh-TW"/>
        </w:rPr>
        <w:t>不可抗力</w:t>
      </w:r>
    </w:p>
    <w:p w14:paraId="52211117">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eastAsia="zh-TW"/>
        </w:rPr>
        <w:t>双方因不可抗力造成的合同延迟或失败，免除赔偿责任。本条所称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不可抗力</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TW" w:eastAsia="zh-TW"/>
        </w:rPr>
        <w:t>指在本合同签署后发生的、本合同签署时不能预见的、其发生与后果是无法避免或克服的、妨碍任何一方全部或部分履约的所有事件。上述事件包括地震、台风、水灾、火灾、战争、流行病、大规模罢工、暴乱和其它突发事件，以及根据中国法律或一般国际商业惯例认作不可抗力的其他事件；</w:t>
      </w:r>
    </w:p>
    <w:p w14:paraId="78F148E9">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受不可抗力影响的一方应在</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TW" w:eastAsia="zh-TW"/>
        </w:rPr>
        <w:t>个工作日之内书面通知另一方；在</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TW" w:eastAsia="zh-TW"/>
        </w:rPr>
        <w:t>天内向另一方提供该等事件发生的详细信息以及证明本合同不能履行或延迟履行的有效证明；</w:t>
      </w:r>
    </w:p>
    <w:p w14:paraId="3419092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3.</w:t>
      </w:r>
      <w:r>
        <w:rPr>
          <w:rFonts w:hint="eastAsia" w:ascii="宋体" w:hAnsi="宋体" w:eastAsia="宋体" w:cs="宋体"/>
          <w:color w:val="auto"/>
          <w:sz w:val="21"/>
          <w:szCs w:val="21"/>
          <w:highlight w:val="none"/>
        </w:rPr>
        <w:t>基于不可抗力对本合同履行的影响程度，双方应尽一切合理努力将不可抗力的影响减少到最低限度，双方协商决定是否要终止本合同，或解除相关方的部分责任，或延迟履行本合同。</w:t>
      </w:r>
    </w:p>
    <w:p w14:paraId="083706F4">
      <w:pPr>
        <w:tabs>
          <w:tab w:val="left" w:pos="720"/>
        </w:tabs>
        <w:adjustRightInd w:val="0"/>
        <w:snapToGrid w:val="0"/>
        <w:spacing w:line="400" w:lineRule="exact"/>
        <w:ind w:firstLine="422" w:firstLineChars="20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rPr>
        <w:t xml:space="preserve">第九条 </w:t>
      </w:r>
      <w:r>
        <w:rPr>
          <w:rFonts w:hint="eastAsia" w:ascii="宋体" w:hAnsi="宋体" w:eastAsia="宋体" w:cs="宋体"/>
          <w:b/>
          <w:bCs/>
          <w:color w:val="auto"/>
          <w:sz w:val="21"/>
          <w:szCs w:val="21"/>
          <w:highlight w:val="none"/>
          <w:lang w:val="zh-TW" w:eastAsia="zh-TW"/>
        </w:rPr>
        <w:t>解决争议</w:t>
      </w:r>
    </w:p>
    <w:p w14:paraId="289F3094">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甲</w:t>
      </w:r>
      <w:r>
        <w:rPr>
          <w:rFonts w:hint="eastAsia" w:ascii="宋体" w:hAnsi="宋体" w:eastAsia="宋体" w:cs="宋体"/>
          <w:color w:val="auto"/>
          <w:sz w:val="21"/>
          <w:szCs w:val="21"/>
          <w:highlight w:val="none"/>
          <w:lang w:val="zh-TW" w:eastAsia="zh-TW"/>
        </w:rPr>
        <w:t>乙双方应本着互谅互解的原则，协商解决因本协议发生的或与本协议有关的一切争议。协商不成，可向</w:t>
      </w:r>
      <w:r>
        <w:rPr>
          <w:rFonts w:hint="eastAsia" w:ascii="宋体" w:hAnsi="宋体" w:eastAsia="宋体" w:cs="宋体"/>
          <w:color w:val="auto"/>
          <w:sz w:val="21"/>
          <w:szCs w:val="21"/>
          <w:highlight w:val="none"/>
          <w:lang w:val="zh-TW"/>
        </w:rPr>
        <w:t>甲方</w:t>
      </w:r>
      <w:r>
        <w:rPr>
          <w:rFonts w:hint="eastAsia" w:ascii="宋体" w:hAnsi="宋体" w:eastAsia="宋体" w:cs="宋体"/>
          <w:color w:val="auto"/>
          <w:sz w:val="21"/>
          <w:szCs w:val="21"/>
          <w:highlight w:val="none"/>
          <w:lang w:val="zh-TW" w:eastAsia="zh-TW"/>
        </w:rPr>
        <w:t>所在地人民法院提起诉讼。</w:t>
      </w:r>
    </w:p>
    <w:p w14:paraId="72473AD0">
      <w:pPr>
        <w:tabs>
          <w:tab w:val="left" w:pos="720"/>
        </w:tabs>
        <w:adjustRightInd w:val="0"/>
        <w:snapToGrid w:val="0"/>
        <w:spacing w:line="400" w:lineRule="exact"/>
        <w:ind w:firstLine="422" w:firstLineChars="20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rPr>
        <w:t xml:space="preserve">第十条  </w:t>
      </w:r>
      <w:r>
        <w:rPr>
          <w:rFonts w:hint="eastAsia" w:ascii="宋体" w:hAnsi="宋体" w:eastAsia="宋体" w:cs="宋体"/>
          <w:b/>
          <w:bCs/>
          <w:color w:val="auto"/>
          <w:sz w:val="21"/>
          <w:szCs w:val="21"/>
          <w:highlight w:val="none"/>
          <w:lang w:val="zh-TW" w:eastAsia="zh-TW"/>
        </w:rPr>
        <w:t>其他约定</w:t>
      </w:r>
    </w:p>
    <w:p w14:paraId="6602389A">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除上述条款外，甲乙双方就如下内容达成一致的约定：</w:t>
      </w:r>
    </w:p>
    <w:p w14:paraId="04FED2DA">
      <w:pPr>
        <w:tabs>
          <w:tab w:val="left" w:pos="720"/>
        </w:tabs>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在本合同有效期内，甲方指定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为甲方项目联系人，联系方式：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；乙方指定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为乙方项目联系人，联系方式：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。项目联系人承担以下责任：</w:t>
      </w:r>
    </w:p>
    <w:p w14:paraId="3735C23A">
      <w:pPr>
        <w:tabs>
          <w:tab w:val="left" w:pos="720"/>
        </w:tabs>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1.负责双方的沟通联系事宜；</w:t>
      </w:r>
    </w:p>
    <w:p w14:paraId="67685092">
      <w:pPr>
        <w:tabs>
          <w:tab w:val="left" w:pos="720"/>
        </w:tabs>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2.及时准确地传达代表方的意愿和要求。</w:t>
      </w:r>
    </w:p>
    <w:p w14:paraId="46005424">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当一方指定联系人、通讯地址、联系方式等终于信息发生变化时，应在</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TW" w:eastAsia="zh-TW"/>
        </w:rPr>
        <w:t>个工作日之内书面通知另一方</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zh-TW" w:eastAsia="zh-TW"/>
        </w:rPr>
        <w:t>若一方未通知的，由此产生的损失及法律后果由未履行通知义务的一方承担。</w:t>
      </w:r>
    </w:p>
    <w:p w14:paraId="11EF360F">
      <w:pPr>
        <w:tabs>
          <w:tab w:val="left" w:pos="720"/>
        </w:tabs>
        <w:adjustRightInd w:val="0"/>
        <w:snapToGrid w:val="0"/>
        <w:spacing w:line="400" w:lineRule="exact"/>
        <w:ind w:firstLine="422" w:firstLineChars="20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rPr>
        <w:t xml:space="preserve">第十一条 </w:t>
      </w:r>
      <w:r>
        <w:rPr>
          <w:rFonts w:hint="eastAsia" w:ascii="宋体" w:hAnsi="宋体" w:eastAsia="宋体" w:cs="宋体"/>
          <w:b/>
          <w:bCs/>
          <w:color w:val="auto"/>
          <w:sz w:val="21"/>
          <w:szCs w:val="21"/>
          <w:highlight w:val="none"/>
          <w:lang w:val="zh-TW" w:eastAsia="zh-TW"/>
        </w:rPr>
        <w:t>附则</w:t>
      </w:r>
    </w:p>
    <w:p w14:paraId="64E8A6D9">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zh-TW" w:eastAsia="zh-TW"/>
        </w:rPr>
        <w:t>本协议一式</w:t>
      </w:r>
      <w:r>
        <w:rPr>
          <w:rFonts w:hint="eastAsia" w:ascii="宋体" w:hAnsi="宋体" w:eastAsia="宋体" w:cs="宋体"/>
          <w:color w:val="auto"/>
          <w:sz w:val="21"/>
          <w:szCs w:val="21"/>
          <w:highlight w:val="none"/>
          <w:u w:val="single"/>
        </w:rPr>
        <w:t>肆</w:t>
      </w:r>
      <w:r>
        <w:rPr>
          <w:rFonts w:hint="eastAsia" w:ascii="宋体" w:hAnsi="宋体" w:eastAsia="宋体" w:cs="宋体"/>
          <w:color w:val="auto"/>
          <w:sz w:val="21"/>
          <w:szCs w:val="21"/>
          <w:highlight w:val="none"/>
          <w:lang w:val="zh-TW" w:eastAsia="zh-TW"/>
        </w:rPr>
        <w:t>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TW" w:eastAsia="zh-TW"/>
        </w:rPr>
        <w:t>甲、乙方各持</w:t>
      </w:r>
      <w:r>
        <w:rPr>
          <w:rFonts w:hint="eastAsia" w:ascii="宋体" w:hAnsi="宋体" w:cs="宋体"/>
          <w:color w:val="auto"/>
          <w:sz w:val="21"/>
          <w:szCs w:val="21"/>
          <w:highlight w:val="none"/>
          <w:u w:val="single"/>
          <w:lang w:val="en-US" w:eastAsia="zh-CN"/>
        </w:rPr>
        <w:t>贰</w:t>
      </w:r>
      <w:r>
        <w:rPr>
          <w:rFonts w:hint="eastAsia" w:ascii="宋体" w:hAnsi="宋体" w:eastAsia="宋体" w:cs="宋体"/>
          <w:color w:val="auto"/>
          <w:sz w:val="21"/>
          <w:szCs w:val="21"/>
          <w:highlight w:val="none"/>
          <w:lang w:val="zh-TW" w:eastAsia="zh-TW"/>
        </w:rPr>
        <w:t>份，自双方签字盖章之日生效，均具有同等法律效力。</w:t>
      </w:r>
    </w:p>
    <w:p w14:paraId="7D3A0D8C">
      <w:pPr>
        <w:tabs>
          <w:tab w:val="left" w:pos="720"/>
        </w:tabs>
        <w:adjustRightInd w:val="0"/>
        <w:snapToGrid w:val="0"/>
        <w:spacing w:line="400" w:lineRule="exact"/>
        <w:ind w:firstLine="420" w:firstLineChars="200"/>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rPr>
        <w:t>.</w:t>
      </w:r>
      <w:r>
        <w:rPr>
          <w:rFonts w:hint="eastAsia" w:ascii="宋体" w:hAnsi="宋体" w:eastAsia="宋体" w:cs="宋体"/>
          <w:color w:val="auto"/>
          <w:sz w:val="21"/>
          <w:szCs w:val="21"/>
          <w:highlight w:val="none"/>
          <w:lang w:val="zh-TW" w:eastAsia="zh-TW"/>
        </w:rPr>
        <w:t>本协议未尽事宜，甲、乙方同意通过补充协议予以规定，补充协议与本协议具有同等效力。如补充协议条款与本协议条款发生冲突，以补充协议条款为准。</w:t>
      </w:r>
    </w:p>
    <w:p w14:paraId="10979B45">
      <w:pPr>
        <w:tabs>
          <w:tab w:val="left" w:pos="6015"/>
        </w:tabs>
        <w:spacing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TW" w:eastAsia="zh-TW"/>
        </w:rPr>
        <w:t>（以下无正文，为《医学病媒生物监测及防控技术服务合同》签署页）</w:t>
      </w:r>
    </w:p>
    <w:p w14:paraId="43CA388B">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附件1：廉洁协议书</w:t>
      </w:r>
    </w:p>
    <w:p w14:paraId="5AC134D8">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附件2：安全生产管理协议</w:t>
      </w:r>
    </w:p>
    <w:p w14:paraId="35C1F966">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附件3：环境保护管理协议</w:t>
      </w:r>
    </w:p>
    <w:p w14:paraId="07649B8C">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附件4：消防安全管理协议</w:t>
      </w:r>
    </w:p>
    <w:p w14:paraId="6140D245">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附件5：相关方入港安全告知书</w:t>
      </w:r>
    </w:p>
    <w:p w14:paraId="218CCEDA">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：合作伙伴合规承诺书</w:t>
      </w:r>
    </w:p>
    <w:p w14:paraId="5305D751">
      <w:pPr>
        <w:pStyle w:val="24"/>
        <w:rPr>
          <w:rFonts w:hint="eastAsia" w:ascii="宋体" w:hAnsi="宋体" w:eastAsia="宋体" w:cs="宋体"/>
          <w:color w:val="auto"/>
          <w:sz w:val="21"/>
          <w:szCs w:val="21"/>
          <w:highlight w:val="none"/>
        </w:rPr>
      </w:pPr>
    </w:p>
    <w:tbl>
      <w:tblPr>
        <w:tblStyle w:val="25"/>
        <w:tblpPr w:leftFromText="180" w:rightFromText="180" w:vertAnchor="text" w:horzAnchor="page" w:tblpX="815" w:tblpY="400"/>
        <w:tblOverlap w:val="never"/>
        <w:tblW w:w="9399" w:type="dxa"/>
        <w:tblInd w:w="0" w:type="dxa"/>
        <w:tblLayout w:type="autofit"/>
        <w:tblCellMar>
          <w:top w:w="0" w:type="dxa"/>
          <w:left w:w="108" w:type="dxa"/>
          <w:bottom w:w="0" w:type="dxa"/>
          <w:right w:w="108" w:type="dxa"/>
        </w:tblCellMar>
      </w:tblPr>
      <w:tblGrid>
        <w:gridCol w:w="4389"/>
        <w:gridCol w:w="5010"/>
      </w:tblGrid>
      <w:tr w14:paraId="6BD83BEE">
        <w:tblPrEx>
          <w:tblCellMar>
            <w:top w:w="0" w:type="dxa"/>
            <w:left w:w="108" w:type="dxa"/>
            <w:bottom w:w="0" w:type="dxa"/>
            <w:right w:w="108" w:type="dxa"/>
          </w:tblCellMar>
        </w:tblPrEx>
        <w:trPr>
          <w:trHeight w:val="396" w:hRule="atLeast"/>
        </w:trPr>
        <w:tc>
          <w:tcPr>
            <w:tcW w:w="4389" w:type="dxa"/>
          </w:tcPr>
          <w:p w14:paraId="2E1FD457">
            <w:pPr>
              <w:tabs>
                <w:tab w:val="left" w:pos="6015"/>
              </w:tabs>
              <w:spacing w:line="360" w:lineRule="auto"/>
              <w:ind w:firstLine="1687" w:firstLineChars="8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w:t>
            </w:r>
          </w:p>
        </w:tc>
        <w:tc>
          <w:tcPr>
            <w:tcW w:w="5010" w:type="dxa"/>
          </w:tcPr>
          <w:p w14:paraId="313DA9A7">
            <w:pPr>
              <w:tabs>
                <w:tab w:val="left" w:pos="6015"/>
              </w:tabs>
              <w:spacing w:line="360" w:lineRule="auto"/>
              <w:ind w:firstLine="2108" w:firstLineChars="10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w:t>
            </w:r>
          </w:p>
        </w:tc>
      </w:tr>
      <w:tr w14:paraId="45A486EC">
        <w:tblPrEx>
          <w:tblCellMar>
            <w:top w:w="0" w:type="dxa"/>
            <w:left w:w="108" w:type="dxa"/>
            <w:bottom w:w="0" w:type="dxa"/>
            <w:right w:w="108" w:type="dxa"/>
          </w:tblCellMar>
        </w:tblPrEx>
        <w:trPr>
          <w:trHeight w:val="2345" w:hRule="atLeast"/>
        </w:trPr>
        <w:tc>
          <w:tcPr>
            <w:tcW w:w="4389" w:type="dxa"/>
          </w:tcPr>
          <w:p w14:paraId="12CBF0A6">
            <w:pPr>
              <w:tabs>
                <w:tab w:val="left" w:pos="6015"/>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单位名称（章）</w:t>
            </w:r>
            <w:r>
              <w:rPr>
                <w:rFonts w:hint="eastAsia" w:ascii="宋体" w:hAnsi="宋体" w:eastAsia="宋体" w:cs="宋体"/>
                <w:b/>
                <w:bCs/>
                <w:color w:val="auto"/>
                <w:sz w:val="21"/>
                <w:szCs w:val="21"/>
                <w:highlight w:val="none"/>
                <w:lang w:val="zh-TW" w:eastAsia="zh-TW"/>
              </w:rPr>
              <w:t>：</w:t>
            </w:r>
          </w:p>
          <w:p w14:paraId="1A03D527">
            <w:pPr>
              <w:tabs>
                <w:tab w:val="left" w:pos="6015"/>
              </w:tabs>
              <w:spacing w:line="360" w:lineRule="auto"/>
              <w:jc w:val="lef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法定代表人（或授权签字人）：</w:t>
            </w:r>
          </w:p>
          <w:p w14:paraId="7CF8D8AD">
            <w:pPr>
              <w:tabs>
                <w:tab w:val="left" w:pos="6015"/>
              </w:tabs>
              <w:spacing w:line="360" w:lineRule="auto"/>
              <w:jc w:val="lef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 xml:space="preserve">开户银行： </w:t>
            </w:r>
          </w:p>
          <w:p w14:paraId="0E8F7EF7">
            <w:pPr>
              <w:tabs>
                <w:tab w:val="left" w:pos="6015"/>
              </w:tabs>
              <w:spacing w:line="360" w:lineRule="auto"/>
              <w:jc w:val="lef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 xml:space="preserve">银行账号： </w:t>
            </w:r>
          </w:p>
          <w:p w14:paraId="0D9AA425">
            <w:pPr>
              <w:tabs>
                <w:tab w:val="left" w:pos="6015"/>
              </w:tabs>
              <w:spacing w:line="360" w:lineRule="auto"/>
              <w:jc w:val="left"/>
              <w:rPr>
                <w:rFonts w:hint="eastAsia" w:ascii="宋体" w:hAnsi="宋体" w:eastAsia="宋体" w:cs="宋体"/>
                <w:b/>
                <w:color w:val="auto"/>
                <w:sz w:val="21"/>
                <w:szCs w:val="21"/>
                <w:highlight w:val="none"/>
                <w:lang w:val="zh-TW" w:eastAsia="zh-TW"/>
              </w:rPr>
            </w:pPr>
            <w:r>
              <w:rPr>
                <w:rFonts w:hint="eastAsia" w:ascii="宋体" w:hAnsi="宋体" w:eastAsia="宋体" w:cs="宋体"/>
                <w:color w:val="auto"/>
                <w:sz w:val="21"/>
                <w:szCs w:val="21"/>
                <w:highlight w:val="none"/>
                <w:lang w:val="zh-TW" w:eastAsia="zh-TW"/>
              </w:rPr>
              <w:t>统一社会信用代码：</w:t>
            </w:r>
          </w:p>
        </w:tc>
        <w:tc>
          <w:tcPr>
            <w:tcW w:w="5010" w:type="dxa"/>
          </w:tcPr>
          <w:p w14:paraId="3FD7B8F4">
            <w:pPr>
              <w:pStyle w:val="24"/>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单位名称（章）： </w:t>
            </w:r>
          </w:p>
          <w:p w14:paraId="2315EDD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TW"/>
              </w:rPr>
              <w:t>法定代表人（或授权签字人）</w:t>
            </w:r>
            <w:r>
              <w:rPr>
                <w:rFonts w:hint="eastAsia" w:ascii="宋体" w:hAnsi="宋体" w:eastAsia="宋体" w:cs="宋体"/>
                <w:color w:val="auto"/>
                <w:sz w:val="21"/>
                <w:szCs w:val="21"/>
                <w:highlight w:val="none"/>
                <w:lang w:val="zh-TW"/>
              </w:rPr>
              <w:t>：</w:t>
            </w:r>
          </w:p>
          <w:p w14:paraId="3BD56C32">
            <w:pPr>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 xml:space="preserve">开户银行： </w:t>
            </w:r>
          </w:p>
          <w:p w14:paraId="79AF4AA6">
            <w:pPr>
              <w:spacing w:line="360" w:lineRule="auto"/>
              <w:jc w:val="left"/>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银行账号：</w:t>
            </w:r>
          </w:p>
          <w:p w14:paraId="6D28153A">
            <w:pPr>
              <w:spacing w:line="360" w:lineRule="auto"/>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统一社会信用代码：</w:t>
            </w:r>
          </w:p>
          <w:p w14:paraId="61600524">
            <w:pPr>
              <w:tabs>
                <w:tab w:val="left" w:pos="6015"/>
              </w:tabs>
              <w:spacing w:line="360" w:lineRule="auto"/>
              <w:jc w:val="left"/>
              <w:rPr>
                <w:rFonts w:hint="eastAsia" w:ascii="宋体" w:hAnsi="宋体" w:eastAsia="宋体" w:cs="宋体"/>
                <w:b/>
                <w:color w:val="auto"/>
                <w:sz w:val="21"/>
                <w:szCs w:val="21"/>
                <w:highlight w:val="none"/>
                <w:lang w:val="zh-TW" w:eastAsia="zh-TW"/>
              </w:rPr>
            </w:pPr>
          </w:p>
        </w:tc>
      </w:tr>
    </w:tbl>
    <w:p w14:paraId="0BE67BCD">
      <w:pPr>
        <w:ind w:left="10942" w:leftChars="2299" w:hanging="6114" w:hangingChars="2900"/>
        <w:jc w:val="left"/>
        <w:rPr>
          <w:rFonts w:hint="eastAsia" w:ascii="宋体" w:hAnsi="宋体" w:eastAsia="宋体" w:cs="宋体"/>
          <w:b/>
          <w:bCs/>
          <w:color w:val="auto"/>
          <w:sz w:val="21"/>
          <w:szCs w:val="21"/>
          <w:highlight w:val="none"/>
          <w:lang w:val="zh-TW" w:eastAsia="zh-TW"/>
        </w:rPr>
      </w:pPr>
    </w:p>
    <w:p w14:paraId="74784117">
      <w:pPr>
        <w:ind w:left="10942" w:leftChars="2299" w:hanging="6114" w:hangingChars="2900"/>
        <w:jc w:val="left"/>
        <w:rPr>
          <w:rFonts w:hint="eastAsia" w:ascii="宋体" w:hAnsi="宋体" w:eastAsia="宋体" w:cs="宋体"/>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签约日期：</w:t>
      </w:r>
      <w:r>
        <w:rPr>
          <w:rFonts w:hint="eastAsia" w:ascii="宋体" w:hAnsi="宋体" w:eastAsia="宋体" w:cs="宋体"/>
          <w:color w:val="auto"/>
          <w:sz w:val="21"/>
          <w:szCs w:val="21"/>
          <w:highlight w:val="none"/>
          <w:lang w:val="zh-TW" w:eastAsia="zh-TW"/>
        </w:rPr>
        <w:t xml:space="preserve"> </w:t>
      </w:r>
      <w:r>
        <w:rPr>
          <w:rFonts w:hint="eastAsia" w:ascii="宋体" w:hAnsi="宋体" w:eastAsia="宋体" w:cs="宋体"/>
          <w:color w:val="auto"/>
          <w:sz w:val="21"/>
          <w:szCs w:val="21"/>
          <w:highlight w:val="none"/>
          <w:lang w:val="zh-TW"/>
        </w:rPr>
        <w:t xml:space="preserve">  </w:t>
      </w:r>
      <w:r>
        <w:rPr>
          <w:rFonts w:hint="eastAsia" w:ascii="宋体" w:hAnsi="宋体" w:eastAsia="宋体" w:cs="宋体"/>
          <w:color w:val="auto"/>
          <w:sz w:val="21"/>
          <w:szCs w:val="21"/>
          <w:highlight w:val="none"/>
          <w:lang w:val="zh-TW" w:eastAsia="zh-TW"/>
        </w:rPr>
        <w:t xml:space="preserve">年  </w:t>
      </w:r>
      <w:r>
        <w:rPr>
          <w:rFonts w:hint="eastAsia" w:ascii="宋体" w:hAnsi="宋体" w:eastAsia="宋体" w:cs="宋体"/>
          <w:color w:val="auto"/>
          <w:sz w:val="21"/>
          <w:szCs w:val="21"/>
          <w:highlight w:val="none"/>
          <w:lang w:val="zh-TW"/>
        </w:rPr>
        <w:t xml:space="preserve"> </w:t>
      </w:r>
      <w:r>
        <w:rPr>
          <w:rFonts w:hint="eastAsia" w:ascii="宋体" w:hAnsi="宋体" w:eastAsia="宋体" w:cs="宋体"/>
          <w:color w:val="auto"/>
          <w:sz w:val="21"/>
          <w:szCs w:val="21"/>
          <w:highlight w:val="none"/>
          <w:lang w:val="zh-TW" w:eastAsia="zh-TW"/>
        </w:rPr>
        <w:t xml:space="preserve">月  </w:t>
      </w:r>
      <w:r>
        <w:rPr>
          <w:rFonts w:hint="eastAsia" w:ascii="宋体" w:hAnsi="宋体" w:eastAsia="宋体" w:cs="宋体"/>
          <w:color w:val="auto"/>
          <w:sz w:val="21"/>
          <w:szCs w:val="21"/>
          <w:highlight w:val="none"/>
          <w:lang w:val="zh-TW"/>
        </w:rPr>
        <w:t xml:space="preserve"> </w:t>
      </w:r>
      <w:r>
        <w:rPr>
          <w:rFonts w:hint="eastAsia" w:ascii="宋体" w:hAnsi="宋体" w:eastAsia="宋体" w:cs="宋体"/>
          <w:color w:val="auto"/>
          <w:sz w:val="21"/>
          <w:szCs w:val="21"/>
          <w:highlight w:val="none"/>
          <w:lang w:val="zh-TW" w:eastAsia="zh-TW"/>
        </w:rPr>
        <w:t>日</w:t>
      </w:r>
    </w:p>
    <w:p w14:paraId="616B6703">
      <w:pPr>
        <w:spacing w:line="300" w:lineRule="auto"/>
        <w:ind w:firstLine="4849" w:firstLineChars="23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TW" w:eastAsia="zh-TW"/>
        </w:rPr>
        <w:t>签约地点：</w:t>
      </w:r>
      <w:r>
        <w:rPr>
          <w:rFonts w:hint="eastAsia" w:ascii="宋体" w:hAnsi="宋体" w:eastAsia="宋体" w:cs="宋体"/>
          <w:color w:val="auto"/>
          <w:sz w:val="21"/>
          <w:szCs w:val="21"/>
          <w:highlight w:val="none"/>
        </w:rPr>
        <w:t xml:space="preserve">  </w:t>
      </w:r>
    </w:p>
    <w:p w14:paraId="78EF21F5">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5E9997CE">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附件1：</w:t>
      </w:r>
    </w:p>
    <w:p w14:paraId="25081647">
      <w:pPr>
        <w:spacing w:line="44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廉洁协议书</w:t>
      </w:r>
    </w:p>
    <w:p w14:paraId="0EB6A678">
      <w:pPr>
        <w:spacing w:line="4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甲方：</w:t>
      </w:r>
    </w:p>
    <w:p w14:paraId="1777682F">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乙方： </w:t>
      </w:r>
    </w:p>
    <w:p w14:paraId="4C5B389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双方本年度生产经营合同编号： </w:t>
      </w:r>
    </w:p>
    <w:p w14:paraId="1B32DEE9">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为进一步完善监督制约机制，确保工作质量和预防职务犯罪，规范生产经营从业人员的行为和加强个人廉洁自律，根据国家及温州港集团有关廉洁建设规定，并结合实际特订立本协议如下：</w:t>
      </w:r>
    </w:p>
    <w:p w14:paraId="17BEBD5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一、双方职责</w:t>
      </w:r>
    </w:p>
    <w:p w14:paraId="723B631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1.甲乙双方应当自觉遵守国家法律法规以及有关廉洁建设的各项规定。</w:t>
      </w:r>
    </w:p>
    <w:p w14:paraId="66CACCA7">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2.甲乙双方应当严格执行合同规定，自觉按合同办事。</w:t>
      </w:r>
    </w:p>
    <w:p w14:paraId="0B68E618">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3.双方业务活动坚持公开、公正、诚信的原则（除法律认定的商业秘密或合同文件另有规定之外），不得损害国家利益和企业利益。</w:t>
      </w:r>
    </w:p>
    <w:p w14:paraId="2ECBD3AC">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4.甲乙双方工作人员发现对方在业务活动中有违反本协议约定的违法违纪行为的，应当及时提醒和督促对方纠正，情节严重的，有权向有关纪检监察部门检举、揭发。</w:t>
      </w:r>
    </w:p>
    <w:p w14:paraId="3132DD0E">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二、双方廉洁义务</w:t>
      </w:r>
    </w:p>
    <w:p w14:paraId="40BCE605">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1.甲方义务</w:t>
      </w:r>
    </w:p>
    <w:p w14:paraId="2E7C4B91">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（1）甲方工作人员应保持与乙方的正常工作交往，不得接受乙方的借款、礼金、有价证券和贵重物品，不得在乙方报销任何应由个人支付的费用，不得以任何形式向乙方索要和收受回扣或变相收受贿赂。</w:t>
      </w:r>
    </w:p>
    <w:p w14:paraId="1CEB90E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（2）甲方工作人员不得参加可能对公正执行公务有影响的宴请和娱乐活动。</w:t>
      </w:r>
    </w:p>
    <w:p w14:paraId="34F09D19">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（3）甲方工作人员不得要求或者接收乙方为其住房装修、婚丧嫁娶、家属和子女的工作安排以及出国等提供方便。</w:t>
      </w:r>
    </w:p>
    <w:p w14:paraId="63972B2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（4）甲方工作人员不得向乙方介绍亲属或亲友从事与甲方工作有关的经济活动。</w:t>
      </w:r>
    </w:p>
    <w:p w14:paraId="7FB84A0F">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（5）乙方如发现甲方工作人员有违反上述协议者，应及时向甲方上级主管单位举报。甲方不得以任何借口对乙方进行报复。</w:t>
      </w:r>
    </w:p>
    <w:p w14:paraId="0BFEF42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2.乙方义务</w:t>
      </w:r>
    </w:p>
    <w:p w14:paraId="12845429">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（1）乙方应当通过正常途径开展相关业务工作，不得向甲方工作人员及第三方提供借款，赠送礼金、有价证券和贵重物品等。</w:t>
      </w:r>
    </w:p>
    <w:p w14:paraId="6DB4603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（2）乙方不得为谋取私利擅自与甲方工作人员及中介机构就有关工作问题进行私下商谈或达成默契。</w:t>
      </w:r>
    </w:p>
    <w:p w14:paraId="46DA2764">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（3）乙方不得以洽谈业务、签订经济合同为借口，邀请甲方工作人员外出旅游和进入营业性高消费娱乐场所。</w:t>
      </w:r>
    </w:p>
    <w:p w14:paraId="5D46C444">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（4）乙方不得为甲方单位或个人购置或者提供通信工具、交通工具、家电、高档办公用品等。</w:t>
      </w:r>
    </w:p>
    <w:p w14:paraId="5D44F685">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（5）乙方如发现甲方工作人员有违反上述协议者，应向甲方上级主管单位举报。甲方不得以任何借口对乙方进行报复。 </w:t>
      </w:r>
    </w:p>
    <w:p w14:paraId="5980AF95">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（6）甲方工作人员明示或暗示乙方给予贿赂或报酬的，乙方必须予以拒绝，并将情况通报甲方纪检监察部门（电话： 0577-56688130）。</w:t>
      </w:r>
    </w:p>
    <w:p w14:paraId="0EC0ED8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三、违约责任</w:t>
      </w:r>
    </w:p>
    <w:p w14:paraId="588D34B7">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1.如发现甲方工作人员违反上述协议者， 按甲方制度进行调查，并由甲方按其制度进行处理，由此导致乙方遭受的损失由甲方承担。甲方认为情节严重的，有权解除《合同》，甲方承担合同提前终止的违约责任。</w:t>
      </w:r>
    </w:p>
    <w:p w14:paraId="0D0A92DE">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2.如发现乙方工作人员违反上述协议，按乙方制度进行调查，并由乙方按其制度进行处理，由此导致甲方的损失由乙方承担。甲方认为情节严重的，有权解除《合同》，乙方承担合同提前终止的违约责任。</w:t>
      </w:r>
    </w:p>
    <w:p w14:paraId="168BF6F3">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3.甲乙双方监督单位为其上级主管部门。</w:t>
      </w:r>
    </w:p>
    <w:p w14:paraId="4A8562A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四、附则</w:t>
      </w:r>
    </w:p>
    <w:p w14:paraId="46A68E4E">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1.本协议作为双方签订的《合同》的附件，与合同具有同等法律效力。经双方签署后立即生效。</w:t>
      </w:r>
    </w:p>
    <w:p w14:paraId="2AAB76A1">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2.本协议</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式</w:t>
      </w:r>
      <w:r>
        <w:rPr>
          <w:rFonts w:hint="eastAsia" w:asciiTheme="minorEastAsia" w:hAnsiTheme="minorEastAsia" w:eastAsiaTheme="minorEastAsia" w:cstheme="minorEastAsia"/>
          <w:color w:val="auto"/>
          <w:sz w:val="21"/>
          <w:szCs w:val="21"/>
          <w:highlight w:val="none"/>
          <w:lang w:val="en-US" w:eastAsia="zh-CN"/>
        </w:rPr>
        <w:t>肆</w:t>
      </w:r>
      <w:r>
        <w:rPr>
          <w:rFonts w:hint="eastAsia" w:asciiTheme="minorEastAsia" w:hAnsiTheme="minorEastAsia" w:eastAsiaTheme="minorEastAsia" w:cstheme="minorEastAsia"/>
          <w:color w:val="auto"/>
          <w:sz w:val="21"/>
          <w:szCs w:val="21"/>
          <w:highlight w:val="none"/>
        </w:rPr>
        <w:t>份，由甲乙双方各执</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rPr>
        <w:t>份。</w:t>
      </w:r>
    </w:p>
    <w:p w14:paraId="4527D0FD">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甲方：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       </w:t>
      </w:r>
    </w:p>
    <w:p w14:paraId="0C9DBC4A">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526FB1A8">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法人代表或委托人（签字）：         法人代表或委托人（签字）：</w:t>
      </w:r>
    </w:p>
    <w:p w14:paraId="02368064">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20E60F26">
      <w:pPr>
        <w:spacing w:line="440" w:lineRule="exact"/>
        <w:ind w:firstLine="420" w:firstLineChars="200"/>
        <w:rPr>
          <w:rFonts w:hint="eastAsia" w:asciiTheme="minorEastAsia" w:hAnsiTheme="minorEastAsia" w:eastAsiaTheme="minorEastAsia" w:cstheme="minorEastAsia"/>
          <w:color w:val="auto"/>
          <w:sz w:val="21"/>
          <w:szCs w:val="21"/>
          <w:highlight w:val="none"/>
        </w:rPr>
      </w:pPr>
    </w:p>
    <w:p w14:paraId="671B00B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签订日期：  </w:t>
      </w:r>
      <w:r>
        <w:rPr>
          <w:rFonts w:hint="eastAsia" w:asciiTheme="minorEastAsia" w:hAnsiTheme="minorEastAsia" w:eastAsiaTheme="minorEastAsia" w:cstheme="minorEastAsia"/>
          <w:color w:val="auto"/>
          <w:sz w:val="21"/>
          <w:szCs w:val="21"/>
          <w:highlight w:val="none"/>
          <w:lang w:eastAsia="zh-CN"/>
        </w:rPr>
        <w:t>2026</w:t>
      </w:r>
      <w:r>
        <w:rPr>
          <w:rFonts w:hint="eastAsia" w:asciiTheme="minorEastAsia" w:hAnsiTheme="minorEastAsia" w:eastAsiaTheme="minorEastAsia" w:cstheme="minorEastAsia"/>
          <w:color w:val="auto"/>
          <w:sz w:val="21"/>
          <w:szCs w:val="21"/>
          <w:highlight w:val="none"/>
        </w:rPr>
        <w:t xml:space="preserve">年  月  日          签订日期：  </w:t>
      </w:r>
      <w:r>
        <w:rPr>
          <w:rFonts w:hint="eastAsia" w:asciiTheme="minorEastAsia" w:hAnsiTheme="minorEastAsia" w:eastAsiaTheme="minorEastAsia" w:cstheme="minorEastAsia"/>
          <w:color w:val="auto"/>
          <w:sz w:val="21"/>
          <w:szCs w:val="21"/>
          <w:highlight w:val="none"/>
          <w:lang w:eastAsia="zh-CN"/>
        </w:rPr>
        <w:t>2026</w:t>
      </w:r>
      <w:r>
        <w:rPr>
          <w:rFonts w:hint="eastAsia" w:asciiTheme="minorEastAsia" w:hAnsiTheme="minorEastAsia" w:eastAsiaTheme="minorEastAsia" w:cstheme="minorEastAsia"/>
          <w:color w:val="auto"/>
          <w:sz w:val="21"/>
          <w:szCs w:val="21"/>
          <w:highlight w:val="none"/>
        </w:rPr>
        <w:t>年  月  日</w:t>
      </w:r>
    </w:p>
    <w:p w14:paraId="78826EF2">
      <w:pPr>
        <w:pStyle w:val="11"/>
        <w:rPr>
          <w:rFonts w:hint="eastAsia" w:asciiTheme="minorEastAsia" w:hAnsiTheme="minorEastAsia" w:eastAsiaTheme="minorEastAsia" w:cstheme="minorEastAsia"/>
          <w:color w:val="auto"/>
          <w:highlight w:val="none"/>
        </w:rPr>
      </w:pPr>
    </w:p>
    <w:p w14:paraId="0F4FBF82">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28"/>
          <w:szCs w:val="28"/>
          <w:highlight w:val="none"/>
        </w:rPr>
        <w:t>附件2：</w:t>
      </w:r>
    </w:p>
    <w:p w14:paraId="03CF64EC">
      <w:pPr>
        <w:spacing w:line="500" w:lineRule="exact"/>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安全生产管理协议</w:t>
      </w:r>
    </w:p>
    <w:p w14:paraId="6A759CC3">
      <w:pPr>
        <w:spacing w:line="4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（以下简称甲方）</w:t>
      </w:r>
    </w:p>
    <w:p w14:paraId="4137D043">
      <w:pPr>
        <w:spacing w:line="4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（以下简称乙方）</w:t>
      </w:r>
    </w:p>
    <w:p w14:paraId="209BE7ED">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贯彻“安全第一，预防为主，综合治理”方针，加强港区船舶代理活动的安全管理，规范作业人员、车辆安全生产行为，维护港区生产、经营、办公秩序，确保港区财产和人员的安全，按照《中华人民共和国安全生产法》、《中华人民共和国道路交通安全法》、《中华人民共和国港口法》、《中华人民共和国港口设施保安规则》和《浙江省安全生产条例》等国家有关法律法规，乙方在进入甲方办公、作业区域内负有安全生产、治安保卫等职责。经双方友好协商一致签订本协议书，具体条款如下：</w:t>
      </w:r>
    </w:p>
    <w:p w14:paraId="6CB95AC3">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一、甲方权利与责任 </w:t>
      </w:r>
    </w:p>
    <w:p w14:paraId="54A4F5A5">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（一）甲方依据《中华人民共和国安全生产法》等相关法律规定，可定期、不定期对所辖区域进行安全检查。</w:t>
      </w:r>
    </w:p>
    <w:p w14:paraId="074D47BA">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（二）对乙方安全管理工作不到位的，甲方可要求乙方立刻或限期落实安全防范措施，部分或全部停止作业；情节严重经甲方认定的可单方解除与乙方的业务合作协议。</w:t>
      </w:r>
    </w:p>
    <w:p w14:paraId="06B85B84">
      <w:pPr>
        <w:spacing w:line="4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（三）甲方对其本协议项下的权利与义务的行使情况，不能成为甲方承担不利后果的理由，乙方不得据此要求甲方承担责任或要求据此减轻乙方责任。</w:t>
      </w:r>
    </w:p>
    <w:p w14:paraId="52CD9B79">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二、乙方权利与责任</w:t>
      </w:r>
    </w:p>
    <w:p w14:paraId="6982CAA3">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1、乙方须具备相关行业经营资质，具备法律法规和国家标准、行业标准规定的安全生产条件；乙方应主动项甲方提供安全、经营相关资质等证明文件，以便甲方审查。</w:t>
      </w:r>
    </w:p>
    <w:p w14:paraId="19105BB0">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2、乙方须严格执行国家有关法律、法规，遵守甲方制定的相关方安全管理规定及其他相关安全管理规定。违反甲方港区安全管理规定的，甲方有权按照相关管理规定进行安全考核。  </w:t>
      </w:r>
    </w:p>
    <w:p w14:paraId="5CA59603">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3、乙方须全面负责乙方在港作业的安全生产职责，配备相应的专(兼)职安全管理人员，对乙方作业人员的安全生产实施安全管理和督查。</w:t>
      </w:r>
    </w:p>
    <w:p w14:paraId="62B8BDFD">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4、乙方进入甲方单位前，应根据甲方要求办理人员、车辆机械入港审批，所有进港作业人员、车辆机械出入自觉接受门卫检查、登记。 </w:t>
      </w:r>
    </w:p>
    <w:p w14:paraId="17560834">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5、乙方须依法为作业人员提供合格有效劳动防护用品，并监督、教育其正确佩戴和使用。</w:t>
      </w:r>
    </w:p>
    <w:p w14:paraId="37CB8995">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6、乙方须对从业人员进行入港作业前的安全生产教育培训，使作业人员熟悉甲方港区各项安全管理规定，确保作业安全。</w:t>
      </w:r>
    </w:p>
    <w:p w14:paraId="662DD41F">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的作业人员在港作业时应戴好安全帽、穿好反光背心，不准穿拖鞋，不准在港区乱停车辆，应听从甲方现场管理人员统一指挥。严禁酒后进入港区作业，严禁带与生产无关人员进入港区；乙方要根据甲方环保工作要求，做好港区环境卫生，避免出现污染港区环境事件，如有影响港区环保卫生的要及时采取措施。</w:t>
      </w:r>
    </w:p>
    <w:p w14:paraId="10A15C66">
      <w:pPr>
        <w:spacing w:line="480" w:lineRule="exact"/>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的作业车辆、人员在进入港区后，应在指定位置、区域内活动，严禁在港区吸烟，严禁将烟头扔出车外；港区消防设施、电源开关的周边地点不准乱停，避免发生堵塞情况；港区消防器材不准移动，无火险不使用。严禁携带易燃易爆物品进入港区。</w:t>
      </w:r>
    </w:p>
    <w:p w14:paraId="202A1BDF">
      <w:pPr>
        <w:spacing w:line="480" w:lineRule="exact"/>
        <w:ind w:firstLine="5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作业人员严禁携带走私物品和非法违禁物品进入港区，如需登临外轮或进入口岸限制区域，必须持有边检颁发的有效证件，如违反规定，乙方需自行承担相应的法律责任，乙方违规人员将被移交边防或公安机关依法处理。</w:t>
      </w:r>
    </w:p>
    <w:p w14:paraId="304ABACC">
      <w:pPr>
        <w:spacing w:line="480" w:lineRule="exact"/>
        <w:ind w:firstLine="5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10、乙方须按规定报告生产安全事故、环保事件，及时开展事故抢险救援，并妥善处理事故善后工作。</w:t>
      </w:r>
    </w:p>
    <w:p w14:paraId="76B3D450">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履职服务过程中的安全管理和风险由乙方承担，发生的人身、财产等事故由乙方负责，由此给甲方造成的损失由乙方负责赔偿，若甲方因该事故被上级公司安全考核的，乙方需承担甲方因安全考核遭受的经济损失。</w:t>
      </w:r>
    </w:p>
    <w:p w14:paraId="6DA4EA5E">
      <w:pPr>
        <w:spacing w:after="120"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12、乙方应遵守道路交通管理有关规定，并确保入港人员无前科及劣迹，对安全素质差、不服从安全管理的人员按甲方要求限期或立即退场。严禁无关、酒后人员进入港区。</w:t>
      </w:r>
    </w:p>
    <w:p w14:paraId="30F92C5E">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13、乙方确认乙方人员所涉本协议项下的行为，视为乙方行为，其法律效果由乙方承担。</w:t>
      </w:r>
    </w:p>
    <w:p w14:paraId="614282C5">
      <w:pPr>
        <w:spacing w:line="4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三、履约保证金的相关说明</w:t>
      </w:r>
    </w:p>
    <w:p w14:paraId="43D0A5DB">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（一）履约保证金的缴纳</w:t>
      </w:r>
    </w:p>
    <w:p w14:paraId="2498A957">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乙方未缴纳履约保证金的，若乙方在甲方港区内发生违章，乙方须按照甲方的相关安全管理规定，签收《</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违章行为处理决定书》，并于7个工作日内缴纳违章考核金额，若未及时缴纳的，甲方有权停止乙方在港一切活动。</w:t>
      </w:r>
    </w:p>
    <w:p w14:paraId="75A06AC4">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四</w:t>
      </w:r>
      <w:r>
        <w:rPr>
          <w:rFonts w:hint="eastAsia" w:asciiTheme="minorEastAsia" w:hAnsiTheme="minorEastAsia" w:eastAsiaTheme="minorEastAsia" w:cstheme="minorEastAsia"/>
          <w:b/>
          <w:bCs/>
          <w:color w:val="auto"/>
          <w:sz w:val="21"/>
          <w:szCs w:val="21"/>
          <w:highlight w:val="none"/>
        </w:rPr>
        <w:t>、事故处理</w:t>
      </w:r>
    </w:p>
    <w:p w14:paraId="75C6F43B">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（一）因乙方未按甲方要求，或未尽乙方自身职责疏于管理，发生安全事故的，乙方须承担事故全部责任，并负责赔偿和善后处置工作。</w:t>
      </w:r>
    </w:p>
    <w:p w14:paraId="241B105D">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（二）如乙方安全管理不善，事故防范措施落实不力，事故、违章行为频发，甲方有权提前解除服务合同或要求乙方限期更换相关人员，由此产生的后果与责任均由乙方自行处理并负责。</w:t>
      </w:r>
    </w:p>
    <w:p w14:paraId="5FADAA46">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五、本协议有效期与甲乙双方签订的主合同一致，无主合同的，在签署当年有效。</w:t>
      </w:r>
    </w:p>
    <w:p w14:paraId="60B8E7D5">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六、在执行本协议过程中产生的或与本协议有关的争议及分歧，双方应通过友好协商解决，无法达成共识时，任何一方有权向甲方所在地人民法院起诉。</w:t>
      </w:r>
    </w:p>
    <w:p w14:paraId="6F030D8F">
      <w:pPr>
        <w:spacing w:line="4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七、本协议</w:t>
      </w:r>
      <w:r>
        <w:rPr>
          <w:rFonts w:hint="eastAsia" w:asciiTheme="minorEastAsia" w:hAnsiTheme="minorEastAsia" w:eastAsiaTheme="minorEastAsia" w:cstheme="minorEastAsia"/>
          <w:b/>
          <w:color w:val="auto"/>
          <w:sz w:val="21"/>
          <w:szCs w:val="21"/>
          <w:highlight w:val="none"/>
          <w:lang w:val="en-US" w:eastAsia="zh-CN"/>
        </w:rPr>
        <w:t>壹</w:t>
      </w:r>
      <w:r>
        <w:rPr>
          <w:rFonts w:hint="eastAsia" w:asciiTheme="minorEastAsia" w:hAnsiTheme="minorEastAsia" w:eastAsiaTheme="minorEastAsia" w:cstheme="minorEastAsia"/>
          <w:b/>
          <w:color w:val="auto"/>
          <w:sz w:val="21"/>
          <w:szCs w:val="21"/>
          <w:highlight w:val="none"/>
        </w:rPr>
        <w:t>式</w:t>
      </w:r>
      <w:r>
        <w:rPr>
          <w:rFonts w:hint="eastAsia" w:asciiTheme="minorEastAsia" w:hAnsiTheme="minorEastAsia" w:eastAsiaTheme="minorEastAsia" w:cstheme="minorEastAsia"/>
          <w:b/>
          <w:color w:val="auto"/>
          <w:sz w:val="21"/>
          <w:szCs w:val="21"/>
          <w:highlight w:val="none"/>
          <w:lang w:val="en-US" w:eastAsia="zh-CN"/>
        </w:rPr>
        <w:t>肆</w:t>
      </w:r>
      <w:r>
        <w:rPr>
          <w:rFonts w:hint="eastAsia" w:asciiTheme="minorEastAsia" w:hAnsiTheme="minorEastAsia" w:eastAsiaTheme="minorEastAsia" w:cstheme="minorEastAsia"/>
          <w:b/>
          <w:color w:val="auto"/>
          <w:sz w:val="21"/>
          <w:szCs w:val="21"/>
          <w:highlight w:val="none"/>
        </w:rPr>
        <w:t>份，甲、乙双方各执</w:t>
      </w:r>
      <w:r>
        <w:rPr>
          <w:rFonts w:hint="eastAsia" w:asciiTheme="minorEastAsia" w:hAnsiTheme="minorEastAsia" w:eastAsiaTheme="minorEastAsia" w:cstheme="minorEastAsia"/>
          <w:b/>
          <w:color w:val="auto"/>
          <w:sz w:val="21"/>
          <w:szCs w:val="21"/>
          <w:highlight w:val="none"/>
          <w:lang w:val="en-US" w:eastAsia="zh-CN"/>
        </w:rPr>
        <w:t>贰</w:t>
      </w:r>
      <w:r>
        <w:rPr>
          <w:rFonts w:hint="eastAsia" w:asciiTheme="minorEastAsia" w:hAnsiTheme="minorEastAsia" w:eastAsiaTheme="minorEastAsia" w:cstheme="minorEastAsia"/>
          <w:b/>
          <w:color w:val="auto"/>
          <w:sz w:val="21"/>
          <w:szCs w:val="21"/>
          <w:highlight w:val="none"/>
        </w:rPr>
        <w:t>份。</w:t>
      </w:r>
    </w:p>
    <w:p w14:paraId="0372231A">
      <w:pPr>
        <w:spacing w:line="500" w:lineRule="exact"/>
        <w:ind w:firstLine="422" w:firstLineChars="200"/>
        <w:rPr>
          <w:rFonts w:hint="eastAsia" w:asciiTheme="minorEastAsia" w:hAnsiTheme="minorEastAsia" w:eastAsiaTheme="minorEastAsia" w:cstheme="minorEastAsia"/>
          <w:b/>
          <w:color w:val="auto"/>
          <w:sz w:val="21"/>
          <w:szCs w:val="21"/>
          <w:highlight w:val="none"/>
        </w:rPr>
      </w:pPr>
    </w:p>
    <w:p w14:paraId="31EEBBA6">
      <w:pPr>
        <w:spacing w:line="5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w:t>
      </w:r>
    </w:p>
    <w:p w14:paraId="19749CDE">
      <w:pPr>
        <w:spacing w:line="500" w:lineRule="exact"/>
        <w:rPr>
          <w:rFonts w:hint="eastAsia" w:asciiTheme="minorEastAsia" w:hAnsiTheme="minorEastAsia" w:eastAsiaTheme="minorEastAsia" w:cstheme="minorEastAsia"/>
          <w:color w:val="auto"/>
          <w:sz w:val="21"/>
          <w:szCs w:val="21"/>
          <w:highlight w:val="none"/>
        </w:rPr>
      </w:pPr>
    </w:p>
    <w:p w14:paraId="15E6D424">
      <w:pPr>
        <w:spacing w:line="500" w:lineRule="exact"/>
        <w:rPr>
          <w:rFonts w:hint="eastAsia" w:asciiTheme="minorEastAsia" w:hAnsiTheme="minorEastAsia" w:eastAsiaTheme="minorEastAsia" w:cstheme="minorEastAsia"/>
          <w:color w:val="auto"/>
          <w:sz w:val="21"/>
          <w:szCs w:val="21"/>
          <w:highlight w:val="none"/>
        </w:rPr>
      </w:pPr>
    </w:p>
    <w:p w14:paraId="17CB20C4">
      <w:pPr>
        <w:spacing w:line="500" w:lineRule="exact"/>
        <w:rPr>
          <w:rFonts w:hint="eastAsia" w:asciiTheme="minorEastAsia" w:hAnsiTheme="minorEastAsia" w:eastAsiaTheme="minorEastAsia" w:cstheme="minorEastAsia"/>
          <w:color w:val="auto"/>
          <w:sz w:val="21"/>
          <w:szCs w:val="21"/>
          <w:highlight w:val="none"/>
        </w:rPr>
      </w:pPr>
    </w:p>
    <w:p w14:paraId="37F33D96">
      <w:pPr>
        <w:spacing w:line="5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甲方代表（签字）：                        乙方代表（签字）：</w:t>
      </w:r>
    </w:p>
    <w:p w14:paraId="29EE26C2">
      <w:pPr>
        <w:tabs>
          <w:tab w:val="right" w:pos="7186"/>
        </w:tabs>
        <w:spacing w:line="500" w:lineRule="exact"/>
        <w:ind w:right="1120"/>
        <w:rPr>
          <w:rFonts w:hint="eastAsia" w:asciiTheme="minorEastAsia" w:hAnsiTheme="minorEastAsia" w:eastAsiaTheme="minorEastAsia" w:cstheme="minorEastAsia"/>
          <w:color w:val="auto"/>
          <w:sz w:val="21"/>
          <w:szCs w:val="21"/>
          <w:highlight w:val="none"/>
        </w:rPr>
      </w:pPr>
    </w:p>
    <w:p w14:paraId="1681B15D">
      <w:pPr>
        <w:tabs>
          <w:tab w:val="right" w:pos="7186"/>
        </w:tabs>
        <w:spacing w:line="500" w:lineRule="exact"/>
        <w:ind w:right="1120"/>
        <w:rPr>
          <w:rFonts w:hint="eastAsia" w:asciiTheme="minorEastAsia" w:hAnsiTheme="minorEastAsia" w:eastAsiaTheme="minorEastAsia" w:cstheme="minorEastAsia"/>
          <w:color w:val="auto"/>
          <w:sz w:val="21"/>
          <w:szCs w:val="21"/>
          <w:highlight w:val="none"/>
        </w:rPr>
      </w:pPr>
    </w:p>
    <w:p w14:paraId="617FD25A">
      <w:pPr>
        <w:tabs>
          <w:tab w:val="right" w:pos="7186"/>
        </w:tabs>
        <w:spacing w:line="500" w:lineRule="exact"/>
        <w:ind w:right="1120"/>
        <w:rPr>
          <w:rFonts w:hint="eastAsia" w:asciiTheme="minorEastAsia" w:hAnsiTheme="minorEastAsia" w:eastAsiaTheme="minorEastAsia" w:cstheme="minorEastAsia"/>
          <w:color w:val="auto"/>
          <w:sz w:val="21"/>
          <w:szCs w:val="21"/>
          <w:highlight w:val="none"/>
        </w:rPr>
      </w:pPr>
    </w:p>
    <w:p w14:paraId="27189A0E">
      <w:pPr>
        <w:tabs>
          <w:tab w:val="right" w:pos="7186"/>
        </w:tabs>
        <w:spacing w:line="500" w:lineRule="exact"/>
        <w:ind w:right="40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签订时间：   年   月   日</w:t>
      </w:r>
    </w:p>
    <w:p w14:paraId="5F007D1F">
      <w:pPr>
        <w:tabs>
          <w:tab w:val="right" w:pos="7186"/>
        </w:tabs>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5C8304A5">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rPr>
        <w:t>附件3：</w:t>
      </w:r>
    </w:p>
    <w:p w14:paraId="676A7144">
      <w:pPr>
        <w:spacing w:line="500" w:lineRule="exact"/>
        <w:jc w:val="center"/>
        <w:rPr>
          <w:rFonts w:hint="eastAsia" w:asciiTheme="minorEastAsia" w:hAnsiTheme="minorEastAsia" w:eastAsiaTheme="minorEastAsia" w:cstheme="minorEastAsia"/>
          <w:b/>
          <w:color w:val="auto"/>
          <w:sz w:val="36"/>
          <w:szCs w:val="36"/>
          <w:highlight w:val="none"/>
        </w:rPr>
      </w:pPr>
    </w:p>
    <w:p w14:paraId="407492C9">
      <w:pPr>
        <w:spacing w:line="50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环境保护管理协议</w:t>
      </w:r>
    </w:p>
    <w:p w14:paraId="4C7E83E9">
      <w:pPr>
        <w:spacing w:line="3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（以下简称甲方）</w:t>
      </w:r>
    </w:p>
    <w:p w14:paraId="62482F2E">
      <w:pPr>
        <w:spacing w:line="380" w:lineRule="exact"/>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（以下简称乙方）</w:t>
      </w:r>
    </w:p>
    <w:p w14:paraId="62FDEF75">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保护环境，实现国家和企业可持续发展的根本保证，降低资源的耗能，改善生态环境。根据国家《环境保护法》、《大气污染防治法》、《环境噪声污染防治法》、《固体废物污染环境防治法》等有关法律法规，服从行业管理，接受有关单位监督检查，经甲乙双方平等协商一致，签订本协议，望双方共同遵守。</w:t>
      </w:r>
    </w:p>
    <w:p w14:paraId="5694F029">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一、甲方责任和权利</w:t>
      </w:r>
    </w:p>
    <w:p w14:paraId="6C8086D0">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（一）甲方依据国家《环境保护法》等有关环境保护的法律、法规，可定期、不定期对所辖区域进行环保检查。</w:t>
      </w:r>
    </w:p>
    <w:p w14:paraId="5ED5E6E8">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（二）对乙方环保管理工作不到位的，甲方可要求乙方立刻或限期落实环保防范措施；情节严重经甲方认定的可单方解除与乙方的业务合作协议。</w:t>
      </w:r>
    </w:p>
    <w:p w14:paraId="491F405D">
      <w:pPr>
        <w:spacing w:line="3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（三）甲方对其本协议项下的权利与义务的行使情况，不能成为甲方承担不利后果的理由，乙方不得据此要求甲方承担责任或要求据此减轻乙方责任。</w:t>
      </w:r>
    </w:p>
    <w:p w14:paraId="27CB1B0E">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二、乙方责任和权利</w:t>
      </w:r>
    </w:p>
    <w:p w14:paraId="221DA3A4">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1、乙方应按照《中华人民共和国环境保护法》全面负责承包范围内环境保护职责，对承包作业的工艺流程实施环保管理和督查。落实生产作业过程中的环境保护措施，做好相关环保工作。</w:t>
      </w:r>
    </w:p>
    <w:p w14:paraId="5DBF8BD6">
      <w:pPr>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2、乙方应落实环保和卫生管控目标：无一般及以上环境污染事件；无一般及以上公共卫生事件；无职业病病例。</w:t>
      </w:r>
    </w:p>
    <w:p w14:paraId="5A1D7E6F">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3、乙方应遵守国家有关环境保护法律法规和甲方有关规章制度，服从甲方人员全口径管理。</w:t>
      </w:r>
    </w:p>
    <w:p w14:paraId="2FD1D18C">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4、乙方应乙方人员配备符合国家标准的劳保用品，并督促正确穿戴，保障工作人员的安全与健康。</w:t>
      </w:r>
    </w:p>
    <w:p w14:paraId="1D0C8563">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5、乙方应对作业现场的环境保护工作进行监管。对上级监管单位或甲方签发的关于环境保护的隐患整改通知书，乙方应做到认真整改，及时书面反馈整改情况。</w:t>
      </w:r>
    </w:p>
    <w:p w14:paraId="57380B4B">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6、乙方应对工作中可能产生的废气、噪音、粉尘等加以有效地控制，对于进入甲方所辖生产作业区内的机械车辆应尽可能地控制废气、粉尘，产生噪音，以降低对环境的污染。</w:t>
      </w:r>
    </w:p>
    <w:p w14:paraId="51770A08">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7、乙方应合理地使用日常资源（如水、电、气等），人离开关（阀门）关闭的良好习惯，做到既节约能源、又确保安全。</w:t>
      </w:r>
    </w:p>
    <w:p w14:paraId="5FBE8A3B">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8、乙方应尽量减少污水的产生，并合法、恰当、合理地处理日常污水的排放。</w:t>
      </w:r>
    </w:p>
    <w:p w14:paraId="5AE4720E">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9、乙方应有义务积极参与甲方的各种环保应急工作。</w:t>
      </w:r>
    </w:p>
    <w:p w14:paraId="12664A85">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10、乙方确认乙方人员所涉本协议项下的行为，视为乙方行为，其法律效果由乙方承担。</w:t>
      </w:r>
    </w:p>
    <w:p w14:paraId="0E0BB031">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三、事故处理</w:t>
      </w:r>
    </w:p>
    <w:p w14:paraId="5A045DE5">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1、因乙方未按甲方要求，或未尽乙方自身职责疏于管理及违章违法作业，发生环境保护事故的，乙方要承担方事故全部责任。若甲方因该事故被上级公司处罚的，乙方需承担甲方因处罚遭受的经济损失。</w:t>
      </w:r>
    </w:p>
    <w:p w14:paraId="59894605">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2、如乙方环境保护管理不善，事故防范措施落实不力，事故、违章行为频发，甲方有权提前解除服务合同或要求乙方限期更换相关人员，由此产生的后果与责任均由乙方自行处理并负责。</w:t>
      </w:r>
    </w:p>
    <w:p w14:paraId="2C5A944E">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四、本协议各项规定适用于协议双方，如遇有同国家和政府有关法律、法规不符的按国家和政府的有关规定执行。</w:t>
      </w:r>
    </w:p>
    <w:p w14:paraId="01FBEF04">
      <w:pPr>
        <w:spacing w:line="380" w:lineRule="exact"/>
        <w:ind w:firstLine="422" w:firstLineChars="200"/>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rPr>
        <w:t>五、在执行本协议过程中产生的或与本协议有关的争议及分歧，参照主合同有关争议解决的方式执行。</w:t>
      </w:r>
    </w:p>
    <w:p w14:paraId="10ED782A">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六、本协议履行期与甲乙双方签订的主合同一致，无主合同的，在签署当年有效。</w:t>
      </w:r>
    </w:p>
    <w:p w14:paraId="0B33FDE1">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七、本协议壹式</w:t>
      </w:r>
      <w:r>
        <w:rPr>
          <w:rFonts w:hint="eastAsia" w:asciiTheme="minorEastAsia" w:hAnsiTheme="minorEastAsia" w:eastAsiaTheme="minorEastAsia" w:cstheme="minorEastAsia"/>
          <w:b/>
          <w:bCs/>
          <w:color w:val="auto"/>
          <w:sz w:val="21"/>
          <w:szCs w:val="21"/>
          <w:highlight w:val="none"/>
          <w:lang w:val="en-US" w:eastAsia="zh-CN"/>
        </w:rPr>
        <w:t>肆</w:t>
      </w:r>
      <w:r>
        <w:rPr>
          <w:rFonts w:hint="eastAsia" w:asciiTheme="minorEastAsia" w:hAnsiTheme="minorEastAsia" w:eastAsiaTheme="minorEastAsia" w:cstheme="minorEastAsia"/>
          <w:b/>
          <w:bCs/>
          <w:color w:val="auto"/>
          <w:sz w:val="21"/>
          <w:szCs w:val="21"/>
          <w:highlight w:val="none"/>
        </w:rPr>
        <w:t>份，甲、乙双方各执</w:t>
      </w:r>
      <w:r>
        <w:rPr>
          <w:rFonts w:hint="eastAsia" w:asciiTheme="minorEastAsia" w:hAnsiTheme="minorEastAsia" w:eastAsiaTheme="minorEastAsia" w:cstheme="minorEastAsia"/>
          <w:b/>
          <w:bCs/>
          <w:color w:val="auto"/>
          <w:sz w:val="21"/>
          <w:szCs w:val="21"/>
          <w:highlight w:val="none"/>
          <w:lang w:val="en-US" w:eastAsia="zh-CN"/>
        </w:rPr>
        <w:t>贰</w:t>
      </w:r>
      <w:r>
        <w:rPr>
          <w:rFonts w:hint="eastAsia" w:asciiTheme="minorEastAsia" w:hAnsiTheme="minorEastAsia" w:eastAsiaTheme="minorEastAsia" w:cstheme="minorEastAsia"/>
          <w:b/>
          <w:bCs/>
          <w:color w:val="auto"/>
          <w:sz w:val="21"/>
          <w:szCs w:val="21"/>
          <w:highlight w:val="none"/>
        </w:rPr>
        <w:t>份，具有同等法律效力。</w:t>
      </w:r>
    </w:p>
    <w:p w14:paraId="0857C079">
      <w:pPr>
        <w:spacing w:line="280" w:lineRule="exact"/>
        <w:rPr>
          <w:rFonts w:hint="eastAsia" w:asciiTheme="minorEastAsia" w:hAnsiTheme="minorEastAsia" w:eastAsiaTheme="minorEastAsia" w:cstheme="minorEastAsia"/>
          <w:b/>
          <w:color w:val="auto"/>
          <w:sz w:val="21"/>
          <w:szCs w:val="21"/>
          <w:highlight w:val="none"/>
        </w:rPr>
      </w:pPr>
    </w:p>
    <w:p w14:paraId="43F6C8F9">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w:t>
      </w:r>
    </w:p>
    <w:p w14:paraId="15C8F076">
      <w:pPr>
        <w:spacing w:line="280" w:lineRule="exact"/>
        <w:rPr>
          <w:rFonts w:hint="eastAsia" w:asciiTheme="minorEastAsia" w:hAnsiTheme="minorEastAsia" w:eastAsiaTheme="minorEastAsia" w:cstheme="minorEastAsia"/>
          <w:color w:val="auto"/>
          <w:sz w:val="21"/>
          <w:szCs w:val="21"/>
          <w:highlight w:val="none"/>
        </w:rPr>
      </w:pPr>
    </w:p>
    <w:p w14:paraId="3519F3D7">
      <w:pPr>
        <w:spacing w:line="280" w:lineRule="exact"/>
        <w:rPr>
          <w:rFonts w:hint="eastAsia" w:asciiTheme="minorEastAsia" w:hAnsiTheme="minorEastAsia" w:eastAsiaTheme="minorEastAsia" w:cstheme="minorEastAsia"/>
          <w:color w:val="auto"/>
          <w:sz w:val="21"/>
          <w:szCs w:val="21"/>
          <w:highlight w:val="none"/>
        </w:rPr>
      </w:pPr>
    </w:p>
    <w:p w14:paraId="7D3EEB97">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甲方代表（签字）：                 乙方代表（签字）：</w:t>
      </w:r>
    </w:p>
    <w:p w14:paraId="78A9DEDB">
      <w:pPr>
        <w:spacing w:line="280" w:lineRule="exact"/>
        <w:rPr>
          <w:rFonts w:hint="eastAsia" w:asciiTheme="minorEastAsia" w:hAnsiTheme="minorEastAsia" w:eastAsiaTheme="minorEastAsia" w:cstheme="minorEastAsia"/>
          <w:color w:val="auto"/>
          <w:sz w:val="21"/>
          <w:szCs w:val="21"/>
          <w:highlight w:val="none"/>
        </w:rPr>
      </w:pPr>
    </w:p>
    <w:p w14:paraId="1CB43F6D">
      <w:pPr>
        <w:spacing w:line="280" w:lineRule="exact"/>
        <w:rPr>
          <w:rFonts w:hint="eastAsia" w:asciiTheme="minorEastAsia" w:hAnsiTheme="minorEastAsia" w:eastAsiaTheme="minorEastAsia" w:cstheme="minorEastAsia"/>
          <w:color w:val="auto"/>
          <w:sz w:val="21"/>
          <w:szCs w:val="21"/>
          <w:highlight w:val="none"/>
        </w:rPr>
      </w:pPr>
    </w:p>
    <w:p w14:paraId="06122CAE">
      <w:pPr>
        <w:tabs>
          <w:tab w:val="right" w:pos="7186"/>
        </w:tabs>
        <w:spacing w:line="280" w:lineRule="exact"/>
        <w:ind w:right="112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签订时间：   年   月   日</w:t>
      </w:r>
    </w:p>
    <w:p w14:paraId="746D3B90">
      <w:pPr>
        <w:tabs>
          <w:tab w:val="right" w:pos="7186"/>
        </w:tabs>
        <w:spacing w:line="280" w:lineRule="exact"/>
        <w:ind w:right="1120"/>
        <w:rPr>
          <w:rFonts w:hint="eastAsia" w:asciiTheme="minorEastAsia" w:hAnsiTheme="minorEastAsia" w:eastAsiaTheme="minorEastAsia" w:cstheme="minorEastAsia"/>
          <w:color w:val="auto"/>
          <w:sz w:val="21"/>
          <w:szCs w:val="21"/>
          <w:highlight w:val="none"/>
        </w:rPr>
      </w:pPr>
    </w:p>
    <w:p w14:paraId="107614D0">
      <w:pPr>
        <w:pStyle w:val="10"/>
        <w:ind w:firstLine="210"/>
        <w:rPr>
          <w:rFonts w:hint="eastAsia" w:asciiTheme="minorEastAsia" w:hAnsiTheme="minorEastAsia" w:eastAsiaTheme="minorEastAsia" w:cstheme="minorEastAsia"/>
          <w:color w:val="auto"/>
          <w:sz w:val="21"/>
          <w:szCs w:val="21"/>
          <w:highlight w:val="none"/>
        </w:rPr>
      </w:pPr>
    </w:p>
    <w:p w14:paraId="0EA506AD">
      <w:pPr>
        <w:pStyle w:val="10"/>
        <w:ind w:firstLine="210"/>
        <w:rPr>
          <w:rFonts w:hint="eastAsia" w:asciiTheme="minorEastAsia" w:hAnsiTheme="minorEastAsia" w:eastAsiaTheme="minorEastAsia" w:cstheme="minorEastAsia"/>
          <w:color w:val="auto"/>
          <w:sz w:val="21"/>
          <w:szCs w:val="21"/>
          <w:highlight w:val="none"/>
        </w:rPr>
      </w:pPr>
    </w:p>
    <w:p w14:paraId="3ECF252E">
      <w:pPr>
        <w:spacing w:line="44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1"/>
          <w:szCs w:val="21"/>
          <w:highlight w:val="none"/>
        </w:rPr>
        <w:br w:type="page"/>
      </w:r>
      <w:r>
        <w:rPr>
          <w:rFonts w:hint="eastAsia" w:asciiTheme="minorEastAsia" w:hAnsiTheme="minorEastAsia" w:eastAsiaTheme="minorEastAsia" w:cstheme="minorEastAsia"/>
          <w:b/>
          <w:color w:val="auto"/>
          <w:sz w:val="28"/>
          <w:szCs w:val="28"/>
          <w:highlight w:val="none"/>
        </w:rPr>
        <w:t>附件4：</w:t>
      </w:r>
    </w:p>
    <w:p w14:paraId="4E6A1EC4">
      <w:pPr>
        <w:spacing w:line="500" w:lineRule="exact"/>
        <w:jc w:val="both"/>
        <w:rPr>
          <w:rFonts w:hint="eastAsia" w:asciiTheme="minorEastAsia" w:hAnsiTheme="minorEastAsia" w:eastAsiaTheme="minorEastAsia" w:cstheme="minorEastAsia"/>
          <w:b/>
          <w:color w:val="auto"/>
          <w:sz w:val="36"/>
          <w:szCs w:val="36"/>
          <w:highlight w:val="none"/>
          <w:lang w:eastAsia="zh-CN"/>
        </w:rPr>
      </w:pPr>
    </w:p>
    <w:p w14:paraId="510B34AE">
      <w:pPr>
        <w:spacing w:line="50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消防安全管理协议</w:t>
      </w:r>
    </w:p>
    <w:p w14:paraId="36BD099A">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 xml:space="preserve">   （以下简称甲方）</w:t>
      </w:r>
    </w:p>
    <w:p w14:paraId="0BE5CA2B">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（以下简称乙方）</w:t>
      </w:r>
    </w:p>
    <w:p w14:paraId="117647E2">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贯彻落实“预防为主，防消结合”方针，确保港区消防安全，杜绝与防止火灾事故的发生，根据《中华人民共和国消防法》、《中华人民共和国安全生产法》等法律法规的相关规定，经双方友好协商一致签订本协议书，具体条款如下：</w:t>
      </w:r>
    </w:p>
    <w:p w14:paraId="594622CA">
      <w:pPr>
        <w:spacing w:line="40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一、甲方的权利和责任</w:t>
      </w:r>
    </w:p>
    <w:p w14:paraId="5BB157DF">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（一）甲方依据《中华人民共和国消防法》等相关法律规定，可定期、不定期对所辖区域进行消防检查。</w:t>
      </w:r>
    </w:p>
    <w:p w14:paraId="395CEC82">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（二）对乙方消防管理工作不到位的，甲方可要求乙方立刻或限期落实消防防范措施，情节严重经甲方认定的可单方解除与乙方的业务合作协议。</w:t>
      </w:r>
    </w:p>
    <w:p w14:paraId="78F1EC37">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（三）甲方对其本协议项下的权利与义务的行使情况，不能成为甲方承担不利后果的理由，乙方不得据此要求甲方承担责任或要求据此减轻乙方责任。</w:t>
      </w:r>
    </w:p>
    <w:p w14:paraId="6C66D341">
      <w:pPr>
        <w:spacing w:line="40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二、乙方的权利和责任</w:t>
      </w:r>
    </w:p>
    <w:p w14:paraId="7162FB23">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1、乙方应接受甲方的监督与管理，落实安全防火措施，预防火灾和遏制火灾危害，不发生火灾事故。</w:t>
      </w:r>
    </w:p>
    <w:p w14:paraId="59833205">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2、乙方应对责任区域的消防安全工作负有全部责任，并制定相关措施，确保消防安全。</w:t>
      </w:r>
    </w:p>
    <w:p w14:paraId="2DA523A4">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3、乙方应在每天下班前有专人落实消防安全检查，做到断水、断电、关窗锁门。</w:t>
      </w:r>
    </w:p>
    <w:p w14:paraId="396EDE48">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4、乙方应确保各种用电设备、仪器保持正常运转，严禁超负荷运行，严禁设备、仪器带病作业。</w:t>
      </w:r>
    </w:p>
    <w:p w14:paraId="62CEC27C">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5、乙方应在安装和修理用电设备、仪器时，由电工或专业人员进行操作并认真检验。室内电路不准擅自变动，若因工作必须变动时，必须经甲方书面批准。</w:t>
      </w:r>
    </w:p>
    <w:p w14:paraId="7FAA6F3A">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6、乙方不准私拉电力线路，未经甲方允许，不准使用大功率电器，以防火灾。</w:t>
      </w:r>
    </w:p>
    <w:p w14:paraId="69CF1648">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7、乙方不得超过原设备装裱容量和擅自增加用电。</w:t>
      </w:r>
    </w:p>
    <w:p w14:paraId="6A237737">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8、乙方对临时有需要动用明火需求的，须持相关特种作业证复印件、身份证复印件报甲方批准，在落实防范措施的情况下，方可使用。</w:t>
      </w:r>
    </w:p>
    <w:p w14:paraId="7FF90921">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9、乙方在使用易燃易爆及其它危险品时，必须提前向甲方申报备案，未经批准，禁止使用和存放。</w:t>
      </w:r>
    </w:p>
    <w:p w14:paraId="12EFEDC0">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乙方应根据实际情况配备足够的消防器材，消防器材要放置在指定地点，不准随意移动或作其他使用，不准在消防器材附近堆放任何物品。乙方要在每月对消防器材进行检查，做好检查记录，如发现失效的及时更换。</w:t>
      </w:r>
    </w:p>
    <w:p w14:paraId="1AAA6AEA">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11、乙方员工要了解并掌握消防器材的性能及使用方法。</w:t>
      </w:r>
    </w:p>
    <w:p w14:paraId="23942DAA">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12、乙方涉及改造、装修、施工，凡涉及变动原用电、用水线路及管道，或新安装线路的，应事先向甲方书面申请，并提供相关线路布置图，以备日后检查、维修。</w:t>
      </w:r>
    </w:p>
    <w:p w14:paraId="343DFD38">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13、乙方应保证消防通道的畅通，严禁占用、堵塞、封闭安全出口，影响安全消防通道的正常通行。</w:t>
      </w:r>
    </w:p>
    <w:p w14:paraId="2DAE1E83">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14、乙方应在现场作业过程中要加强对现场的监管，生产场所禁止吸烟。</w:t>
      </w:r>
    </w:p>
    <w:p w14:paraId="6D9581C5">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15、乙方严禁出现“三合一”情况，严禁擅自改变场所用途。</w:t>
      </w:r>
    </w:p>
    <w:p w14:paraId="4537FA96">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16、乙方确认乙方人员所涉本协议项下的行为，视为乙方行为，其法律效果由乙方承担。</w:t>
      </w:r>
    </w:p>
    <w:p w14:paraId="76A88A53">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三、事故处理</w:t>
      </w:r>
    </w:p>
    <w:p w14:paraId="462A0CDA">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1、因乙方未按甲方要求，或未尽乙方自身职责疏于管理及违章违法作业，发生消防事故的，乙方要承担方事故全部责任。若甲方因该事故被上级公司处罚的，乙方需承担甲方因处罚遭受的经济损失。</w:t>
      </w:r>
    </w:p>
    <w:p w14:paraId="4D1172D8">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2、如乙方消防管理不善，事故防范措施落实不力，事故、违章行为频发，甲方有权提前解除服务合同或要求乙方对相关人员进行解聘，由此产生的后果与责任均由乙方自行处理并负责。</w:t>
      </w:r>
    </w:p>
    <w:p w14:paraId="065500FF">
      <w:pPr>
        <w:spacing w:line="38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四、本协议各项规定适用于协议双方，如遇有同国家和政府有关法律、法规不符的按国家和政府的有关规定执行。</w:t>
      </w:r>
    </w:p>
    <w:p w14:paraId="634BDEC2">
      <w:pPr>
        <w:spacing w:line="40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五、本协议履行期与甲乙双方签订的主合同一致，无主合同的，在签署当年有效。</w:t>
      </w:r>
    </w:p>
    <w:p w14:paraId="1088B3ED">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六、本</w:t>
      </w:r>
      <w:r>
        <w:rPr>
          <w:rFonts w:hint="eastAsia" w:asciiTheme="minorEastAsia" w:hAnsiTheme="minorEastAsia" w:eastAsiaTheme="minorEastAsia" w:cstheme="minorEastAsia"/>
          <w:b/>
          <w:color w:val="auto"/>
          <w:sz w:val="21"/>
          <w:szCs w:val="21"/>
          <w:highlight w:val="none"/>
        </w:rPr>
        <w:t>协议书壹式</w:t>
      </w:r>
      <w:r>
        <w:rPr>
          <w:rFonts w:hint="eastAsia" w:asciiTheme="minorEastAsia" w:hAnsiTheme="minorEastAsia" w:eastAsiaTheme="minorEastAsia" w:cstheme="minorEastAsia"/>
          <w:b/>
          <w:color w:val="auto"/>
          <w:sz w:val="21"/>
          <w:szCs w:val="21"/>
          <w:highlight w:val="none"/>
          <w:lang w:val="en-US" w:eastAsia="zh-CN"/>
        </w:rPr>
        <w:t>肆</w:t>
      </w:r>
      <w:r>
        <w:rPr>
          <w:rFonts w:hint="eastAsia" w:asciiTheme="minorEastAsia" w:hAnsiTheme="minorEastAsia" w:eastAsiaTheme="minorEastAsia" w:cstheme="minorEastAsia"/>
          <w:b/>
          <w:color w:val="auto"/>
          <w:sz w:val="21"/>
          <w:szCs w:val="21"/>
          <w:highlight w:val="none"/>
        </w:rPr>
        <w:t>份，甲、乙双方各执</w:t>
      </w:r>
      <w:r>
        <w:rPr>
          <w:rFonts w:hint="eastAsia" w:asciiTheme="minorEastAsia" w:hAnsiTheme="minorEastAsia" w:eastAsiaTheme="minorEastAsia" w:cstheme="minorEastAsia"/>
          <w:b/>
          <w:color w:val="auto"/>
          <w:sz w:val="21"/>
          <w:szCs w:val="21"/>
          <w:highlight w:val="none"/>
          <w:lang w:val="en-US" w:eastAsia="zh-CN"/>
        </w:rPr>
        <w:t>贰</w:t>
      </w:r>
      <w:r>
        <w:rPr>
          <w:rFonts w:hint="eastAsia" w:asciiTheme="minorEastAsia" w:hAnsiTheme="minorEastAsia" w:eastAsiaTheme="minorEastAsia" w:cstheme="minorEastAsia"/>
          <w:b/>
          <w:color w:val="auto"/>
          <w:sz w:val="21"/>
          <w:szCs w:val="21"/>
          <w:highlight w:val="none"/>
        </w:rPr>
        <w:t>份，具有同等法律效力。</w:t>
      </w:r>
    </w:p>
    <w:p w14:paraId="1AE6641C">
      <w:pPr>
        <w:spacing w:line="400" w:lineRule="exact"/>
        <w:ind w:firstLine="422" w:firstLineChars="200"/>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rPr>
        <w:t>七、</w:t>
      </w:r>
      <w:r>
        <w:rPr>
          <w:rFonts w:hint="eastAsia" w:asciiTheme="minorEastAsia" w:hAnsiTheme="minorEastAsia" w:eastAsiaTheme="minorEastAsia" w:cstheme="minorEastAsia"/>
          <w:b/>
          <w:bCs/>
          <w:color w:val="auto"/>
          <w:sz w:val="21"/>
          <w:szCs w:val="21"/>
          <w:highlight w:val="none"/>
        </w:rPr>
        <w:t>在执行本协议过程中产生的或与本协议有关的争议及分歧，参照主合同有关争议解决的方式执行。</w:t>
      </w:r>
    </w:p>
    <w:p w14:paraId="5BA7B98E">
      <w:pPr>
        <w:spacing w:line="400" w:lineRule="exact"/>
        <w:ind w:firstLine="422" w:firstLineChars="200"/>
        <w:rPr>
          <w:rFonts w:hint="eastAsia" w:asciiTheme="minorEastAsia" w:hAnsiTheme="minorEastAsia" w:eastAsiaTheme="minorEastAsia" w:cstheme="minorEastAsia"/>
          <w:b/>
          <w:color w:val="auto"/>
          <w:sz w:val="21"/>
          <w:szCs w:val="21"/>
          <w:highlight w:val="none"/>
        </w:rPr>
      </w:pPr>
    </w:p>
    <w:p w14:paraId="46735FF8">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w:t>
      </w:r>
    </w:p>
    <w:p w14:paraId="123DF883">
      <w:pPr>
        <w:spacing w:line="280" w:lineRule="exact"/>
        <w:rPr>
          <w:rFonts w:hint="eastAsia" w:asciiTheme="minorEastAsia" w:hAnsiTheme="minorEastAsia" w:eastAsiaTheme="minorEastAsia" w:cstheme="minorEastAsia"/>
          <w:color w:val="auto"/>
          <w:sz w:val="21"/>
          <w:szCs w:val="21"/>
          <w:highlight w:val="none"/>
        </w:rPr>
      </w:pPr>
    </w:p>
    <w:p w14:paraId="44ED2E7A">
      <w:pPr>
        <w:spacing w:line="280" w:lineRule="exact"/>
        <w:rPr>
          <w:rFonts w:hint="eastAsia" w:asciiTheme="minorEastAsia" w:hAnsiTheme="minorEastAsia" w:eastAsiaTheme="minorEastAsia" w:cstheme="minorEastAsia"/>
          <w:color w:val="auto"/>
          <w:sz w:val="21"/>
          <w:szCs w:val="21"/>
          <w:highlight w:val="none"/>
        </w:rPr>
      </w:pPr>
    </w:p>
    <w:p w14:paraId="28D77E63">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甲方代表（签字）：                 乙方代表（签字）：</w:t>
      </w:r>
    </w:p>
    <w:p w14:paraId="270045C8">
      <w:pPr>
        <w:spacing w:line="280" w:lineRule="exact"/>
        <w:rPr>
          <w:rFonts w:hint="eastAsia" w:asciiTheme="minorEastAsia" w:hAnsiTheme="minorEastAsia" w:eastAsiaTheme="minorEastAsia" w:cstheme="minorEastAsia"/>
          <w:color w:val="auto"/>
          <w:sz w:val="21"/>
          <w:szCs w:val="21"/>
          <w:highlight w:val="none"/>
        </w:rPr>
      </w:pPr>
    </w:p>
    <w:p w14:paraId="133B7B4B">
      <w:pPr>
        <w:spacing w:line="280" w:lineRule="exact"/>
        <w:rPr>
          <w:rFonts w:hint="eastAsia" w:asciiTheme="minorEastAsia" w:hAnsiTheme="minorEastAsia" w:eastAsiaTheme="minorEastAsia" w:cstheme="minorEastAsia"/>
          <w:color w:val="auto"/>
          <w:sz w:val="21"/>
          <w:szCs w:val="21"/>
          <w:highlight w:val="none"/>
        </w:rPr>
      </w:pPr>
    </w:p>
    <w:p w14:paraId="0F146345">
      <w:pPr>
        <w:pStyle w:val="10"/>
        <w:spacing w:after="0"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sz w:val="21"/>
          <w:szCs w:val="21"/>
          <w:highlight w:val="none"/>
        </w:rPr>
        <w:t>签订时间：   年   月   日</w:t>
      </w:r>
      <w:r>
        <w:rPr>
          <w:rFonts w:hint="eastAsia" w:asciiTheme="minorEastAsia" w:hAnsiTheme="minorEastAsia" w:eastAsiaTheme="minorEastAsia" w:cstheme="minorEastAsia"/>
          <w:color w:val="auto"/>
          <w:sz w:val="21"/>
          <w:szCs w:val="21"/>
          <w:highlight w:val="none"/>
        </w:rPr>
        <w:t xml:space="preserve"> </w:t>
      </w:r>
    </w:p>
    <w:p w14:paraId="1C2ABA1E">
      <w:pPr>
        <w:pStyle w:val="10"/>
        <w:ind w:firstLine="240"/>
        <w:rPr>
          <w:rFonts w:hint="eastAsia" w:asciiTheme="minorEastAsia" w:hAnsiTheme="minorEastAsia" w:eastAsiaTheme="minorEastAsia" w:cstheme="minorEastAsia"/>
          <w:color w:val="auto"/>
          <w:sz w:val="21"/>
          <w:szCs w:val="21"/>
          <w:highlight w:val="none"/>
        </w:rPr>
      </w:pPr>
    </w:p>
    <w:p w14:paraId="5C64CBFD">
      <w:pPr>
        <w:pStyle w:val="10"/>
        <w:ind w:firstLine="240"/>
        <w:rPr>
          <w:rFonts w:hint="eastAsia" w:asciiTheme="minorEastAsia" w:hAnsiTheme="minorEastAsia" w:eastAsiaTheme="minorEastAsia" w:cstheme="minorEastAsia"/>
          <w:color w:val="auto"/>
          <w:sz w:val="21"/>
          <w:szCs w:val="21"/>
          <w:highlight w:val="none"/>
        </w:rPr>
      </w:pPr>
    </w:p>
    <w:p w14:paraId="701F7198">
      <w:pPr>
        <w:pStyle w:val="10"/>
        <w:ind w:firstLine="240"/>
        <w:rPr>
          <w:rFonts w:hint="eastAsia" w:asciiTheme="minorEastAsia" w:hAnsiTheme="minorEastAsia" w:eastAsiaTheme="minorEastAsia" w:cstheme="minorEastAsia"/>
          <w:color w:val="auto"/>
          <w:sz w:val="24"/>
          <w:highlight w:val="none"/>
        </w:rPr>
      </w:pPr>
    </w:p>
    <w:p w14:paraId="65C688D1">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附件5：</w:t>
      </w:r>
    </w:p>
    <w:p w14:paraId="6C2562C4">
      <w:pPr>
        <w:spacing w:line="480" w:lineRule="exact"/>
        <w:jc w:val="both"/>
        <w:rPr>
          <w:rFonts w:hint="eastAsia" w:asciiTheme="minorEastAsia" w:hAnsiTheme="minorEastAsia" w:eastAsiaTheme="minorEastAsia" w:cstheme="minorEastAsia"/>
          <w:b/>
          <w:color w:val="auto"/>
          <w:sz w:val="36"/>
          <w:szCs w:val="36"/>
          <w:highlight w:val="none"/>
          <w:lang w:eastAsia="zh-CN"/>
        </w:rPr>
      </w:pPr>
    </w:p>
    <w:p w14:paraId="454E06AA">
      <w:pPr>
        <w:spacing w:line="48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相关方入港安全告知书</w:t>
      </w:r>
    </w:p>
    <w:p w14:paraId="28F767E8">
      <w:pPr>
        <w:spacing w:line="480" w:lineRule="exact"/>
        <w:jc w:val="center"/>
        <w:rPr>
          <w:rFonts w:hint="eastAsia" w:asciiTheme="minorEastAsia" w:hAnsiTheme="minorEastAsia" w:eastAsiaTheme="minorEastAsia" w:cstheme="minorEastAsia"/>
          <w:b/>
          <w:color w:val="auto"/>
          <w:sz w:val="28"/>
          <w:szCs w:val="28"/>
          <w:highlight w:val="none"/>
        </w:rPr>
      </w:pPr>
    </w:p>
    <w:p w14:paraId="7A34D4C2">
      <w:pPr>
        <w:spacing w:line="500" w:lineRule="exact"/>
        <w:ind w:firstLine="67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为了构建良好的作业环境，保障港口生产作业的顺利进行，同时为了您的安全，请您在进入港区前仔细阅读本“安全告知书”，并严格遵守。</w:t>
      </w:r>
    </w:p>
    <w:p w14:paraId="1C807C3A">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一、严格遵守国家相关法律、法规，遵守本港区安全生产规章制度，服从港方人员指挥、管理。</w:t>
      </w:r>
    </w:p>
    <w:p w14:paraId="546F065D">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二、外来车辆、人员管理规定</w:t>
      </w:r>
    </w:p>
    <w:p w14:paraId="5453F7CB">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外来人员进入港区时必须向门卫主动出示有效证件或相关进港凭证，接受门卫检查、登记，确认后由港内对接人员引领方可入内。进入港区人员必须自备并正确穿戴安全帽和荧光警示服及其他劳动防护用品，做好个人防护。</w:t>
      </w:r>
    </w:p>
    <w:p w14:paraId="3F8A7EE5">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（2）外来人员在进入生产区前了解港区行车路线、安全规程及劳动纪律和其它安全规定并严格遵守。港区内禁止吸烟，不得撑伞。 </w:t>
      </w:r>
    </w:p>
    <w:p w14:paraId="36FC0142">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外来机动车辆必须办理来访车辆申请单后方可进入生产区，进入港区要遵守公司相关规定，严禁违停、超速行驶，港区直行限速为30公里/小时，转弯限速为5公里/小时，与本港车辆交汇需让行。外来摩托车、出租车、非机动车不得进入港区。</w:t>
      </w:r>
    </w:p>
    <w:p w14:paraId="34B73272">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（4）外来人员进入港区必须沿港区黄色人行斑马线行走。作业人员要杜绝违章作业，并服从公司安全管理人员的监督检查。</w:t>
      </w:r>
    </w:p>
    <w:p w14:paraId="630AB54A">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（5）外来车辆、外来人员只准在规定的区域内作业，不能随处乱走，禁止乱动与作业无关的设备、阀门、仪表、电气和开关等。车上人员非必要不下车。</w:t>
      </w:r>
    </w:p>
    <w:p w14:paraId="3258E127">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（6）外来人员携带物品、器具等出港必须出具有效的出门单方可出港。</w:t>
      </w:r>
    </w:p>
    <w:p w14:paraId="175BAEF6">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三、作业单位管理规定</w:t>
      </w:r>
    </w:p>
    <w:p w14:paraId="6D85678D">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（1）相关方作业单位应设立现场安全专管人员具体负责现场安全管理工作。</w:t>
      </w:r>
      <w:r>
        <w:rPr>
          <w:rFonts w:hint="eastAsia" w:asciiTheme="minorEastAsia" w:hAnsiTheme="minorEastAsia" w:eastAsiaTheme="minorEastAsia" w:cstheme="minorEastAsia"/>
          <w:bCs/>
          <w:color w:val="auto"/>
          <w:sz w:val="21"/>
          <w:szCs w:val="21"/>
          <w:highlight w:val="none"/>
        </w:rPr>
        <w:t>2米以上高空作业、临水作业或有限空间作业时，应提前向甲方报备，做好现场安全防护措施，严禁私自作业；</w:t>
      </w:r>
      <w:r>
        <w:rPr>
          <w:rFonts w:hint="eastAsia" w:asciiTheme="minorEastAsia" w:hAnsiTheme="minorEastAsia" w:eastAsiaTheme="minorEastAsia" w:cstheme="minorEastAsia"/>
          <w:color w:val="auto"/>
          <w:sz w:val="21"/>
          <w:szCs w:val="21"/>
          <w:highlight w:val="none"/>
        </w:rPr>
        <w:t>相关方作业人员严禁进入港区机械设备作业区域8米范围内，严禁人机混合作业。</w:t>
      </w:r>
    </w:p>
    <w:p w14:paraId="1BFDCD74">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（2）在港区内施工如需动火作业的，必须先向公司相关归口部门申请办理动火许可，按照有关制度执行</w:t>
      </w:r>
      <w:r>
        <w:rPr>
          <w:rFonts w:hint="eastAsia" w:asciiTheme="minorEastAsia" w:hAnsiTheme="minorEastAsia" w:eastAsiaTheme="minorEastAsia" w:cstheme="minorEastAsia"/>
          <w:bCs/>
          <w:color w:val="auto"/>
          <w:sz w:val="21"/>
          <w:szCs w:val="21"/>
          <w:highlight w:val="none"/>
        </w:rPr>
        <w:t>，做好安全防护措施，动火作业人员必须持有效证件进行作业，动火作业现场应由专人进行监管。</w:t>
      </w:r>
    </w:p>
    <w:p w14:paraId="510680C3">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（3）在港区内施工的电气设备工具用电时，必须按</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cs="宋体"/>
          <w:color w:val="auto"/>
          <w:sz w:val="21"/>
          <w:szCs w:val="21"/>
          <w:highlight w:val="none"/>
          <w:lang w:eastAsia="zh-CN"/>
        </w:rPr>
        <w:t>温州港南岳港务有限公司、温州港益嘉港务有限公司</w:t>
      </w:r>
      <w:r>
        <w:rPr>
          <w:rFonts w:hint="eastAsia" w:ascii="宋体" w:hAnsi="宋体" w:cs="宋体"/>
          <w:color w:val="auto"/>
          <w:sz w:val="21"/>
          <w:szCs w:val="21"/>
          <w:highlight w:val="none"/>
          <w:lang w:val="en-US" w:eastAsia="zh-CN"/>
        </w:rPr>
        <w:t>供用电管理办法（修订）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临时用电管理制度执行。 </w:t>
      </w:r>
    </w:p>
    <w:p w14:paraId="0290AD20">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相关方作业单位使用的机械设备必须符合国家相关要求，并取得相应的运营资格证书，操作人员必须持证作业。设备、工具如有特殊要求，如是否防爆或存在危险因素，应及时向有关部门说明，需要配合的应同有关部门及时取得联系，经许可后方可进行作业。 </w:t>
      </w:r>
    </w:p>
    <w:p w14:paraId="63BD621B">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（5）在完工后须将作业现场清理干净，恢复完好。</w:t>
      </w:r>
    </w:p>
    <w:p w14:paraId="52F50029">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四、违规处理规定</w:t>
      </w:r>
    </w:p>
    <w:p w14:paraId="1EED62FF">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（1）港内监控摄像全覆盖、道路全程测速，对违反港区规定、不服从现场管理、经指正仍不纠正的车辆及人员，港区将予以警告、扣除履约保证金、劝离等处理。</w:t>
      </w:r>
    </w:p>
    <w:p w14:paraId="4F0CDBF3">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（2）对于屡教不改、情节严重者将拉入黑名单禁止入场或送交有关执法部门处理。</w:t>
      </w:r>
    </w:p>
    <w:p w14:paraId="227ACF85">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五、港区联系电话</w:t>
      </w:r>
    </w:p>
    <w:p w14:paraId="29F5E32A">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如遇意外事件或需港区配合协调解决的事情，请立即联系</w:t>
      </w:r>
      <w:r>
        <w:rPr>
          <w:rFonts w:hint="eastAsia" w:asciiTheme="minorEastAsia" w:hAnsiTheme="minorEastAsia" w:eastAsiaTheme="minorEastAsia" w:cstheme="minorEastAsia"/>
          <w:color w:val="auto"/>
          <w:sz w:val="21"/>
          <w:szCs w:val="21"/>
          <w:highlight w:val="none"/>
          <w:lang w:eastAsia="zh-CN"/>
        </w:rPr>
        <w:t>温州港南岳港务有限公司</w:t>
      </w:r>
      <w:r>
        <w:rPr>
          <w:rFonts w:hint="eastAsia" w:asciiTheme="minorEastAsia" w:hAnsiTheme="minorEastAsia" w:eastAsiaTheme="minorEastAsia" w:cstheme="minorEastAsia"/>
          <w:color w:val="auto"/>
          <w:sz w:val="21"/>
          <w:szCs w:val="21"/>
          <w:highlight w:val="none"/>
        </w:rPr>
        <w:t>港区中控调度室（0577-55</w:t>
      </w: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z w:val="21"/>
          <w:szCs w:val="21"/>
          <w:highlight w:val="none"/>
          <w:lang w:val="en-US" w:eastAsia="zh-CN"/>
        </w:rPr>
        <w:t>10510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z w:val="21"/>
          <w:szCs w:val="21"/>
          <w:highlight w:val="none"/>
          <w:lang w:val="en-US" w:eastAsia="zh-CN"/>
        </w:rPr>
        <w:t>5110556</w:t>
      </w:r>
      <w:r>
        <w:rPr>
          <w:rFonts w:hint="eastAsia" w:asciiTheme="minorEastAsia" w:hAnsiTheme="minorEastAsia" w:eastAsiaTheme="minorEastAsia" w:cstheme="minorEastAsia"/>
          <w:color w:val="auto"/>
          <w:sz w:val="21"/>
          <w:szCs w:val="21"/>
          <w:highlight w:val="none"/>
        </w:rPr>
        <w:t>）。</w:t>
      </w:r>
    </w:p>
    <w:p w14:paraId="557C590B">
      <w:pPr>
        <w:spacing w:line="500" w:lineRule="exact"/>
        <w:ind w:firstLine="420" w:firstLineChars="200"/>
        <w:rPr>
          <w:rFonts w:hint="eastAsia" w:asciiTheme="minorEastAsia" w:hAnsiTheme="minorEastAsia" w:eastAsiaTheme="minorEastAsia" w:cstheme="minorEastAsia"/>
          <w:color w:val="auto"/>
          <w:sz w:val="21"/>
          <w:szCs w:val="21"/>
          <w:highlight w:val="none"/>
        </w:rPr>
      </w:pPr>
    </w:p>
    <w:p w14:paraId="5D3DFBFA">
      <w:pPr>
        <w:spacing w:line="36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相关方单位（个人）声明：</w:t>
      </w:r>
      <w:r>
        <w:rPr>
          <w:rFonts w:hint="eastAsia" w:asciiTheme="minorEastAsia" w:hAnsiTheme="minorEastAsia" w:eastAsiaTheme="minorEastAsia" w:cstheme="minorEastAsia"/>
          <w:color w:val="auto"/>
          <w:sz w:val="21"/>
          <w:szCs w:val="21"/>
          <w:highlight w:val="none"/>
        </w:rPr>
        <w:t>我公司对以上条款内容已完成了解和认同，如有违反而造成港区损失或带来不良影响的，我司愿意承担全部责任，现予以签字确认。</w:t>
      </w:r>
    </w:p>
    <w:p w14:paraId="654377F0">
      <w:pPr>
        <w:spacing w:line="360" w:lineRule="exact"/>
        <w:rPr>
          <w:rFonts w:hint="eastAsia" w:asciiTheme="minorEastAsia" w:hAnsiTheme="minorEastAsia" w:eastAsiaTheme="minorEastAsia" w:cstheme="minorEastAsia"/>
          <w:color w:val="auto"/>
          <w:sz w:val="21"/>
          <w:szCs w:val="21"/>
          <w:highlight w:val="none"/>
        </w:rPr>
      </w:pPr>
    </w:p>
    <w:p w14:paraId="4CAA7C4A">
      <w:pPr>
        <w:spacing w:line="360" w:lineRule="exact"/>
        <w:ind w:right="56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367F1F0D">
      <w:pPr>
        <w:spacing w:line="360" w:lineRule="exact"/>
        <w:ind w:right="56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声明人（签字盖章）： </w:t>
      </w:r>
    </w:p>
    <w:p w14:paraId="68BB6E57">
      <w:pPr>
        <w:spacing w:line="360" w:lineRule="exact"/>
        <w:ind w:right="560"/>
        <w:jc w:val="center"/>
        <w:rPr>
          <w:rFonts w:hint="eastAsia" w:asciiTheme="minorEastAsia" w:hAnsiTheme="minorEastAsia" w:eastAsiaTheme="minorEastAsia" w:cstheme="minorEastAsia"/>
          <w:color w:val="auto"/>
          <w:sz w:val="21"/>
          <w:szCs w:val="21"/>
          <w:highlight w:val="none"/>
        </w:rPr>
      </w:pPr>
    </w:p>
    <w:p w14:paraId="58F8FF7F">
      <w:pPr>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年   月   日</w:t>
      </w:r>
    </w:p>
    <w:p w14:paraId="7F2077F0">
      <w:pPr>
        <w:spacing w:line="360" w:lineRule="exact"/>
        <w:jc w:val="left"/>
        <w:rPr>
          <w:rFonts w:hint="eastAsia" w:asciiTheme="minorEastAsia" w:hAnsiTheme="minorEastAsia" w:eastAsiaTheme="minorEastAsia" w:cstheme="minorEastAsia"/>
          <w:color w:val="auto"/>
          <w:sz w:val="28"/>
          <w:szCs w:val="28"/>
          <w:highlight w:val="none"/>
        </w:rPr>
      </w:pPr>
    </w:p>
    <w:p w14:paraId="6F165B51">
      <w:pPr>
        <w:spacing w:line="440" w:lineRule="exact"/>
        <w:rPr>
          <w:rFonts w:hint="eastAsia" w:asciiTheme="minorEastAsia" w:hAnsiTheme="minorEastAsia" w:eastAsiaTheme="minorEastAsia" w:cstheme="minorEastAsia"/>
          <w:color w:val="auto"/>
          <w:highlight w:val="none"/>
        </w:rPr>
      </w:pPr>
    </w:p>
    <w:p w14:paraId="7309381A">
      <w:pPr>
        <w:spacing w:line="4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附件</w:t>
      </w:r>
      <w:r>
        <w:rPr>
          <w:rFonts w:hint="eastAsia" w:asciiTheme="minorEastAsia" w:hAnsiTheme="minorEastAsia" w:eastAsiaTheme="minorEastAsia" w:cstheme="minorEastAsia"/>
          <w:b/>
          <w:color w:val="auto"/>
          <w:sz w:val="28"/>
          <w:szCs w:val="28"/>
          <w:highlight w:val="none"/>
          <w:lang w:val="en-US" w:eastAsia="zh-CN"/>
        </w:rPr>
        <w:t>6</w:t>
      </w:r>
      <w:r>
        <w:rPr>
          <w:rFonts w:hint="eastAsia" w:asciiTheme="minorEastAsia" w:hAnsiTheme="minorEastAsia" w:eastAsiaTheme="minorEastAsia" w:cstheme="minorEastAsia"/>
          <w:b/>
          <w:color w:val="auto"/>
          <w:sz w:val="28"/>
          <w:szCs w:val="28"/>
          <w:highlight w:val="none"/>
        </w:rPr>
        <w:t>：</w:t>
      </w:r>
    </w:p>
    <w:p w14:paraId="12CF2F8B">
      <w:pPr>
        <w:spacing w:line="64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合作伙伴合规承诺书</w:t>
      </w:r>
    </w:p>
    <w:p w14:paraId="42FF62F5">
      <w:pPr>
        <w:spacing w:line="560" w:lineRule="exact"/>
        <w:rPr>
          <w:rFonts w:hint="eastAsia" w:asciiTheme="minorEastAsia" w:hAnsiTheme="minorEastAsia" w:eastAsiaTheme="minorEastAsia" w:cstheme="minorEastAsia"/>
          <w:color w:val="auto"/>
          <w:sz w:val="24"/>
          <w:highlight w:val="none"/>
        </w:rPr>
      </w:pPr>
    </w:p>
    <w:p w14:paraId="2113885F">
      <w:pPr>
        <w:spacing w:line="56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为满足</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合规管理要求，</w:t>
      </w:r>
      <w:r>
        <w:rPr>
          <w:rFonts w:hint="eastAsia" w:asciiTheme="minorEastAsia" w:hAnsiTheme="minorEastAsia" w:eastAsiaTheme="minorEastAsia" w:cstheme="minorEastAsia"/>
          <w:color w:val="auto"/>
          <w:sz w:val="21"/>
          <w:szCs w:val="21"/>
          <w:highlight w:val="none"/>
        </w:rPr>
        <w:t>规范合作伙伴</w:t>
      </w:r>
      <w:r>
        <w:rPr>
          <w:rFonts w:hint="eastAsia" w:asciiTheme="minorEastAsia" w:hAnsiTheme="minorEastAsia" w:eastAsiaTheme="minorEastAsia" w:cstheme="minorEastAsia"/>
          <w:color w:val="auto"/>
          <w:kern w:val="0"/>
          <w:sz w:val="21"/>
          <w:szCs w:val="21"/>
          <w:highlight w:val="none"/>
        </w:rPr>
        <w:t>市场交易行为，促进公平、公正交易，我方特作出以下承诺：</w:t>
      </w:r>
    </w:p>
    <w:p w14:paraId="3CE3AA7D">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1.我方理解</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合规管理需求，在合作范围内遵守</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对合作伙伴的合规管理要求。</w:t>
      </w:r>
    </w:p>
    <w:p w14:paraId="42E05E38">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2.我方具有合同订立的主体资格，具有良好的资信和履约能力，能够有效履行合同义务。</w:t>
      </w:r>
    </w:p>
    <w:p w14:paraId="35B53465">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3.我方严格遵守国家法律法规，恪守商业道德和职业道德规范，不从事并抵制任何不廉洁行为，严格履行以下合规义务：</w:t>
      </w:r>
    </w:p>
    <w:p w14:paraId="4976BDB1">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（一）我方员工严格遵守《中华人民共和国反不正当竞争法》等有关商业贿赂行为的禁止性规定，坚决抵制商业贿赂。</w:t>
      </w:r>
    </w:p>
    <w:p w14:paraId="5291379F">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（二）我方员工不得给予</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及相关单位或个人的任何不正当馈赠。</w:t>
      </w:r>
    </w:p>
    <w:p w14:paraId="6241EA0F">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（三）我方员工不得接受</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及相关单位或个人的任何不正当馈赠。</w:t>
      </w:r>
    </w:p>
    <w:p w14:paraId="60D91E0E">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（四）我方员工不得参加</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及有关单位安排的可能影响公正廉洁的宴请、旅游、考察等活动。</w:t>
      </w:r>
    </w:p>
    <w:p w14:paraId="0FFB9C60">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（五）我方员工不得从事其他可能影响廉洁商业的行为。</w:t>
      </w:r>
    </w:p>
    <w:p w14:paraId="3ADDEBDB">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4.我方坚持诚信商业行为，依法依约保守</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的商业秘密。</w:t>
      </w:r>
    </w:p>
    <w:p w14:paraId="2D136374">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5.我方严守缔约精神，全面履行合同义务，不擅自变更、中止以及不履行合同，发生影响合同履行的突发事件时将及时通知</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w:t>
      </w:r>
    </w:p>
    <w:p w14:paraId="6D123323">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6.我方同意在合同目的范围内配合</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的合规检查，不得隐瞒可能造成</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利益受损的信息。</w:t>
      </w:r>
    </w:p>
    <w:p w14:paraId="0AC02269">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7.我方承诺对本承诺书执行情况进行监督检查，我方或我方员工未遵守承诺事项，我方承诺自愿赔偿由此给</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造成的损失，或按相关合同约定承担违约责任，且</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有权终止相关合同。</w:t>
      </w:r>
    </w:p>
    <w:p w14:paraId="31498A4D">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本承诺函</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式</w:t>
      </w:r>
      <w:r>
        <w:rPr>
          <w:rFonts w:hint="eastAsia" w:asciiTheme="minorEastAsia" w:hAnsiTheme="minorEastAsia" w:eastAsiaTheme="minorEastAsia" w:cstheme="minorEastAsia"/>
          <w:color w:val="auto"/>
          <w:sz w:val="21"/>
          <w:szCs w:val="21"/>
          <w:highlight w:val="none"/>
          <w:lang w:val="en-US" w:eastAsia="zh-CN"/>
        </w:rPr>
        <w:t>肆</w:t>
      </w:r>
      <w:r>
        <w:rPr>
          <w:rFonts w:hint="eastAsia" w:asciiTheme="minorEastAsia" w:hAnsiTheme="minorEastAsia" w:eastAsiaTheme="minorEastAsia" w:cstheme="minorEastAsia"/>
          <w:color w:val="auto"/>
          <w:sz w:val="21"/>
          <w:szCs w:val="21"/>
          <w:highlight w:val="none"/>
        </w:rPr>
        <w:t>份，经承诺人签字/盖章后生效，由承诺人和</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各保留</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rPr>
        <w:t>份。</w:t>
      </w:r>
    </w:p>
    <w:p w14:paraId="09CC02D0">
      <w:pPr>
        <w:spacing w:line="560" w:lineRule="exact"/>
        <w:ind w:firstLine="5040" w:firstLineChars="2400"/>
        <w:rPr>
          <w:rFonts w:hint="eastAsia" w:asciiTheme="minorEastAsia" w:hAnsiTheme="minorEastAsia" w:eastAsiaTheme="minorEastAsia" w:cstheme="minorEastAsia"/>
          <w:color w:val="auto"/>
          <w:sz w:val="21"/>
          <w:szCs w:val="21"/>
          <w:highlight w:val="none"/>
        </w:rPr>
      </w:pPr>
    </w:p>
    <w:p w14:paraId="467A9EFF">
      <w:pPr>
        <w:spacing w:line="560" w:lineRule="exact"/>
        <w:ind w:firstLine="5040" w:firstLineChars="2400"/>
        <w:rPr>
          <w:rFonts w:hint="eastAsia" w:asciiTheme="minorEastAsia" w:hAnsiTheme="minorEastAsia" w:eastAsiaTheme="minorEastAsia" w:cstheme="minorEastAsia"/>
          <w:color w:val="auto"/>
          <w:sz w:val="21"/>
          <w:szCs w:val="21"/>
          <w:highlight w:val="none"/>
        </w:rPr>
      </w:pPr>
    </w:p>
    <w:p w14:paraId="7BBDBB05">
      <w:pPr>
        <w:spacing w:line="560" w:lineRule="exact"/>
        <w:jc w:val="center"/>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 xml:space="preserve">             承诺人（签字/盖章）：</w:t>
      </w:r>
      <w:r>
        <w:rPr>
          <w:rFonts w:hint="eastAsia" w:asciiTheme="minorEastAsia" w:hAnsiTheme="minorEastAsia" w:eastAsiaTheme="minorEastAsia" w:cstheme="minorEastAsia"/>
          <w:color w:val="auto"/>
          <w:sz w:val="21"/>
          <w:szCs w:val="21"/>
          <w:highlight w:val="none"/>
          <w:u w:val="single"/>
        </w:rPr>
        <w:t xml:space="preserve">            </w:t>
      </w:r>
    </w:p>
    <w:p w14:paraId="16A76722">
      <w:pPr>
        <w:spacing w:line="36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5C5DD206">
      <w:pPr>
        <w:ind w:firstLine="843" w:firstLineChars="4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4F4E2B80">
      <w:pPr>
        <w:rPr>
          <w:rFonts w:hint="eastAsia" w:ascii="宋体" w:hAnsi="宋体" w:eastAsia="宋体" w:cs="宋体"/>
          <w:b/>
          <w:color w:val="auto"/>
          <w:sz w:val="28"/>
          <w:szCs w:val="28"/>
          <w:highlight w:val="none"/>
        </w:rPr>
      </w:pPr>
    </w:p>
    <w:p w14:paraId="2C4DCC74">
      <w:pPr>
        <w:pStyle w:val="15"/>
        <w:snapToGrid w:val="0"/>
        <w:spacing w:before="156" w:after="156"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第六章投标文件格式</w:t>
      </w:r>
      <w:bookmarkEnd w:id="78"/>
    </w:p>
    <w:p w14:paraId="35AD3A4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（资格审查文件封面，供参考）</w:t>
      </w:r>
    </w:p>
    <w:p w14:paraId="40026409">
      <w:pPr>
        <w:kinsoku w:val="0"/>
        <w:overflowPunct w:val="0"/>
        <w:spacing w:after="156"/>
        <w:ind w:firstLine="482"/>
        <w:rPr>
          <w:rFonts w:hint="eastAsia" w:ascii="宋体" w:hAnsi="宋体" w:eastAsia="宋体" w:cs="宋体"/>
          <w:b/>
          <w:bCs/>
          <w:color w:val="auto"/>
          <w:kern w:val="0"/>
          <w:sz w:val="36"/>
          <w:highlight w:val="none"/>
        </w:rPr>
      </w:pPr>
    </w:p>
    <w:p w14:paraId="23202186">
      <w:pPr>
        <w:pStyle w:val="24"/>
        <w:rPr>
          <w:rFonts w:hint="eastAsia" w:ascii="宋体" w:hAnsi="宋体" w:eastAsia="宋体" w:cs="宋体"/>
          <w:color w:val="auto"/>
          <w:highlight w:val="none"/>
        </w:rPr>
      </w:pPr>
    </w:p>
    <w:p w14:paraId="36B16238">
      <w:pPr>
        <w:kinsoku w:val="0"/>
        <w:overflowPunct w:val="0"/>
        <w:spacing w:after="156"/>
        <w:ind w:firstLine="482"/>
        <w:rPr>
          <w:rFonts w:hint="eastAsia" w:ascii="宋体" w:hAnsi="宋体" w:eastAsia="宋体" w:cs="宋体"/>
          <w:b/>
          <w:bCs/>
          <w:color w:val="auto"/>
          <w:highlight w:val="none"/>
        </w:rPr>
      </w:pPr>
    </w:p>
    <w:p w14:paraId="7F2AB4B7">
      <w:pPr>
        <w:kinsoku w:val="0"/>
        <w:overflowPunct w:val="0"/>
        <w:spacing w:before="8" w:after="156"/>
        <w:ind w:firstLine="482"/>
        <w:rPr>
          <w:rFonts w:hint="eastAsia" w:ascii="宋体" w:hAnsi="宋体" w:eastAsia="宋体" w:cs="宋体"/>
          <w:b/>
          <w:bCs/>
          <w:color w:val="auto"/>
          <w:highlight w:val="none"/>
        </w:rPr>
      </w:pPr>
    </w:p>
    <w:p w14:paraId="681CEF30">
      <w:pPr>
        <w:tabs>
          <w:tab w:val="left" w:pos="4944"/>
        </w:tabs>
        <w:kinsoku w:val="0"/>
        <w:overflowPunct w:val="0"/>
        <w:spacing w:after="156"/>
        <w:ind w:firstLine="480"/>
        <w:jc w:val="center"/>
        <w:rPr>
          <w:rFonts w:hint="eastAsia" w:ascii="宋体" w:hAnsi="宋体" w:eastAsia="宋体" w:cs="宋体"/>
          <w:b/>
          <w:color w:val="auto"/>
          <w:sz w:val="32"/>
          <w:szCs w:val="28"/>
          <w:highlight w:val="none"/>
        </w:rPr>
      </w:pPr>
      <w:bookmarkStart w:id="79" w:name="_Hlk112924620"/>
      <w:r>
        <w:rPr>
          <w:rFonts w:hint="eastAsia" w:ascii="宋体" w:hAnsi="宋体" w:eastAsia="宋体" w:cs="宋体"/>
          <w:b/>
          <w:color w:val="auto"/>
          <w:sz w:val="32"/>
          <w:szCs w:val="28"/>
          <w:highlight w:val="none"/>
        </w:rPr>
        <w:t>投标文件（资格审查文件）</w:t>
      </w:r>
    </w:p>
    <w:bookmarkEnd w:id="79"/>
    <w:p w14:paraId="5D78CEF0">
      <w:pPr>
        <w:kinsoku w:val="0"/>
        <w:overflowPunct w:val="0"/>
        <w:spacing w:before="554" w:after="156"/>
        <w:ind w:left="376" w:right="1073" w:firstLine="482"/>
        <w:jc w:val="center"/>
        <w:rPr>
          <w:rFonts w:hint="eastAsia" w:ascii="宋体" w:hAnsi="宋体" w:eastAsia="宋体" w:cs="宋体"/>
          <w:b/>
          <w:bCs/>
          <w:color w:val="auto"/>
          <w:highlight w:val="none"/>
        </w:rPr>
      </w:pPr>
    </w:p>
    <w:p w14:paraId="09B9E6BA">
      <w:pPr>
        <w:kinsoku w:val="0"/>
        <w:overflowPunct w:val="0"/>
        <w:spacing w:after="156"/>
        <w:rPr>
          <w:rFonts w:hint="eastAsia" w:ascii="宋体" w:hAnsi="宋体" w:eastAsia="宋体" w:cs="宋体"/>
          <w:b/>
          <w:bCs/>
          <w:color w:val="auto"/>
          <w:highlight w:val="none"/>
        </w:rPr>
      </w:pPr>
    </w:p>
    <w:p w14:paraId="4890A7B6">
      <w:pPr>
        <w:kinsoku w:val="0"/>
        <w:overflowPunct w:val="0"/>
        <w:spacing w:after="156"/>
        <w:ind w:firstLine="482"/>
        <w:rPr>
          <w:rFonts w:hint="eastAsia" w:ascii="宋体" w:hAnsi="宋体" w:eastAsia="宋体" w:cs="宋体"/>
          <w:b/>
          <w:bCs/>
          <w:color w:val="auto"/>
          <w:sz w:val="28"/>
          <w:highlight w:val="none"/>
        </w:rPr>
      </w:pPr>
      <w:bookmarkStart w:id="80" w:name="_Hlk112924647"/>
    </w:p>
    <w:p w14:paraId="76D89E02">
      <w:pPr>
        <w:kinsoku w:val="0"/>
        <w:overflowPunct w:val="0"/>
        <w:spacing w:after="156"/>
        <w:ind w:firstLine="482"/>
        <w:rPr>
          <w:rFonts w:hint="eastAsia" w:ascii="宋体" w:hAnsi="宋体" w:eastAsia="宋体" w:cs="宋体"/>
          <w:color w:val="auto"/>
          <w:sz w:val="28"/>
          <w:highlight w:val="none"/>
        </w:rPr>
      </w:pPr>
      <w:r>
        <w:rPr>
          <w:rFonts w:hint="eastAsia" w:ascii="宋体" w:hAnsi="宋体" w:eastAsia="宋体" w:cs="宋体"/>
          <w:color w:val="auto"/>
          <w:sz w:val="28"/>
          <w:highlight w:val="none"/>
        </w:rPr>
        <w:t>项目编号：</w:t>
      </w:r>
    </w:p>
    <w:p w14:paraId="41F968FD">
      <w:pPr>
        <w:kinsoku w:val="0"/>
        <w:overflowPunct w:val="0"/>
        <w:spacing w:after="156"/>
        <w:ind w:firstLine="482"/>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p>
    <w:p w14:paraId="4B833577">
      <w:pPr>
        <w:kinsoku w:val="0"/>
        <w:overflowPunct w:val="0"/>
        <w:spacing w:after="156"/>
        <w:rPr>
          <w:rFonts w:hint="eastAsia" w:ascii="宋体" w:hAnsi="宋体" w:eastAsia="宋体" w:cs="宋体"/>
          <w:b/>
          <w:bCs/>
          <w:color w:val="auto"/>
          <w:sz w:val="28"/>
          <w:highlight w:val="none"/>
        </w:rPr>
      </w:pPr>
    </w:p>
    <w:p w14:paraId="10EF7FC4">
      <w:pPr>
        <w:kinsoku w:val="0"/>
        <w:overflowPunct w:val="0"/>
        <w:spacing w:after="156"/>
        <w:ind w:firstLine="482"/>
        <w:rPr>
          <w:rFonts w:hint="eastAsia" w:ascii="宋体" w:hAnsi="宋体" w:eastAsia="宋体" w:cs="宋体"/>
          <w:b/>
          <w:bCs/>
          <w:color w:val="auto"/>
          <w:sz w:val="28"/>
          <w:highlight w:val="none"/>
        </w:rPr>
      </w:pPr>
    </w:p>
    <w:p w14:paraId="60925AA3">
      <w:pPr>
        <w:kinsoku w:val="0"/>
        <w:overflowPunct w:val="0"/>
        <w:spacing w:after="156"/>
        <w:ind w:firstLine="482"/>
        <w:rPr>
          <w:rFonts w:hint="eastAsia" w:ascii="宋体" w:hAnsi="宋体" w:eastAsia="宋体" w:cs="宋体"/>
          <w:b/>
          <w:bCs/>
          <w:color w:val="auto"/>
          <w:sz w:val="28"/>
          <w:highlight w:val="none"/>
        </w:rPr>
      </w:pPr>
    </w:p>
    <w:p w14:paraId="0B521E72">
      <w:pPr>
        <w:tabs>
          <w:tab w:val="left" w:pos="5830"/>
        </w:tabs>
        <w:kinsoku w:val="0"/>
        <w:overflowPunct w:val="0"/>
        <w:spacing w:before="223" w:after="156"/>
        <w:ind w:right="521"/>
        <w:rPr>
          <w:rFonts w:hint="eastAsia" w:ascii="宋体" w:hAnsi="宋体" w:eastAsia="宋体" w:cs="宋体"/>
          <w:color w:val="auto"/>
          <w:sz w:val="28"/>
          <w:highlight w:val="none"/>
        </w:rPr>
      </w:pPr>
      <w:r>
        <w:rPr>
          <w:rFonts w:hint="eastAsia" w:ascii="宋体" w:hAnsi="宋体" w:eastAsia="宋体" w:cs="宋体"/>
          <w:color w:val="auto"/>
          <w:w w:val="95"/>
          <w:sz w:val="28"/>
          <w:highlight w:val="none"/>
        </w:rPr>
        <w:t>投标人：（盖单位章）</w:t>
      </w:r>
      <w:r>
        <w:rPr>
          <w:rFonts w:hint="eastAsia" w:ascii="宋体" w:hAnsi="宋体" w:eastAsia="宋体" w:cs="宋体"/>
          <w:color w:val="auto"/>
          <w:sz w:val="28"/>
          <w:highlight w:val="none"/>
          <w:u w:val="single"/>
        </w:rPr>
        <w:t xml:space="preserve">                  </w:t>
      </w:r>
    </w:p>
    <w:p w14:paraId="6CF29D07">
      <w:pPr>
        <w:tabs>
          <w:tab w:val="left" w:pos="9313"/>
        </w:tabs>
        <w:kinsoku w:val="0"/>
        <w:overflowPunct w:val="0"/>
        <w:spacing w:before="186" w:after="156"/>
        <w:rPr>
          <w:rFonts w:hint="eastAsia" w:ascii="宋体" w:hAnsi="宋体" w:eastAsia="宋体" w:cs="宋体"/>
          <w:color w:val="auto"/>
          <w:sz w:val="28"/>
          <w:highlight w:val="none"/>
        </w:rPr>
      </w:pPr>
      <w:bookmarkStart w:id="81" w:name="_Hlk121793416"/>
      <w:r>
        <w:rPr>
          <w:rFonts w:hint="eastAsia" w:ascii="宋体" w:hAnsi="宋体" w:eastAsia="宋体" w:cs="宋体"/>
          <w:color w:val="auto"/>
          <w:w w:val="95"/>
          <w:sz w:val="28"/>
          <w:highlight w:val="none"/>
        </w:rPr>
        <w:t>法定代表人或授权代表：（盖章或签字）</w:t>
      </w:r>
      <w:r>
        <w:rPr>
          <w:rFonts w:hint="eastAsia" w:ascii="宋体" w:hAnsi="宋体" w:eastAsia="宋体" w:cs="宋体"/>
          <w:color w:val="auto"/>
          <w:sz w:val="28"/>
          <w:highlight w:val="none"/>
          <w:u w:val="single"/>
        </w:rPr>
        <w:t xml:space="preserve">                </w:t>
      </w:r>
    </w:p>
    <w:bookmarkEnd w:id="80"/>
    <w:bookmarkEnd w:id="81"/>
    <w:p w14:paraId="637BAB98">
      <w:pPr>
        <w:kinsoku w:val="0"/>
        <w:overflowPunct w:val="0"/>
        <w:spacing w:after="156"/>
        <w:ind w:firstLine="482"/>
        <w:rPr>
          <w:rFonts w:hint="eastAsia" w:ascii="宋体" w:hAnsi="宋体" w:eastAsia="宋体" w:cs="宋体"/>
          <w:b/>
          <w:bCs/>
          <w:color w:val="auto"/>
          <w:highlight w:val="none"/>
        </w:rPr>
      </w:pPr>
    </w:p>
    <w:p w14:paraId="5519E634">
      <w:pPr>
        <w:tabs>
          <w:tab w:val="left" w:pos="9313"/>
        </w:tabs>
        <w:kinsoku w:val="0"/>
        <w:overflowPunct w:val="0"/>
        <w:spacing w:before="186" w:after="156"/>
        <w:jc w:val="center"/>
        <w:rPr>
          <w:rFonts w:hint="eastAsia" w:ascii="宋体" w:hAnsi="宋体" w:eastAsia="宋体" w:cs="宋体"/>
          <w:b/>
          <w:bCs/>
          <w:color w:val="auto"/>
          <w:w w:val="95"/>
          <w:sz w:val="28"/>
          <w:highlight w:val="none"/>
        </w:rPr>
      </w:pPr>
      <w:bookmarkStart w:id="82" w:name="_Hlk121791983"/>
      <w:r>
        <w:rPr>
          <w:rFonts w:hint="eastAsia" w:ascii="宋体" w:hAnsi="宋体" w:eastAsia="宋体" w:cs="宋体"/>
          <w:b/>
          <w:bCs/>
          <w:color w:val="auto"/>
          <w:w w:val="95"/>
          <w:sz w:val="28"/>
          <w:highlight w:val="none"/>
        </w:rPr>
        <w:t>年  月  日</w:t>
      </w:r>
    </w:p>
    <w:bookmarkEnd w:id="82"/>
    <w:p w14:paraId="0D3C9B57">
      <w:pPr>
        <w:widowControl/>
        <w:jc w:val="left"/>
        <w:rPr>
          <w:rFonts w:hint="eastAsia" w:ascii="宋体" w:hAnsi="宋体" w:eastAsia="宋体" w:cs="宋体"/>
          <w:b/>
          <w:bCs/>
          <w:color w:val="auto"/>
          <w:w w:val="95"/>
          <w:sz w:val="28"/>
          <w:highlight w:val="none"/>
        </w:rPr>
      </w:pPr>
      <w:r>
        <w:rPr>
          <w:rFonts w:hint="eastAsia" w:ascii="宋体" w:hAnsi="宋体" w:eastAsia="宋体" w:cs="宋体"/>
          <w:b/>
          <w:bCs/>
          <w:color w:val="auto"/>
          <w:w w:val="95"/>
          <w:sz w:val="28"/>
          <w:highlight w:val="none"/>
        </w:rPr>
        <w:br w:type="page"/>
      </w:r>
    </w:p>
    <w:p w14:paraId="626635AC">
      <w:pPr>
        <w:tabs>
          <w:tab w:val="left" w:pos="9313"/>
        </w:tabs>
        <w:kinsoku w:val="0"/>
        <w:overflowPunct w:val="0"/>
        <w:spacing w:before="186" w:after="156"/>
        <w:jc w:val="center"/>
        <w:rPr>
          <w:rFonts w:hint="eastAsia" w:ascii="宋体" w:hAnsi="宋体" w:eastAsia="宋体" w:cs="宋体"/>
          <w:b/>
          <w:bCs/>
          <w:color w:val="auto"/>
          <w:w w:val="95"/>
          <w:sz w:val="28"/>
          <w:highlight w:val="none"/>
        </w:rPr>
      </w:pPr>
      <w:r>
        <w:rPr>
          <w:rFonts w:hint="eastAsia" w:ascii="宋体" w:hAnsi="宋体" w:eastAsia="宋体" w:cs="宋体"/>
          <w:b/>
          <w:bCs/>
          <w:color w:val="auto"/>
          <w:w w:val="95"/>
          <w:sz w:val="28"/>
          <w:highlight w:val="none"/>
        </w:rPr>
        <w:t xml:space="preserve">  目录</w:t>
      </w:r>
    </w:p>
    <w:p w14:paraId="2E5F2C42">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针对评分细则，编制目录索引，注明评标细则项目所在投标文件页码，格式自拟</w:t>
      </w:r>
    </w:p>
    <w:p w14:paraId="561122F6">
      <w:pPr>
        <w:pStyle w:val="24"/>
        <w:spacing w:line="360" w:lineRule="auto"/>
        <w:ind w:left="0" w:leftChars="0" w:firstLine="0" w:firstLineChars="0"/>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2   法定代表人身份证明；</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3   法定代表人授权委托书；</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4   营业执照(或事业法人登记证书或其它工商等登记证明材料)；</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 xml:space="preserve">5   具有履行合同所必需的设备和专业技术能力的承诺函； </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6   具有良好的商业信誉和健全的财务会计制度的承诺函；</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7   投标人近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公司所承担业务外包范围内无1人死亡及以上安全生产责任事故（含劳务外包人员）；未被列入安全生产严重失信主体名单。</w:t>
      </w:r>
      <w:r>
        <w:rPr>
          <w:rFonts w:hint="eastAsia" w:ascii="宋体" w:hAnsi="宋体" w:eastAsia="宋体" w:cs="宋体"/>
          <w:color w:val="auto"/>
          <w:sz w:val="22"/>
          <w:szCs w:val="22"/>
          <w:highlight w:val="none"/>
        </w:rPr>
        <w:t>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8   投标人须具有海关颁发的《进出境动植物检疫除害处理单位核准证书》，且资质覆盖A、B、C三类</w:t>
      </w:r>
      <w:r>
        <w:rPr>
          <w:rFonts w:hint="eastAsia" w:ascii="宋体" w:hAnsi="宋体" w:eastAsia="宋体" w:cs="宋体"/>
          <w:snapToGrid w:val="0"/>
          <w:color w:val="auto"/>
          <w:kern w:val="0"/>
          <w:sz w:val="22"/>
          <w:szCs w:val="22"/>
          <w:highlight w:val="none"/>
        </w:rPr>
        <w:t>；</w:t>
      </w:r>
    </w:p>
    <w:p w14:paraId="1B9E3E10">
      <w:pPr>
        <w:pStyle w:val="24"/>
        <w:spacing w:line="360" w:lineRule="auto"/>
        <w:ind w:left="0" w:leftChars="0" w:firstLine="0" w:firstLineChars="0"/>
        <w:rPr>
          <w:rFonts w:hint="eastAsia" w:ascii="宋体" w:hAnsi="宋体" w:eastAsia="宋体" w:cs="宋体"/>
          <w:snapToGrid w:val="0"/>
          <w:color w:val="auto"/>
          <w:kern w:val="0"/>
          <w:sz w:val="22"/>
          <w:szCs w:val="22"/>
          <w:highlight w:val="none"/>
        </w:rPr>
      </w:pPr>
      <w:r>
        <w:rPr>
          <w:rFonts w:hint="eastAsia" w:ascii="宋体" w:hAnsi="宋体" w:cs="宋体"/>
          <w:b w:val="0"/>
          <w:bCs w:val="0"/>
          <w:color w:val="auto"/>
          <w:sz w:val="22"/>
          <w:szCs w:val="22"/>
          <w:highlight w:val="none"/>
          <w:lang w:val="en-US" w:eastAsia="zh-CN"/>
        </w:rPr>
        <w:t xml:space="preserve">9   </w:t>
      </w:r>
      <w:r>
        <w:rPr>
          <w:rFonts w:hint="eastAsia" w:ascii="宋体" w:hAnsi="宋体" w:eastAsia="宋体" w:cs="宋体"/>
          <w:b w:val="0"/>
          <w:bCs w:val="0"/>
          <w:color w:val="auto"/>
          <w:sz w:val="22"/>
          <w:szCs w:val="22"/>
          <w:highlight w:val="none"/>
          <w:lang w:val="en-US" w:eastAsia="zh-CN"/>
        </w:rPr>
        <w:t>用工规模</w:t>
      </w:r>
      <w:r>
        <w:rPr>
          <w:rFonts w:hint="eastAsia" w:ascii="宋体" w:hAnsi="宋体" w:eastAsia="宋体" w:cs="宋体"/>
          <w:color w:val="auto"/>
          <w:sz w:val="22"/>
          <w:szCs w:val="22"/>
          <w:highlight w:val="none"/>
          <w:lang w:val="en-US" w:eastAsia="zh-CN"/>
        </w:rPr>
        <w:t>：与本单位签订劳动合同（劳务协议）的服务人员</w:t>
      </w:r>
      <w:r>
        <w:rPr>
          <w:rFonts w:hint="eastAsia" w:ascii="宋体" w:hAnsi="宋体" w:eastAsia="宋体" w:cs="宋体"/>
          <w:color w:val="auto"/>
          <w:sz w:val="22"/>
          <w:szCs w:val="22"/>
          <w:highlight w:val="none"/>
          <w:lang w:bidi="ar-SA"/>
        </w:rPr>
        <w:t>不少于</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bidi="ar-SA"/>
        </w:rPr>
        <w:t>0人</w:t>
      </w:r>
      <w:r>
        <w:rPr>
          <w:rFonts w:hint="eastAsia" w:ascii="宋体" w:hAnsi="宋体" w:eastAsia="宋体" w:cs="宋体"/>
          <w:color w:val="auto"/>
          <w:sz w:val="22"/>
          <w:szCs w:val="22"/>
          <w:highlight w:val="none"/>
          <w:lang w:eastAsia="zh-CN" w:bidi="ar-SA"/>
        </w:rPr>
        <w:t>。</w:t>
      </w:r>
      <w:r>
        <w:rPr>
          <w:rFonts w:hint="eastAsia" w:ascii="宋体" w:hAnsi="宋体" w:cs="宋体"/>
          <w:color w:val="auto"/>
          <w:sz w:val="22"/>
          <w:szCs w:val="22"/>
          <w:highlight w:val="none"/>
          <w:lang w:val="en-US" w:eastAsia="zh-CN" w:bidi="ar-SA"/>
        </w:rPr>
        <w:t>提供劳动合同。</w:t>
      </w:r>
    </w:p>
    <w:p w14:paraId="3B1A2EE1">
      <w:pPr>
        <w:pStyle w:val="24"/>
        <w:ind w:left="0" w:leftChars="0" w:firstLine="0" w:firstLineChars="0"/>
        <w:rPr>
          <w:rFonts w:hint="eastAsia" w:ascii="宋体" w:hAnsi="宋体" w:eastAsia="宋体" w:cs="宋体"/>
          <w:color w:val="auto"/>
          <w:sz w:val="22"/>
          <w:szCs w:val="22"/>
          <w:highlight w:val="none"/>
        </w:rPr>
      </w:pPr>
      <w:r>
        <w:rPr>
          <w:rFonts w:hint="eastAsia" w:ascii="宋体" w:hAnsi="宋体" w:cs="宋体"/>
          <w:snapToGrid/>
          <w:color w:val="auto"/>
          <w:kern w:val="2"/>
          <w:sz w:val="22"/>
          <w:szCs w:val="22"/>
          <w:highlight w:val="none"/>
          <w:lang w:val="en-US" w:eastAsia="zh-CN"/>
        </w:rPr>
        <w:t>10</w:t>
      </w:r>
      <w:r>
        <w:rPr>
          <w:rFonts w:hint="eastAsia" w:ascii="宋体" w:hAnsi="宋体" w:eastAsia="宋体" w:cs="宋体"/>
          <w:snapToGrid w:val="0"/>
          <w:color w:val="auto"/>
          <w:kern w:val="0"/>
          <w:sz w:val="22"/>
          <w:szCs w:val="22"/>
          <w:highlight w:val="none"/>
        </w:rPr>
        <w:t xml:space="preserve">   </w:t>
      </w:r>
      <w:r>
        <w:rPr>
          <w:rFonts w:hint="eastAsia" w:ascii="宋体" w:hAnsi="宋体" w:eastAsia="宋体" w:cs="宋体"/>
          <w:color w:val="auto"/>
          <w:sz w:val="22"/>
          <w:szCs w:val="22"/>
          <w:highlight w:val="none"/>
        </w:rPr>
        <w:t>投标人认为需要提供的其他资格审查资料（如有）。</w:t>
      </w:r>
    </w:p>
    <w:p w14:paraId="5E0D9BEE">
      <w:pPr>
        <w:tabs>
          <w:tab w:val="left" w:pos="9313"/>
        </w:tabs>
        <w:kinsoku w:val="0"/>
        <w:overflowPunct w:val="0"/>
        <w:spacing w:before="186" w:after="156"/>
        <w:jc w:val="center"/>
        <w:rPr>
          <w:rFonts w:hint="eastAsia" w:ascii="宋体" w:hAnsi="宋体" w:eastAsia="宋体" w:cs="宋体"/>
          <w:b/>
          <w:bCs/>
          <w:color w:val="auto"/>
          <w:w w:val="95"/>
          <w:sz w:val="28"/>
          <w:highlight w:val="none"/>
        </w:rPr>
      </w:pPr>
    </w:p>
    <w:p w14:paraId="0BE828CA">
      <w:pPr>
        <w:widowControl/>
        <w:jc w:val="left"/>
        <w:rPr>
          <w:rFonts w:hint="eastAsia" w:ascii="宋体" w:hAnsi="宋体" w:eastAsia="宋体" w:cs="宋体"/>
          <w:color w:val="auto"/>
          <w:kern w:val="0"/>
          <w:highlight w:val="none"/>
        </w:rPr>
      </w:pPr>
      <w:r>
        <w:rPr>
          <w:rFonts w:hint="eastAsia" w:ascii="宋体" w:hAnsi="宋体" w:eastAsia="宋体" w:cs="宋体"/>
          <w:color w:val="auto"/>
          <w:highlight w:val="none"/>
        </w:rPr>
        <w:br w:type="page"/>
      </w:r>
    </w:p>
    <w:p w14:paraId="0ADD6660">
      <w:pPr>
        <w:widowControl/>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附件一-1</w:t>
      </w:r>
    </w:p>
    <w:p w14:paraId="59FDE566">
      <w:pPr>
        <w:spacing w:line="380" w:lineRule="exact"/>
        <w:jc w:val="left"/>
        <w:rPr>
          <w:rFonts w:hint="eastAsia" w:ascii="宋体" w:hAnsi="宋体" w:eastAsia="宋体" w:cs="宋体"/>
          <w:b/>
          <w:color w:val="auto"/>
          <w:sz w:val="24"/>
          <w:highlight w:val="none"/>
        </w:rPr>
      </w:pPr>
    </w:p>
    <w:p w14:paraId="2BE07003">
      <w:pPr>
        <w:spacing w:line="3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法定代表人资格证明书</w:t>
      </w:r>
    </w:p>
    <w:p w14:paraId="4E2CD25A">
      <w:pPr>
        <w:autoSpaceDE w:val="0"/>
        <w:autoSpaceDN w:val="0"/>
        <w:adjustRightInd w:val="0"/>
        <w:rPr>
          <w:rFonts w:hint="eastAsia" w:ascii="宋体" w:hAnsi="宋体" w:eastAsia="宋体" w:cs="宋体"/>
          <w:color w:val="auto"/>
          <w:kern w:val="0"/>
          <w:sz w:val="28"/>
          <w:szCs w:val="28"/>
          <w:highlight w:val="none"/>
        </w:rPr>
      </w:pPr>
    </w:p>
    <w:p w14:paraId="445CF5FF">
      <w:pPr>
        <w:spacing w:line="360" w:lineRule="auto"/>
        <w:ind w:left="-6" w:leftChars="-3" w:firstLine="480" w:firstLineChars="200"/>
        <w:rPr>
          <w:rFonts w:hint="eastAsia" w:ascii="宋体" w:hAnsi="宋体" w:eastAsia="宋体" w:cs="宋体"/>
          <w:color w:val="auto"/>
          <w:sz w:val="24"/>
          <w:highlight w:val="none"/>
        </w:rPr>
      </w:pPr>
    </w:p>
    <w:p w14:paraId="4FBC24F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单位名称：</w:t>
      </w:r>
    </w:p>
    <w:p w14:paraId="6B7AA8FA">
      <w:pPr>
        <w:spacing w:line="360" w:lineRule="auto"/>
        <w:ind w:left="-6" w:leftChars="-3"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p>
    <w:p w14:paraId="6877325E">
      <w:pPr>
        <w:spacing w:line="360" w:lineRule="auto"/>
        <w:ind w:left="-6" w:leftChars="-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14:paraId="2A080CC2">
      <w:pPr>
        <w:spacing w:line="360" w:lineRule="auto"/>
        <w:ind w:left="-6" w:leftChars="-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身份证号码：系</w:t>
      </w:r>
      <w:r>
        <w:rPr>
          <w:rFonts w:hint="eastAsia" w:ascii="宋体" w:hAnsi="宋体" w:eastAsia="宋体" w:cs="宋体"/>
          <w:color w:val="auto"/>
          <w:sz w:val="24"/>
          <w:highlight w:val="none"/>
          <w:u w:val="single"/>
        </w:rPr>
        <w:t xml:space="preserve">               （单位名称）</w:t>
      </w:r>
      <w:r>
        <w:rPr>
          <w:rFonts w:hint="eastAsia" w:ascii="宋体" w:hAnsi="宋体" w:eastAsia="宋体" w:cs="宋体"/>
          <w:color w:val="auto"/>
          <w:sz w:val="24"/>
          <w:highlight w:val="none"/>
        </w:rPr>
        <w:t>的法定代表人。</w:t>
      </w:r>
    </w:p>
    <w:p w14:paraId="51F178E4">
      <w:pPr>
        <w:spacing w:line="360" w:lineRule="auto"/>
        <w:ind w:left="-6" w:leftChars="-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09D23D8">
      <w:pPr>
        <w:spacing w:line="360" w:lineRule="auto"/>
        <w:ind w:left="4070" w:leftChars="1881" w:hanging="120" w:hangingChars="50"/>
        <w:rPr>
          <w:rFonts w:hint="eastAsia" w:ascii="宋体" w:hAnsi="宋体" w:eastAsia="宋体" w:cs="宋体"/>
          <w:color w:val="auto"/>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0A42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9" w:hRule="atLeast"/>
        </w:trPr>
        <w:tc>
          <w:tcPr>
            <w:tcW w:w="9440" w:type="dxa"/>
          </w:tcPr>
          <w:p w14:paraId="0EE1FE42">
            <w:pPr>
              <w:spacing w:line="360" w:lineRule="auto"/>
              <w:jc w:val="center"/>
              <w:rPr>
                <w:rFonts w:hint="eastAsia" w:ascii="宋体" w:hAnsi="宋体" w:eastAsia="宋体" w:cs="宋体"/>
                <w:color w:val="auto"/>
                <w:sz w:val="24"/>
                <w:highlight w:val="none"/>
              </w:rPr>
            </w:pPr>
          </w:p>
          <w:p w14:paraId="486E7B5F">
            <w:pPr>
              <w:spacing w:line="360" w:lineRule="auto"/>
              <w:jc w:val="center"/>
              <w:rPr>
                <w:rFonts w:hint="eastAsia" w:ascii="宋体" w:hAnsi="宋体" w:eastAsia="宋体" w:cs="宋体"/>
                <w:color w:val="auto"/>
                <w:sz w:val="24"/>
                <w:highlight w:val="none"/>
              </w:rPr>
            </w:pPr>
          </w:p>
          <w:p w14:paraId="77DC0C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tc>
      </w:tr>
    </w:tbl>
    <w:p w14:paraId="7692697D">
      <w:pPr>
        <w:spacing w:line="360" w:lineRule="auto"/>
        <w:ind w:left="4070" w:leftChars="1881" w:hanging="120" w:hangingChars="50"/>
        <w:rPr>
          <w:rFonts w:hint="eastAsia" w:ascii="宋体" w:hAnsi="宋体" w:eastAsia="宋体" w:cs="宋体"/>
          <w:color w:val="auto"/>
          <w:sz w:val="24"/>
          <w:highlight w:val="none"/>
        </w:rPr>
      </w:pPr>
    </w:p>
    <w:p w14:paraId="2869E4E6">
      <w:pPr>
        <w:spacing w:line="360" w:lineRule="auto"/>
        <w:ind w:left="4070" w:leftChars="1881" w:hanging="120" w:hangingChars="50"/>
        <w:rPr>
          <w:rFonts w:hint="eastAsia" w:ascii="宋体" w:hAnsi="宋体" w:eastAsia="宋体" w:cs="宋体"/>
          <w:color w:val="auto"/>
          <w:sz w:val="24"/>
          <w:highlight w:val="none"/>
        </w:rPr>
      </w:pPr>
    </w:p>
    <w:p w14:paraId="6CF1B11B">
      <w:pPr>
        <w:spacing w:line="360" w:lineRule="auto"/>
        <w:ind w:left="4070" w:leftChars="1881"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人(盖公章)：</w:t>
      </w:r>
    </w:p>
    <w:p w14:paraId="44C1E26C">
      <w:pPr>
        <w:spacing w:line="360" w:lineRule="auto"/>
        <w:ind w:left="4070" w:leftChars="1881" w:hanging="120" w:hangingChars="50"/>
        <w:rPr>
          <w:rFonts w:hint="eastAsia" w:ascii="宋体" w:hAnsi="宋体" w:eastAsia="宋体" w:cs="宋体"/>
          <w:bCs/>
          <w:color w:val="auto"/>
          <w:sz w:val="24"/>
          <w:highlight w:val="none"/>
        </w:rPr>
      </w:pPr>
    </w:p>
    <w:p w14:paraId="66C8A4CE">
      <w:pPr>
        <w:spacing w:line="360" w:lineRule="auto"/>
        <w:ind w:left="4070" w:leftChars="1881" w:hanging="120" w:hangingChars="5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日      期：  </w:t>
      </w:r>
      <w:r>
        <w:rPr>
          <w:rFonts w:hint="eastAsia" w:ascii="宋体" w:hAnsi="宋体" w:eastAsia="宋体" w:cs="宋体"/>
          <w:color w:val="auto"/>
          <w:sz w:val="24"/>
          <w:highlight w:val="none"/>
        </w:rPr>
        <w:t>年  月  日</w:t>
      </w:r>
    </w:p>
    <w:p w14:paraId="47A01A99">
      <w:pPr>
        <w:snapToGrid w:val="0"/>
        <w:spacing w:before="50" w:after="156" w:afterLines="50" w:line="360" w:lineRule="auto"/>
        <w:jc w:val="left"/>
        <w:rPr>
          <w:rFonts w:hint="eastAsia" w:ascii="宋体" w:hAnsi="宋体" w:eastAsia="宋体" w:cs="宋体"/>
          <w:b/>
          <w:color w:val="auto"/>
          <w:sz w:val="28"/>
          <w:szCs w:val="28"/>
          <w:highlight w:val="none"/>
        </w:rPr>
      </w:pPr>
    </w:p>
    <w:p w14:paraId="3F9F3A24">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F217A23">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附件一-2</w:t>
      </w:r>
    </w:p>
    <w:p w14:paraId="6DE88E83">
      <w:pPr>
        <w:snapToGrid w:val="0"/>
        <w:spacing w:before="156" w:beforeLines="50" w:after="50" w:line="360" w:lineRule="auto"/>
        <w:jc w:val="center"/>
        <w:rPr>
          <w:rFonts w:hint="eastAsia" w:ascii="宋体" w:hAnsi="宋体" w:eastAsia="宋体" w:cs="宋体"/>
          <w:b/>
          <w:color w:val="auto"/>
          <w:sz w:val="28"/>
          <w:szCs w:val="28"/>
          <w:highlight w:val="none"/>
        </w:rPr>
      </w:pPr>
      <w:bookmarkStart w:id="83" w:name="_Hlk112924962"/>
      <w:r>
        <w:rPr>
          <w:rFonts w:hint="eastAsia" w:ascii="宋体" w:hAnsi="宋体" w:eastAsia="宋体" w:cs="宋体"/>
          <w:b/>
          <w:color w:val="auto"/>
          <w:sz w:val="28"/>
          <w:szCs w:val="28"/>
          <w:highlight w:val="none"/>
        </w:rPr>
        <w:t>法定代表人授权委托书</w:t>
      </w:r>
    </w:p>
    <w:p w14:paraId="03B10013">
      <w:pPr>
        <w:snapToGrid w:val="0"/>
        <w:spacing w:before="156" w:beforeLines="50" w:after="50" w:line="360" w:lineRule="auto"/>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致：</w:t>
      </w:r>
      <w:r>
        <w:rPr>
          <w:rFonts w:hint="eastAsia" w:ascii="宋体" w:hAnsi="宋体" w:cs="宋体"/>
          <w:color w:val="auto"/>
          <w:sz w:val="24"/>
          <w:highlight w:val="none"/>
          <w:u w:val="single"/>
          <w:lang w:eastAsia="zh-CN"/>
        </w:rPr>
        <w:t>温州港南岳港务有限公司</w:t>
      </w:r>
      <w:r>
        <w:rPr>
          <w:rFonts w:hint="eastAsia" w:ascii="宋体" w:hAnsi="宋体" w:eastAsia="宋体" w:cs="宋体"/>
          <w:color w:val="auto"/>
          <w:sz w:val="24"/>
          <w:highlight w:val="none"/>
        </w:rPr>
        <w:t>：</w:t>
      </w:r>
    </w:p>
    <w:p w14:paraId="674531CD">
      <w:pPr>
        <w:snapToGrid w:val="0"/>
        <w:spacing w:before="156" w:beforeLines="50" w:after="50"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的法定代表人，现授权委托本单位在职职工</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项目</w:t>
      </w:r>
      <w:r>
        <w:rPr>
          <w:rFonts w:hint="eastAsia" w:ascii="宋体" w:hAnsi="宋体" w:eastAsia="宋体" w:cs="宋体"/>
          <w:color w:val="auto"/>
          <w:sz w:val="24"/>
          <w:highlight w:val="none"/>
        </w:rPr>
        <w:t>的投标活动，并代表我方办理针对上述项目的投标、开标、评标、签约等具体事务和签署相关文件。</w:t>
      </w:r>
    </w:p>
    <w:p w14:paraId="71C68604">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我方对被授权人的签名事项负全部责任。</w:t>
      </w:r>
    </w:p>
    <w:p w14:paraId="7E4A08A4">
      <w:pPr>
        <w:snapToGrid w:val="0"/>
        <w:spacing w:before="156" w:beforeLines="50" w:after="5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在撤销授权的书面通知以前，本授权书一直有效。</w:t>
      </w:r>
      <w:r>
        <w:rPr>
          <w:rFonts w:hint="eastAsia" w:ascii="宋体" w:hAnsi="宋体" w:eastAsia="宋体" w:cs="宋体"/>
          <w:color w:val="auto"/>
          <w:sz w:val="24"/>
          <w:highlight w:val="none"/>
        </w:rPr>
        <w:t>被授权人在授权书有效期内签署的所有文件不因授权的撤销而失效。</w:t>
      </w:r>
    </w:p>
    <w:p w14:paraId="632A1758">
      <w:pPr>
        <w:snapToGrid w:val="0"/>
        <w:spacing w:before="156" w:beforeLines="50" w:after="5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2CFED9F9">
      <w:pPr>
        <w:snapToGrid w:val="0"/>
        <w:spacing w:before="156" w:beforeLines="50" w:after="50" w:line="360" w:lineRule="auto"/>
        <w:rPr>
          <w:rFonts w:hint="eastAsia" w:ascii="宋体" w:hAnsi="宋体" w:eastAsia="宋体" w:cs="宋体"/>
          <w:color w:val="auto"/>
          <w:sz w:val="24"/>
          <w:highlight w:val="none"/>
        </w:rPr>
      </w:pPr>
    </w:p>
    <w:p w14:paraId="164D286F">
      <w:pPr>
        <w:snapToGrid w:val="0"/>
        <w:spacing w:before="156" w:beforeLines="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被授权人签名：            法定代表人签名：</w:t>
      </w:r>
    </w:p>
    <w:p w14:paraId="65CE2EE3">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职务：                    职务：</w:t>
      </w:r>
    </w:p>
    <w:p w14:paraId="54591146">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被授权人身份证号码：</w:t>
      </w:r>
    </w:p>
    <w:p w14:paraId="0A27E1FE">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 年 月 日</w:t>
      </w:r>
    </w:p>
    <w:tbl>
      <w:tblPr>
        <w:tblStyle w:val="25"/>
        <w:tblpPr w:leftFromText="180" w:rightFromText="180" w:vertAnchor="text" w:horzAnchor="margin" w:tblpXSpec="center" w:tblpY="8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7"/>
      </w:tblGrid>
      <w:tr w14:paraId="575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trPr>
        <w:tc>
          <w:tcPr>
            <w:tcW w:w="5327" w:type="dxa"/>
          </w:tcPr>
          <w:p w14:paraId="18F28765">
            <w:pPr>
              <w:spacing w:line="440" w:lineRule="exact"/>
              <w:rPr>
                <w:rFonts w:hint="eastAsia" w:ascii="宋体" w:hAnsi="宋体" w:eastAsia="宋体" w:cs="宋体"/>
                <w:color w:val="auto"/>
                <w:sz w:val="24"/>
                <w:highlight w:val="none"/>
              </w:rPr>
            </w:pPr>
          </w:p>
          <w:p w14:paraId="627DB8BC">
            <w:pPr>
              <w:spacing w:line="440" w:lineRule="exact"/>
              <w:rPr>
                <w:rFonts w:hint="eastAsia" w:ascii="宋体" w:hAnsi="宋体" w:eastAsia="宋体" w:cs="宋体"/>
                <w:color w:val="auto"/>
                <w:sz w:val="24"/>
                <w:highlight w:val="none"/>
              </w:rPr>
            </w:pPr>
          </w:p>
          <w:p w14:paraId="4D175DB7">
            <w:pPr>
              <w:spacing w:line="440" w:lineRule="exact"/>
              <w:rPr>
                <w:rFonts w:hint="eastAsia" w:ascii="宋体" w:hAnsi="宋体" w:eastAsia="宋体" w:cs="宋体"/>
                <w:color w:val="auto"/>
                <w:sz w:val="24"/>
                <w:highlight w:val="none"/>
              </w:rPr>
            </w:pPr>
          </w:p>
          <w:p w14:paraId="499941BA">
            <w:pPr>
              <w:spacing w:line="44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委托授权人身份证扫描件</w:t>
            </w:r>
          </w:p>
          <w:p w14:paraId="3BD23BEB">
            <w:pPr>
              <w:spacing w:line="440" w:lineRule="exact"/>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（粘贴处）</w:t>
            </w:r>
          </w:p>
        </w:tc>
      </w:tr>
    </w:tbl>
    <w:p w14:paraId="7919C215">
      <w:pPr>
        <w:spacing w:line="400" w:lineRule="exact"/>
        <w:ind w:firstLine="560" w:firstLineChars="200"/>
        <w:rPr>
          <w:rFonts w:hint="eastAsia" w:ascii="宋体" w:hAnsi="宋体" w:eastAsia="宋体" w:cs="宋体"/>
          <w:color w:val="auto"/>
          <w:spacing w:val="-4"/>
          <w:sz w:val="24"/>
          <w:highlight w:val="none"/>
        </w:rPr>
      </w:pPr>
      <w:r>
        <w:rPr>
          <w:rFonts w:hint="eastAsia" w:ascii="宋体" w:hAnsi="宋体" w:eastAsia="宋体" w:cs="宋体"/>
          <w:color w:val="auto"/>
          <w:sz w:val="28"/>
          <w:szCs w:val="28"/>
          <w:highlight w:val="none"/>
        </w:rPr>
        <w:br w:type="page"/>
      </w:r>
    </w:p>
    <w:bookmarkEnd w:id="83"/>
    <w:p w14:paraId="4D1F76A1">
      <w:pPr>
        <w:snapToGrid w:val="0"/>
        <w:spacing w:before="156" w:beforeLines="50" w:after="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附件一-3</w:t>
      </w:r>
    </w:p>
    <w:p w14:paraId="72B9EB65">
      <w:pPr>
        <w:spacing w:line="360" w:lineRule="auto"/>
        <w:jc w:val="center"/>
        <w:rPr>
          <w:rFonts w:hint="eastAsia" w:ascii="宋体" w:hAnsi="宋体" w:eastAsia="宋体" w:cs="宋体"/>
          <w:b/>
          <w:bCs/>
          <w:snapToGrid w:val="0"/>
          <w:color w:val="auto"/>
          <w:sz w:val="28"/>
          <w:szCs w:val="28"/>
          <w:highlight w:val="none"/>
        </w:rPr>
      </w:pPr>
      <w:r>
        <w:rPr>
          <w:rFonts w:hint="eastAsia" w:ascii="宋体" w:hAnsi="宋体" w:eastAsia="宋体" w:cs="宋体"/>
          <w:b/>
          <w:bCs/>
          <w:snapToGrid w:val="0"/>
          <w:color w:val="auto"/>
          <w:sz w:val="28"/>
          <w:szCs w:val="28"/>
          <w:highlight w:val="none"/>
        </w:rPr>
        <w:t xml:space="preserve">营业执照(或事业法人登记证书或其它工商等登记证明材料) </w:t>
      </w:r>
    </w:p>
    <w:p w14:paraId="2A9D449E">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p w14:paraId="13C30582">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47B67839">
      <w:pPr>
        <w:widowControl/>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t>2、供应商提供的相应证明材料复印件均应符合：内容完整、清晰、整洁，并由供应商加盖其单位公章。</w:t>
      </w:r>
    </w:p>
    <w:p w14:paraId="633D8793">
      <w:pPr>
        <w:widowControl/>
        <w:adjustRightInd w:val="0"/>
        <w:snapToGrid w:val="0"/>
        <w:spacing w:line="360" w:lineRule="auto"/>
        <w:jc w:val="center"/>
        <w:rPr>
          <w:rFonts w:hint="eastAsia" w:ascii="宋体" w:hAnsi="宋体" w:eastAsia="宋体" w:cs="宋体"/>
          <w:b/>
          <w:color w:val="auto"/>
          <w:sz w:val="28"/>
          <w:szCs w:val="28"/>
          <w:highlight w:val="none"/>
        </w:rPr>
      </w:pPr>
    </w:p>
    <w:p w14:paraId="59A44E92">
      <w:pPr>
        <w:widowControl/>
        <w:adjustRightInd w:val="0"/>
        <w:snapToGrid w:val="0"/>
        <w:spacing w:line="360" w:lineRule="auto"/>
        <w:jc w:val="center"/>
        <w:rPr>
          <w:rFonts w:hint="eastAsia" w:ascii="宋体" w:hAnsi="宋体" w:eastAsia="宋体" w:cs="宋体"/>
          <w:b/>
          <w:color w:val="auto"/>
          <w:sz w:val="28"/>
          <w:szCs w:val="28"/>
          <w:highlight w:val="none"/>
        </w:rPr>
      </w:pPr>
    </w:p>
    <w:p w14:paraId="74A21346">
      <w:pPr>
        <w:widowControl/>
        <w:adjustRightInd w:val="0"/>
        <w:snapToGrid w:val="0"/>
        <w:spacing w:line="360" w:lineRule="auto"/>
        <w:jc w:val="center"/>
        <w:rPr>
          <w:rFonts w:hint="eastAsia" w:ascii="宋体" w:hAnsi="宋体" w:eastAsia="宋体" w:cs="宋体"/>
          <w:b/>
          <w:color w:val="auto"/>
          <w:sz w:val="28"/>
          <w:szCs w:val="28"/>
          <w:highlight w:val="none"/>
        </w:rPr>
      </w:pPr>
    </w:p>
    <w:p w14:paraId="24431EDB">
      <w:pPr>
        <w:widowControl/>
        <w:adjustRightInd w:val="0"/>
        <w:snapToGrid w:val="0"/>
        <w:spacing w:line="360" w:lineRule="auto"/>
        <w:jc w:val="center"/>
        <w:rPr>
          <w:rFonts w:hint="eastAsia" w:ascii="宋体" w:hAnsi="宋体" w:eastAsia="宋体" w:cs="宋体"/>
          <w:b/>
          <w:color w:val="auto"/>
          <w:sz w:val="28"/>
          <w:szCs w:val="28"/>
          <w:highlight w:val="none"/>
        </w:rPr>
      </w:pPr>
    </w:p>
    <w:p w14:paraId="632EE17B">
      <w:pPr>
        <w:widowControl/>
        <w:adjustRightInd w:val="0"/>
        <w:snapToGrid w:val="0"/>
        <w:spacing w:line="360" w:lineRule="auto"/>
        <w:jc w:val="center"/>
        <w:rPr>
          <w:rFonts w:hint="eastAsia" w:ascii="宋体" w:hAnsi="宋体" w:eastAsia="宋体" w:cs="宋体"/>
          <w:b/>
          <w:color w:val="auto"/>
          <w:sz w:val="28"/>
          <w:szCs w:val="28"/>
          <w:highlight w:val="none"/>
        </w:rPr>
      </w:pPr>
    </w:p>
    <w:p w14:paraId="3F301230">
      <w:pPr>
        <w:widowControl/>
        <w:adjustRightInd w:val="0"/>
        <w:snapToGrid w:val="0"/>
        <w:spacing w:line="360" w:lineRule="auto"/>
        <w:jc w:val="center"/>
        <w:rPr>
          <w:rFonts w:hint="eastAsia" w:ascii="宋体" w:hAnsi="宋体" w:eastAsia="宋体" w:cs="宋体"/>
          <w:b/>
          <w:color w:val="auto"/>
          <w:sz w:val="28"/>
          <w:szCs w:val="28"/>
          <w:highlight w:val="none"/>
        </w:rPr>
      </w:pPr>
    </w:p>
    <w:p w14:paraId="19EC2FF6">
      <w:pPr>
        <w:widowControl/>
        <w:adjustRightInd w:val="0"/>
        <w:snapToGrid w:val="0"/>
        <w:spacing w:line="360" w:lineRule="auto"/>
        <w:jc w:val="center"/>
        <w:rPr>
          <w:rFonts w:hint="eastAsia" w:ascii="宋体" w:hAnsi="宋体" w:eastAsia="宋体" w:cs="宋体"/>
          <w:b/>
          <w:color w:val="auto"/>
          <w:sz w:val="28"/>
          <w:szCs w:val="28"/>
          <w:highlight w:val="none"/>
        </w:rPr>
      </w:pPr>
    </w:p>
    <w:p w14:paraId="6CFA8EA2">
      <w:pPr>
        <w:widowControl/>
        <w:adjustRightInd w:val="0"/>
        <w:snapToGrid w:val="0"/>
        <w:spacing w:line="360" w:lineRule="auto"/>
        <w:jc w:val="center"/>
        <w:rPr>
          <w:rFonts w:hint="eastAsia" w:ascii="宋体" w:hAnsi="宋体" w:eastAsia="宋体" w:cs="宋体"/>
          <w:b/>
          <w:color w:val="auto"/>
          <w:sz w:val="28"/>
          <w:szCs w:val="28"/>
          <w:highlight w:val="none"/>
        </w:rPr>
      </w:pPr>
    </w:p>
    <w:p w14:paraId="3AF8129A">
      <w:pPr>
        <w:widowControl/>
        <w:adjustRightInd w:val="0"/>
        <w:snapToGrid w:val="0"/>
        <w:spacing w:line="360" w:lineRule="auto"/>
        <w:jc w:val="center"/>
        <w:rPr>
          <w:rFonts w:hint="eastAsia" w:ascii="宋体" w:hAnsi="宋体" w:eastAsia="宋体" w:cs="宋体"/>
          <w:b/>
          <w:color w:val="auto"/>
          <w:sz w:val="28"/>
          <w:szCs w:val="28"/>
          <w:highlight w:val="none"/>
        </w:rPr>
      </w:pPr>
    </w:p>
    <w:p w14:paraId="39D63720">
      <w:pPr>
        <w:widowControl/>
        <w:adjustRightInd w:val="0"/>
        <w:snapToGrid w:val="0"/>
        <w:spacing w:line="360" w:lineRule="auto"/>
        <w:jc w:val="center"/>
        <w:rPr>
          <w:rFonts w:hint="eastAsia" w:ascii="宋体" w:hAnsi="宋体" w:eastAsia="宋体" w:cs="宋体"/>
          <w:b/>
          <w:color w:val="auto"/>
          <w:sz w:val="28"/>
          <w:szCs w:val="28"/>
          <w:highlight w:val="none"/>
        </w:rPr>
      </w:pPr>
    </w:p>
    <w:p w14:paraId="5955B94F">
      <w:pPr>
        <w:widowControl/>
        <w:adjustRightInd w:val="0"/>
        <w:snapToGrid w:val="0"/>
        <w:spacing w:line="360" w:lineRule="auto"/>
        <w:jc w:val="center"/>
        <w:rPr>
          <w:rFonts w:hint="eastAsia" w:ascii="宋体" w:hAnsi="宋体" w:eastAsia="宋体" w:cs="宋体"/>
          <w:b/>
          <w:color w:val="auto"/>
          <w:sz w:val="28"/>
          <w:szCs w:val="28"/>
          <w:highlight w:val="none"/>
        </w:rPr>
      </w:pPr>
    </w:p>
    <w:p w14:paraId="7668E015">
      <w:pPr>
        <w:widowControl/>
        <w:adjustRightInd w:val="0"/>
        <w:snapToGrid w:val="0"/>
        <w:spacing w:line="360" w:lineRule="auto"/>
        <w:jc w:val="center"/>
        <w:rPr>
          <w:rFonts w:hint="eastAsia" w:ascii="宋体" w:hAnsi="宋体" w:eastAsia="宋体" w:cs="宋体"/>
          <w:b/>
          <w:color w:val="auto"/>
          <w:sz w:val="28"/>
          <w:szCs w:val="28"/>
          <w:highlight w:val="none"/>
        </w:rPr>
      </w:pPr>
    </w:p>
    <w:p w14:paraId="2D04761C">
      <w:pPr>
        <w:pStyle w:val="24"/>
        <w:rPr>
          <w:rFonts w:hint="eastAsia" w:ascii="宋体" w:hAnsi="宋体" w:eastAsia="宋体" w:cs="宋体"/>
          <w:color w:val="auto"/>
          <w:highlight w:val="none"/>
        </w:rPr>
      </w:pPr>
    </w:p>
    <w:p w14:paraId="0F8E24CD">
      <w:pPr>
        <w:rPr>
          <w:rFonts w:hint="eastAsia" w:ascii="宋体" w:hAnsi="宋体" w:eastAsia="宋体" w:cs="宋体"/>
          <w:color w:val="auto"/>
          <w:highlight w:val="none"/>
        </w:rPr>
      </w:pPr>
    </w:p>
    <w:p w14:paraId="438B5B51">
      <w:pPr>
        <w:pStyle w:val="24"/>
        <w:rPr>
          <w:rFonts w:hint="eastAsia" w:ascii="宋体" w:hAnsi="宋体" w:eastAsia="宋体" w:cs="宋体"/>
          <w:color w:val="auto"/>
          <w:highlight w:val="none"/>
        </w:rPr>
      </w:pPr>
    </w:p>
    <w:p w14:paraId="1BA1BCAC">
      <w:pPr>
        <w:rPr>
          <w:rFonts w:hint="eastAsia" w:ascii="宋体" w:hAnsi="宋体" w:eastAsia="宋体" w:cs="宋体"/>
          <w:color w:val="auto"/>
          <w:highlight w:val="none"/>
        </w:rPr>
      </w:pPr>
    </w:p>
    <w:p w14:paraId="5704872A">
      <w:pPr>
        <w:pStyle w:val="24"/>
        <w:rPr>
          <w:rFonts w:hint="eastAsia" w:ascii="宋体" w:hAnsi="宋体" w:eastAsia="宋体" w:cs="宋体"/>
          <w:color w:val="auto"/>
          <w:highlight w:val="none"/>
        </w:rPr>
      </w:pPr>
    </w:p>
    <w:p w14:paraId="52F71065">
      <w:pPr>
        <w:rPr>
          <w:rFonts w:hint="eastAsia" w:ascii="宋体" w:hAnsi="宋体" w:eastAsia="宋体" w:cs="宋体"/>
          <w:color w:val="auto"/>
          <w:highlight w:val="none"/>
        </w:rPr>
      </w:pPr>
    </w:p>
    <w:p w14:paraId="74F2CDF5">
      <w:pPr>
        <w:pStyle w:val="24"/>
        <w:rPr>
          <w:rFonts w:hint="eastAsia" w:ascii="宋体" w:hAnsi="宋体" w:eastAsia="宋体" w:cs="宋体"/>
          <w:color w:val="auto"/>
          <w:highlight w:val="none"/>
        </w:rPr>
      </w:pPr>
    </w:p>
    <w:p w14:paraId="19155E87">
      <w:pPr>
        <w:snapToGrid w:val="0"/>
        <w:spacing w:before="156" w:beforeLines="50" w:after="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附件一-4</w:t>
      </w:r>
    </w:p>
    <w:p w14:paraId="5574EAED">
      <w:pPr>
        <w:widowControl/>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具有履行合同所必需的设备和专业技术能力的承诺函</w:t>
      </w:r>
    </w:p>
    <w:p w14:paraId="7547D9BD">
      <w:pPr>
        <w:widowControl/>
        <w:adjustRightInd w:val="0"/>
        <w:snapToGrid w:val="0"/>
        <w:spacing w:line="360" w:lineRule="auto"/>
        <w:jc w:val="center"/>
        <w:rPr>
          <w:rFonts w:hint="eastAsia" w:ascii="宋体" w:hAnsi="宋体" w:eastAsia="宋体" w:cs="宋体"/>
          <w:b/>
          <w:color w:val="auto"/>
          <w:kern w:val="0"/>
          <w:sz w:val="28"/>
          <w:szCs w:val="28"/>
          <w:highlight w:val="none"/>
        </w:rPr>
      </w:pPr>
    </w:p>
    <w:p w14:paraId="598098EB">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温州港南岳港务有限公司</w:t>
      </w:r>
      <w:r>
        <w:rPr>
          <w:rFonts w:hint="eastAsia" w:ascii="宋体" w:hAnsi="宋体" w:eastAsia="宋体" w:cs="宋体"/>
          <w:color w:val="auto"/>
          <w:sz w:val="22"/>
          <w:szCs w:val="22"/>
          <w:highlight w:val="none"/>
        </w:rPr>
        <w:t>：</w:t>
      </w:r>
    </w:p>
    <w:p w14:paraId="1F80F919">
      <w:pPr>
        <w:widowControl/>
        <w:adjustRightInd w:val="0"/>
        <w:snapToGrid w:val="0"/>
        <w:spacing w:line="360" w:lineRule="auto"/>
        <w:jc w:val="left"/>
        <w:rPr>
          <w:rFonts w:hint="eastAsia" w:ascii="宋体" w:hAnsi="宋体" w:eastAsia="宋体" w:cs="宋体"/>
          <w:color w:val="auto"/>
          <w:sz w:val="22"/>
          <w:szCs w:val="22"/>
          <w:highlight w:val="none"/>
        </w:rPr>
      </w:pPr>
    </w:p>
    <w:p w14:paraId="44F384BA">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（供应商）</w:t>
      </w:r>
      <w:r>
        <w:rPr>
          <w:rFonts w:hint="eastAsia" w:ascii="宋体" w:hAnsi="宋体" w:eastAsia="宋体" w:cs="宋体"/>
          <w:color w:val="auto"/>
          <w:kern w:val="0"/>
          <w:sz w:val="22"/>
          <w:szCs w:val="22"/>
          <w:highlight w:val="none"/>
        </w:rPr>
        <w:t>承诺具有履行本次</w:t>
      </w:r>
      <w:r>
        <w:rPr>
          <w:rFonts w:hint="eastAsia" w:ascii="宋体" w:hAnsi="宋体" w:eastAsia="宋体" w:cs="宋体"/>
          <w:color w:val="auto"/>
          <w:kern w:val="0"/>
          <w:sz w:val="22"/>
          <w:szCs w:val="22"/>
          <w:highlight w:val="none"/>
          <w:u w:val="single"/>
        </w:rPr>
        <w:t xml:space="preserve">    （项目编号：  ）</w:t>
      </w:r>
      <w:r>
        <w:rPr>
          <w:rFonts w:hint="eastAsia" w:ascii="宋体" w:hAnsi="宋体" w:eastAsia="宋体" w:cs="宋体"/>
          <w:color w:val="auto"/>
          <w:kern w:val="0"/>
          <w:sz w:val="22"/>
          <w:szCs w:val="22"/>
          <w:highlight w:val="none"/>
        </w:rPr>
        <w:t>合同所必需的设备和专业技术能力。如有虚假，招标人可取消我方任何资格（投标/中标/签订合同），我方对此无任何异议。</w:t>
      </w:r>
    </w:p>
    <w:p w14:paraId="1B380FF6">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p>
    <w:p w14:paraId="06BE2438">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p>
    <w:p w14:paraId="6BD810FB">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32B5DCDB">
      <w:pPr>
        <w:pStyle w:val="24"/>
        <w:ind w:firstLine="440"/>
        <w:rPr>
          <w:rFonts w:hint="eastAsia" w:ascii="宋体" w:hAnsi="宋体" w:eastAsia="宋体" w:cs="宋体"/>
          <w:color w:val="auto"/>
          <w:kern w:val="0"/>
          <w:sz w:val="22"/>
          <w:szCs w:val="22"/>
          <w:highlight w:val="none"/>
        </w:rPr>
      </w:pPr>
    </w:p>
    <w:p w14:paraId="639DD4EB">
      <w:pPr>
        <w:rPr>
          <w:rFonts w:hint="eastAsia" w:ascii="宋体" w:hAnsi="宋体" w:eastAsia="宋体" w:cs="宋体"/>
          <w:color w:val="auto"/>
          <w:sz w:val="22"/>
          <w:szCs w:val="22"/>
          <w:highlight w:val="none"/>
        </w:rPr>
      </w:pPr>
    </w:p>
    <w:p w14:paraId="4EED495A">
      <w:pPr>
        <w:snapToGrid w:val="0"/>
        <w:spacing w:before="50" w:after="156" w:afterLines="50"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投标人全称（盖章）：</w:t>
      </w:r>
    </w:p>
    <w:p w14:paraId="3988BD33">
      <w:pPr>
        <w:snapToGrid w:val="0"/>
        <w:spacing w:before="50" w:after="50"/>
        <w:ind w:right="-113" w:rightChars="-5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4EF9DCF0">
      <w:pPr>
        <w:snapToGrid w:val="0"/>
        <w:spacing w:before="50" w:after="50"/>
        <w:ind w:right="-113" w:rightChars="-54"/>
        <w:rPr>
          <w:rFonts w:hint="eastAsia" w:ascii="宋体" w:hAnsi="宋体" w:eastAsia="宋体" w:cs="宋体"/>
          <w:color w:val="auto"/>
          <w:sz w:val="22"/>
          <w:szCs w:val="22"/>
          <w:highlight w:val="none"/>
        </w:rPr>
      </w:pPr>
    </w:p>
    <w:p w14:paraId="7521636F">
      <w:pPr>
        <w:snapToGrid w:val="0"/>
        <w:spacing w:before="50" w:after="50"/>
        <w:ind w:right="-113" w:rightChars="-5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65878C53">
      <w:pPr>
        <w:snapToGrid w:val="0"/>
        <w:spacing w:before="50" w:after="156" w:afterLines="50" w:line="360" w:lineRule="auto"/>
        <w:jc w:val="left"/>
        <w:rPr>
          <w:rFonts w:hint="eastAsia" w:ascii="宋体" w:hAnsi="宋体" w:eastAsia="宋体" w:cs="宋体"/>
          <w:b/>
          <w:color w:val="auto"/>
          <w:sz w:val="28"/>
          <w:szCs w:val="28"/>
          <w:highlight w:val="none"/>
        </w:rPr>
      </w:pPr>
    </w:p>
    <w:p w14:paraId="041EA1A2">
      <w:pPr>
        <w:snapToGrid w:val="0"/>
        <w:spacing w:before="50" w:after="156" w:afterLines="50" w:line="360" w:lineRule="auto"/>
        <w:jc w:val="left"/>
        <w:rPr>
          <w:rFonts w:hint="eastAsia" w:ascii="宋体" w:hAnsi="宋体" w:eastAsia="宋体" w:cs="宋体"/>
          <w:b/>
          <w:color w:val="auto"/>
          <w:sz w:val="28"/>
          <w:szCs w:val="28"/>
          <w:highlight w:val="none"/>
        </w:rPr>
      </w:pPr>
    </w:p>
    <w:p w14:paraId="54798786">
      <w:pPr>
        <w:snapToGrid w:val="0"/>
        <w:spacing w:before="50" w:after="156" w:afterLines="50" w:line="360" w:lineRule="auto"/>
        <w:jc w:val="left"/>
        <w:rPr>
          <w:rFonts w:hint="eastAsia" w:ascii="宋体" w:hAnsi="宋体" w:eastAsia="宋体" w:cs="宋体"/>
          <w:b/>
          <w:color w:val="auto"/>
          <w:sz w:val="28"/>
          <w:szCs w:val="28"/>
          <w:highlight w:val="none"/>
        </w:rPr>
      </w:pPr>
    </w:p>
    <w:p w14:paraId="15D5D10A">
      <w:pPr>
        <w:snapToGrid w:val="0"/>
        <w:spacing w:before="50" w:after="156" w:afterLines="50" w:line="360" w:lineRule="auto"/>
        <w:jc w:val="left"/>
        <w:rPr>
          <w:rFonts w:hint="eastAsia" w:ascii="宋体" w:hAnsi="宋体" w:eastAsia="宋体" w:cs="宋体"/>
          <w:b/>
          <w:color w:val="auto"/>
          <w:sz w:val="28"/>
          <w:szCs w:val="28"/>
          <w:highlight w:val="none"/>
        </w:rPr>
      </w:pPr>
    </w:p>
    <w:p w14:paraId="0476B1FA">
      <w:pPr>
        <w:snapToGrid w:val="0"/>
        <w:spacing w:before="50" w:after="156" w:afterLines="50" w:line="360" w:lineRule="auto"/>
        <w:jc w:val="left"/>
        <w:rPr>
          <w:rFonts w:hint="eastAsia" w:ascii="宋体" w:hAnsi="宋体" w:eastAsia="宋体" w:cs="宋体"/>
          <w:b/>
          <w:color w:val="auto"/>
          <w:sz w:val="28"/>
          <w:szCs w:val="28"/>
          <w:highlight w:val="none"/>
        </w:rPr>
      </w:pPr>
    </w:p>
    <w:p w14:paraId="0B35D778">
      <w:pPr>
        <w:snapToGrid w:val="0"/>
        <w:spacing w:before="50" w:after="156" w:afterLines="50" w:line="360" w:lineRule="auto"/>
        <w:jc w:val="left"/>
        <w:rPr>
          <w:rFonts w:hint="eastAsia" w:ascii="宋体" w:hAnsi="宋体" w:eastAsia="宋体" w:cs="宋体"/>
          <w:b/>
          <w:color w:val="auto"/>
          <w:sz w:val="28"/>
          <w:szCs w:val="28"/>
          <w:highlight w:val="none"/>
        </w:rPr>
      </w:pPr>
    </w:p>
    <w:p w14:paraId="4BEE8D74">
      <w:pPr>
        <w:snapToGrid w:val="0"/>
        <w:spacing w:before="50" w:after="156" w:afterLines="50" w:line="360" w:lineRule="auto"/>
        <w:jc w:val="left"/>
        <w:rPr>
          <w:rFonts w:hint="eastAsia" w:ascii="宋体" w:hAnsi="宋体" w:eastAsia="宋体" w:cs="宋体"/>
          <w:b/>
          <w:color w:val="auto"/>
          <w:sz w:val="28"/>
          <w:szCs w:val="28"/>
          <w:highlight w:val="none"/>
        </w:rPr>
      </w:pPr>
    </w:p>
    <w:p w14:paraId="6A19E31A">
      <w:pPr>
        <w:snapToGrid w:val="0"/>
        <w:spacing w:before="50" w:after="156" w:afterLines="50" w:line="360" w:lineRule="auto"/>
        <w:jc w:val="left"/>
        <w:rPr>
          <w:rFonts w:hint="eastAsia" w:ascii="宋体" w:hAnsi="宋体" w:eastAsia="宋体" w:cs="宋体"/>
          <w:b/>
          <w:color w:val="auto"/>
          <w:sz w:val="28"/>
          <w:szCs w:val="28"/>
          <w:highlight w:val="none"/>
        </w:rPr>
      </w:pPr>
    </w:p>
    <w:p w14:paraId="21AB59E2">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66081AD">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附件一-5</w:t>
      </w:r>
    </w:p>
    <w:p w14:paraId="5E4C7B28">
      <w:pPr>
        <w:tabs>
          <w:tab w:val="left" w:pos="0"/>
          <w:tab w:val="left" w:pos="600"/>
          <w:tab w:val="left" w:pos="780"/>
        </w:tabs>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具有良好的信誉和健全的财务会计制度的承诺函</w:t>
      </w:r>
    </w:p>
    <w:p w14:paraId="6FEDB3CD">
      <w:pPr>
        <w:widowControl/>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u w:val="single"/>
          <w:lang w:eastAsia="zh-CN"/>
        </w:rPr>
        <w:t>温州港南岳港务有限公司</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 xml:space="preserve"> </w:t>
      </w:r>
    </w:p>
    <w:p w14:paraId="3E455761">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具有良好的商业信誉</w:t>
      </w:r>
      <w:r>
        <w:rPr>
          <w:rFonts w:hint="eastAsia" w:ascii="宋体" w:hAnsi="宋体" w:eastAsia="宋体" w:cs="宋体"/>
          <w:color w:val="auto"/>
          <w:sz w:val="22"/>
          <w:szCs w:val="22"/>
          <w:highlight w:val="none"/>
        </w:rPr>
        <w:t>和健全的财务会计制度</w:t>
      </w:r>
      <w:r>
        <w:rPr>
          <w:rFonts w:hint="eastAsia" w:ascii="宋体" w:hAnsi="宋体" w:eastAsia="宋体" w:cs="宋体"/>
          <w:color w:val="auto"/>
          <w:kern w:val="0"/>
          <w:sz w:val="22"/>
          <w:szCs w:val="22"/>
          <w:highlight w:val="none"/>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14:paraId="51CA3AEF">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27AB76C1">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0CCAC721">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4AACAF91">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38619B2C">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766897D">
      <w:pPr>
        <w:spacing w:line="380" w:lineRule="exact"/>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 期：  年  月  日</w:t>
      </w:r>
      <w:r>
        <w:rPr>
          <w:rFonts w:hint="eastAsia" w:ascii="宋体" w:hAnsi="宋体" w:eastAsia="宋体" w:cs="宋体"/>
          <w:b/>
          <w:bCs/>
          <w:color w:val="auto"/>
          <w:sz w:val="22"/>
          <w:szCs w:val="22"/>
          <w:highlight w:val="none"/>
        </w:rPr>
        <w:t xml:space="preserve"> </w:t>
      </w:r>
    </w:p>
    <w:p w14:paraId="51D05932">
      <w:pPr>
        <w:spacing w:line="360" w:lineRule="auto"/>
        <w:jc w:val="left"/>
        <w:rPr>
          <w:rFonts w:hint="eastAsia" w:ascii="宋体" w:hAnsi="宋体" w:eastAsia="宋体" w:cs="宋体"/>
          <w:color w:val="auto"/>
          <w:sz w:val="22"/>
          <w:szCs w:val="22"/>
          <w:highlight w:val="none"/>
        </w:rPr>
      </w:pPr>
    </w:p>
    <w:p w14:paraId="6FA432AE">
      <w:pPr>
        <w:tabs>
          <w:tab w:val="left" w:pos="2830"/>
        </w:tabs>
        <w:snapToGrid w:val="0"/>
        <w:spacing w:before="50" w:after="50" w:line="360" w:lineRule="auto"/>
        <w:rPr>
          <w:rFonts w:hint="eastAsia" w:ascii="宋体" w:hAnsi="宋体" w:eastAsia="宋体" w:cs="宋体"/>
          <w:color w:val="auto"/>
          <w:sz w:val="28"/>
          <w:szCs w:val="28"/>
          <w:highlight w:val="none"/>
        </w:rPr>
      </w:pPr>
    </w:p>
    <w:p w14:paraId="5CABD91E">
      <w:pPr>
        <w:snapToGrid w:val="0"/>
        <w:spacing w:before="50" w:after="156" w:afterLines="50" w:line="360" w:lineRule="auto"/>
        <w:jc w:val="left"/>
        <w:rPr>
          <w:rFonts w:hint="eastAsia" w:ascii="宋体" w:hAnsi="宋体" w:eastAsia="宋体" w:cs="宋体"/>
          <w:b/>
          <w:color w:val="auto"/>
          <w:sz w:val="28"/>
          <w:szCs w:val="28"/>
          <w:highlight w:val="none"/>
        </w:rPr>
      </w:pPr>
    </w:p>
    <w:p w14:paraId="46F09865">
      <w:pPr>
        <w:snapToGrid w:val="0"/>
        <w:spacing w:before="50" w:after="156" w:afterLines="50" w:line="360" w:lineRule="auto"/>
        <w:jc w:val="left"/>
        <w:rPr>
          <w:rFonts w:hint="eastAsia" w:ascii="宋体" w:hAnsi="宋体" w:eastAsia="宋体" w:cs="宋体"/>
          <w:b/>
          <w:color w:val="auto"/>
          <w:sz w:val="28"/>
          <w:szCs w:val="28"/>
          <w:highlight w:val="none"/>
        </w:rPr>
      </w:pPr>
    </w:p>
    <w:p w14:paraId="2C5BC4AC">
      <w:pPr>
        <w:snapToGrid w:val="0"/>
        <w:spacing w:before="50" w:after="156" w:afterLines="50" w:line="360" w:lineRule="auto"/>
        <w:jc w:val="left"/>
        <w:rPr>
          <w:rFonts w:hint="eastAsia" w:ascii="宋体" w:hAnsi="宋体" w:eastAsia="宋体" w:cs="宋体"/>
          <w:b/>
          <w:color w:val="auto"/>
          <w:sz w:val="28"/>
          <w:szCs w:val="28"/>
          <w:highlight w:val="none"/>
        </w:rPr>
      </w:pPr>
    </w:p>
    <w:p w14:paraId="50EA6059">
      <w:pPr>
        <w:snapToGrid w:val="0"/>
        <w:spacing w:before="50" w:after="156" w:afterLines="50" w:line="360" w:lineRule="auto"/>
        <w:jc w:val="left"/>
        <w:rPr>
          <w:rFonts w:hint="eastAsia" w:ascii="宋体" w:hAnsi="宋体" w:eastAsia="宋体" w:cs="宋体"/>
          <w:b/>
          <w:color w:val="auto"/>
          <w:sz w:val="28"/>
          <w:szCs w:val="28"/>
          <w:highlight w:val="none"/>
        </w:rPr>
      </w:pPr>
    </w:p>
    <w:p w14:paraId="672237A2">
      <w:pPr>
        <w:snapToGrid w:val="0"/>
        <w:spacing w:before="50" w:after="156" w:afterLines="50" w:line="360" w:lineRule="auto"/>
        <w:jc w:val="left"/>
        <w:rPr>
          <w:rFonts w:hint="eastAsia" w:ascii="宋体" w:hAnsi="宋体" w:eastAsia="宋体" w:cs="宋体"/>
          <w:b/>
          <w:color w:val="auto"/>
          <w:sz w:val="28"/>
          <w:szCs w:val="28"/>
          <w:highlight w:val="none"/>
        </w:rPr>
      </w:pPr>
    </w:p>
    <w:p w14:paraId="4C8FB7B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8048CC2">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附件一-6</w:t>
      </w:r>
    </w:p>
    <w:p w14:paraId="2E5B5A24">
      <w:pPr>
        <w:tabs>
          <w:tab w:val="left" w:pos="2830"/>
        </w:tabs>
        <w:snapToGrid w:val="0"/>
        <w:spacing w:before="50" w:after="50" w:line="360" w:lineRule="auto"/>
        <w:rPr>
          <w:rFonts w:hint="eastAsia" w:ascii="宋体" w:hAnsi="宋体" w:eastAsia="宋体" w:cs="宋体"/>
          <w:b/>
          <w:color w:val="auto"/>
          <w:sz w:val="22"/>
          <w:szCs w:val="22"/>
          <w:highlight w:val="none"/>
        </w:rPr>
      </w:pPr>
      <w:r>
        <w:rPr>
          <w:rFonts w:hint="eastAsia" w:ascii="宋体" w:hAnsi="宋体" w:eastAsia="宋体" w:cs="宋体"/>
          <w:color w:val="auto"/>
          <w:sz w:val="21"/>
          <w:szCs w:val="21"/>
          <w:highlight w:val="none"/>
        </w:rPr>
        <w:t>投标人近</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公司所承担业务外包范围内无1人死亡及以上安全生产责任事故（含劳务外包人员）；未被列入安全生产严重失信主体名单。</w:t>
      </w:r>
      <w:r>
        <w:rPr>
          <w:rFonts w:hint="eastAsia" w:ascii="宋体" w:hAnsi="宋体" w:eastAsia="宋体" w:cs="宋体"/>
          <w:color w:val="auto"/>
          <w:sz w:val="21"/>
          <w:szCs w:val="21"/>
          <w:highlight w:val="none"/>
        </w:rPr>
        <w:t>未被列入失信被执行人名单、重大税收违法案件当事人名单、政府采购严重违法失信行为记录名单，信用信息以信用中国网站（www.creditchina.gov.cn）、中国政府采购网（www.ccgp.gov.cn）公布为准；</w:t>
      </w:r>
    </w:p>
    <w:p w14:paraId="66F29852">
      <w:pPr>
        <w:spacing w:before="156" w:beforeLines="50" w:after="156" w:afterLines="50" w:line="400" w:lineRule="exact"/>
        <w:rPr>
          <w:rFonts w:hint="eastAsia" w:ascii="宋体" w:hAnsi="宋体" w:eastAsia="宋体" w:cs="宋体"/>
          <w:color w:val="auto"/>
          <w:sz w:val="28"/>
          <w:szCs w:val="28"/>
          <w:highlight w:val="none"/>
        </w:rPr>
      </w:pPr>
    </w:p>
    <w:p w14:paraId="06FB5D22">
      <w:pPr>
        <w:snapToGrid w:val="0"/>
        <w:spacing w:before="50" w:after="156" w:afterLines="50" w:line="360" w:lineRule="auto"/>
        <w:jc w:val="left"/>
        <w:rPr>
          <w:rFonts w:hint="eastAsia" w:ascii="宋体" w:hAnsi="宋体" w:eastAsia="宋体" w:cs="宋体"/>
          <w:b/>
          <w:color w:val="auto"/>
          <w:sz w:val="28"/>
          <w:szCs w:val="28"/>
          <w:highlight w:val="none"/>
        </w:rPr>
      </w:pPr>
    </w:p>
    <w:p w14:paraId="1DDF9EBD">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51C60A3">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附件一-7</w:t>
      </w:r>
    </w:p>
    <w:p w14:paraId="50FE2099">
      <w:pPr>
        <w:widowControl/>
        <w:ind w:firstLine="482" w:firstLineChars="200"/>
        <w:jc w:val="left"/>
        <w:rPr>
          <w:rFonts w:hint="eastAsia" w:ascii="宋体" w:hAnsi="宋体" w:eastAsia="宋体" w:cs="宋体"/>
          <w:color w:val="auto"/>
          <w:highlight w:val="none"/>
        </w:rPr>
      </w:pPr>
      <w:r>
        <w:rPr>
          <w:rFonts w:hint="eastAsia" w:ascii="宋体" w:hAnsi="宋体" w:eastAsia="宋体" w:cs="宋体"/>
          <w:b/>
          <w:color w:val="auto"/>
          <w:kern w:val="0"/>
          <w:sz w:val="24"/>
          <w:highlight w:val="none"/>
        </w:rPr>
        <w:t>投标人须具有海关颁发的《进出境动植物检疫除害处理单位核准证书》，且资质覆盖A、B、C三类；</w:t>
      </w:r>
      <w:r>
        <w:rPr>
          <w:rFonts w:hint="eastAsia" w:ascii="宋体" w:hAnsi="宋体" w:eastAsia="宋体" w:cs="宋体"/>
          <w:b/>
          <w:color w:val="auto"/>
          <w:kern w:val="0"/>
          <w:sz w:val="24"/>
          <w:highlight w:val="none"/>
        </w:rPr>
        <w:br w:type="page"/>
      </w:r>
    </w:p>
    <w:p w14:paraId="31B1B047">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（商务技术标封面，供参考）</w:t>
      </w:r>
    </w:p>
    <w:p w14:paraId="4DB53F0F">
      <w:pPr>
        <w:kinsoku w:val="0"/>
        <w:overflowPunct w:val="0"/>
        <w:spacing w:after="156"/>
        <w:ind w:firstLine="482"/>
        <w:rPr>
          <w:rFonts w:hint="eastAsia" w:asciiTheme="minorEastAsia" w:hAnsiTheme="minorEastAsia" w:eastAsiaTheme="minorEastAsia" w:cstheme="minorEastAsia"/>
          <w:b/>
          <w:bCs/>
          <w:color w:val="auto"/>
          <w:kern w:val="0"/>
          <w:sz w:val="36"/>
          <w:highlight w:val="none"/>
        </w:rPr>
      </w:pPr>
    </w:p>
    <w:p w14:paraId="08893AAB">
      <w:pPr>
        <w:pStyle w:val="24"/>
        <w:rPr>
          <w:rFonts w:hint="eastAsia" w:asciiTheme="minorEastAsia" w:hAnsiTheme="minorEastAsia" w:eastAsiaTheme="minorEastAsia" w:cstheme="minorEastAsia"/>
          <w:color w:val="auto"/>
          <w:highlight w:val="none"/>
        </w:rPr>
      </w:pPr>
    </w:p>
    <w:p w14:paraId="276DCF00">
      <w:pPr>
        <w:kinsoku w:val="0"/>
        <w:overflowPunct w:val="0"/>
        <w:spacing w:after="156"/>
        <w:ind w:firstLine="482"/>
        <w:rPr>
          <w:rFonts w:hint="eastAsia" w:asciiTheme="minorEastAsia" w:hAnsiTheme="minorEastAsia" w:eastAsiaTheme="minorEastAsia" w:cstheme="minorEastAsia"/>
          <w:b/>
          <w:bCs/>
          <w:color w:val="auto"/>
          <w:highlight w:val="none"/>
        </w:rPr>
      </w:pPr>
    </w:p>
    <w:p w14:paraId="45453D15">
      <w:pPr>
        <w:kinsoku w:val="0"/>
        <w:overflowPunct w:val="0"/>
        <w:spacing w:before="8" w:after="156"/>
        <w:ind w:firstLine="482"/>
        <w:rPr>
          <w:rFonts w:hint="eastAsia" w:asciiTheme="minorEastAsia" w:hAnsiTheme="minorEastAsia" w:eastAsiaTheme="minorEastAsia" w:cstheme="minorEastAsia"/>
          <w:b/>
          <w:bCs/>
          <w:color w:val="auto"/>
          <w:highlight w:val="none"/>
        </w:rPr>
      </w:pPr>
    </w:p>
    <w:p w14:paraId="2841FE13">
      <w:pPr>
        <w:tabs>
          <w:tab w:val="left" w:pos="4944"/>
        </w:tabs>
        <w:kinsoku w:val="0"/>
        <w:overflowPunct w:val="0"/>
        <w:spacing w:after="156"/>
        <w:ind w:firstLine="480"/>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投标文件（商务技术标）</w:t>
      </w:r>
    </w:p>
    <w:p w14:paraId="14C65A01">
      <w:pPr>
        <w:kinsoku w:val="0"/>
        <w:overflowPunct w:val="0"/>
        <w:spacing w:before="554" w:after="156"/>
        <w:ind w:left="376" w:right="1073" w:firstLine="482"/>
        <w:jc w:val="center"/>
        <w:rPr>
          <w:rFonts w:hint="eastAsia" w:asciiTheme="minorEastAsia" w:hAnsiTheme="minorEastAsia" w:eastAsiaTheme="minorEastAsia" w:cstheme="minorEastAsia"/>
          <w:b/>
          <w:bCs/>
          <w:color w:val="auto"/>
          <w:highlight w:val="none"/>
        </w:rPr>
      </w:pPr>
    </w:p>
    <w:p w14:paraId="17C3B0FB">
      <w:pPr>
        <w:kinsoku w:val="0"/>
        <w:overflowPunct w:val="0"/>
        <w:spacing w:after="156"/>
        <w:rPr>
          <w:rFonts w:hint="eastAsia" w:asciiTheme="minorEastAsia" w:hAnsiTheme="minorEastAsia" w:eastAsiaTheme="minorEastAsia" w:cstheme="minorEastAsia"/>
          <w:b/>
          <w:bCs/>
          <w:color w:val="auto"/>
          <w:highlight w:val="none"/>
        </w:rPr>
      </w:pPr>
    </w:p>
    <w:p w14:paraId="608AFDD3">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45F22A0C">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项目编号：</w:t>
      </w:r>
    </w:p>
    <w:p w14:paraId="73393024">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项目名称：</w:t>
      </w:r>
    </w:p>
    <w:p w14:paraId="2D422E16">
      <w:pPr>
        <w:kinsoku w:val="0"/>
        <w:overflowPunct w:val="0"/>
        <w:spacing w:after="156"/>
        <w:rPr>
          <w:rFonts w:hint="eastAsia" w:asciiTheme="minorEastAsia" w:hAnsiTheme="minorEastAsia" w:eastAsiaTheme="minorEastAsia" w:cstheme="minorEastAsia"/>
          <w:b/>
          <w:bCs/>
          <w:color w:val="auto"/>
          <w:sz w:val="28"/>
          <w:highlight w:val="none"/>
        </w:rPr>
      </w:pPr>
    </w:p>
    <w:p w14:paraId="47F00B3D">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5706D961">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3B2B47AF">
      <w:pPr>
        <w:tabs>
          <w:tab w:val="left" w:pos="5830"/>
        </w:tabs>
        <w:kinsoku w:val="0"/>
        <w:overflowPunct w:val="0"/>
        <w:spacing w:before="223" w:after="156"/>
        <w:ind w:right="521"/>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投标人：（盖单位章）</w:t>
      </w:r>
      <w:r>
        <w:rPr>
          <w:rFonts w:hint="eastAsia" w:asciiTheme="minorEastAsia" w:hAnsiTheme="minorEastAsia" w:eastAsiaTheme="minorEastAsia" w:cstheme="minorEastAsia"/>
          <w:color w:val="auto"/>
          <w:sz w:val="28"/>
          <w:highlight w:val="none"/>
          <w:u w:val="single"/>
        </w:rPr>
        <w:t xml:space="preserve">                  </w:t>
      </w:r>
    </w:p>
    <w:p w14:paraId="4F00E924">
      <w:pPr>
        <w:tabs>
          <w:tab w:val="left" w:pos="9313"/>
        </w:tabs>
        <w:kinsoku w:val="0"/>
        <w:overflowPunct w:val="0"/>
        <w:spacing w:before="186" w:after="156"/>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法定代表人或授权代表：（盖章或签字）</w:t>
      </w:r>
      <w:r>
        <w:rPr>
          <w:rFonts w:hint="eastAsia" w:asciiTheme="minorEastAsia" w:hAnsiTheme="minorEastAsia" w:eastAsiaTheme="minorEastAsia" w:cstheme="minorEastAsia"/>
          <w:color w:val="auto"/>
          <w:sz w:val="28"/>
          <w:highlight w:val="none"/>
          <w:u w:val="single"/>
        </w:rPr>
        <w:t xml:space="preserve">                </w:t>
      </w:r>
    </w:p>
    <w:p w14:paraId="4304EA30">
      <w:pPr>
        <w:kinsoku w:val="0"/>
        <w:overflowPunct w:val="0"/>
        <w:spacing w:after="156"/>
        <w:ind w:firstLine="482"/>
        <w:rPr>
          <w:rFonts w:hint="eastAsia" w:asciiTheme="minorEastAsia" w:hAnsiTheme="minorEastAsia" w:eastAsiaTheme="minorEastAsia" w:cstheme="minorEastAsia"/>
          <w:b/>
          <w:bCs/>
          <w:color w:val="auto"/>
          <w:highlight w:val="none"/>
        </w:rPr>
      </w:pPr>
    </w:p>
    <w:p w14:paraId="4638472C">
      <w:pPr>
        <w:tabs>
          <w:tab w:val="left" w:pos="9313"/>
        </w:tabs>
        <w:kinsoku w:val="0"/>
        <w:overflowPunct w:val="0"/>
        <w:spacing w:before="186" w:after="156"/>
        <w:jc w:val="center"/>
        <w:rPr>
          <w:rFonts w:hint="eastAsia" w:asciiTheme="minorEastAsia" w:hAnsiTheme="minorEastAsia" w:eastAsiaTheme="minorEastAsia" w:cstheme="minorEastAsia"/>
          <w:b/>
          <w:bCs/>
          <w:color w:val="auto"/>
          <w:w w:val="95"/>
          <w:sz w:val="28"/>
          <w:highlight w:val="none"/>
        </w:rPr>
      </w:pPr>
      <w:r>
        <w:rPr>
          <w:rFonts w:hint="eastAsia" w:asciiTheme="minorEastAsia" w:hAnsiTheme="minorEastAsia" w:eastAsiaTheme="minorEastAsia" w:cstheme="minorEastAsia"/>
          <w:b/>
          <w:bCs/>
          <w:color w:val="auto"/>
          <w:w w:val="95"/>
          <w:sz w:val="28"/>
          <w:highlight w:val="none"/>
        </w:rPr>
        <w:t>年  月  日</w:t>
      </w:r>
    </w:p>
    <w:p w14:paraId="58F0790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FF723DD">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附件二</w:t>
      </w:r>
    </w:p>
    <w:p w14:paraId="22769B75">
      <w:pPr>
        <w:adjustRightInd w:val="0"/>
        <w:snapToGrid w:val="0"/>
        <w:spacing w:before="156" w:beforeLines="50" w:after="156" w:afterLines="50" w:line="500" w:lineRule="exact"/>
        <w:jc w:val="center"/>
        <w:rPr>
          <w:rFonts w:hint="eastAsia" w:ascii="宋体" w:hAnsi="宋体" w:eastAsia="宋体" w:cs="宋体"/>
          <w:color w:val="auto"/>
          <w:kern w:val="0"/>
          <w:sz w:val="32"/>
          <w:highlight w:val="none"/>
        </w:rPr>
      </w:pPr>
      <w:r>
        <w:rPr>
          <w:rFonts w:hint="eastAsia" w:ascii="宋体" w:hAnsi="宋体" w:eastAsia="宋体" w:cs="宋体"/>
          <w:color w:val="auto"/>
          <w:kern w:val="0"/>
          <w:sz w:val="32"/>
          <w:highlight w:val="none"/>
        </w:rPr>
        <w:t>投标函</w:t>
      </w:r>
    </w:p>
    <w:p w14:paraId="2927F6B1">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u w:val="single"/>
          <w:lang w:eastAsia="zh-CN"/>
        </w:rPr>
        <w:t>温州港南岳港务有限公司</w:t>
      </w:r>
      <w:r>
        <w:rPr>
          <w:rFonts w:hint="eastAsia" w:ascii="宋体" w:hAnsi="宋体" w:eastAsia="宋体" w:cs="宋体"/>
          <w:color w:val="auto"/>
          <w:sz w:val="22"/>
          <w:szCs w:val="22"/>
          <w:highlight w:val="none"/>
          <w:u w:val="single"/>
        </w:rPr>
        <w:t>：</w:t>
      </w:r>
    </w:p>
    <w:p w14:paraId="2B4CC5C6">
      <w:pPr>
        <w:spacing w:line="40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项目    </w:t>
      </w: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（投标人名称）</w:t>
      </w:r>
      <w:r>
        <w:rPr>
          <w:rFonts w:hint="eastAsia" w:ascii="宋体" w:hAnsi="宋体" w:eastAsia="宋体" w:cs="宋体"/>
          <w:color w:val="auto"/>
          <w:sz w:val="22"/>
          <w:szCs w:val="22"/>
          <w:highlight w:val="none"/>
        </w:rPr>
        <w:t>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（授权代表全名）代表我方处理有关本投标的一切事宜。</w:t>
      </w:r>
    </w:p>
    <w:p w14:paraId="5E44D375">
      <w:pPr>
        <w:snapToGrid w:val="0"/>
        <w:spacing w:line="400" w:lineRule="exact"/>
        <w:ind w:left="-13" w:leftChars="-6" w:firstLine="462" w:firstLineChars="2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（一）本投标文件的有效期自投标截止日起</w:t>
      </w:r>
      <w:r>
        <w:rPr>
          <w:rFonts w:hint="eastAsia" w:ascii="宋体" w:hAnsi="宋体" w:eastAsia="宋体" w:cs="宋体"/>
          <w:b/>
          <w:color w:val="auto"/>
          <w:sz w:val="22"/>
          <w:szCs w:val="22"/>
          <w:highlight w:val="none"/>
          <w:u w:val="single"/>
        </w:rPr>
        <w:t xml:space="preserve"> 90  </w:t>
      </w:r>
      <w:r>
        <w:rPr>
          <w:rFonts w:hint="eastAsia" w:ascii="宋体" w:hAnsi="宋体" w:eastAsia="宋体" w:cs="宋体"/>
          <w:color w:val="auto"/>
          <w:sz w:val="22"/>
          <w:szCs w:val="22"/>
          <w:highlight w:val="none"/>
        </w:rPr>
        <w:t>天内有效，如中标，有效期将延至合同终止日为止；</w:t>
      </w:r>
    </w:p>
    <w:p w14:paraId="6A04FD7F">
      <w:pPr>
        <w:snapToGrid w:val="0"/>
        <w:spacing w:line="400" w:lineRule="exact"/>
        <w:ind w:left="-13" w:leftChars="-6" w:firstLine="462" w:firstLineChars="2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49DBB24B">
      <w:pPr>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（三）我方同意提供按照贵方可能要求的与投标有关的一切数据或资料；</w:t>
      </w:r>
    </w:p>
    <w:p w14:paraId="30475B37">
      <w:pPr>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（四）我方理解贵方不一定接受最低报价。</w:t>
      </w:r>
    </w:p>
    <w:p w14:paraId="58B8C3FC">
      <w:pPr>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（五）我方如果中标，将保证履行招标文件以及招标补充文件（如有）中的全部责任和义务，按质、按量、按期完成《合同书》中的全部任务。</w:t>
      </w:r>
    </w:p>
    <w:p w14:paraId="172F343E">
      <w:pPr>
        <w:autoSpaceDE w:val="0"/>
        <w:autoSpaceDN w:val="0"/>
        <w:adjustRightInd w:val="0"/>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（六）</w:t>
      </w:r>
      <w:r>
        <w:rPr>
          <w:rFonts w:hint="eastAsia" w:ascii="宋体" w:hAnsi="宋体" w:eastAsia="宋体" w:cs="宋体"/>
          <w:color w:val="auto"/>
          <w:sz w:val="22"/>
          <w:szCs w:val="22"/>
          <w:highlight w:val="none"/>
          <w:lang w:val="zh-CN"/>
        </w:rPr>
        <w:t>利益冲突：近三年内直至目前，我公司与本项目的招标人、招标组织机构没有任何的隶属关系。</w:t>
      </w:r>
    </w:p>
    <w:p w14:paraId="47DFB3E0">
      <w:pPr>
        <w:snapToGrid w:val="0"/>
        <w:spacing w:line="400" w:lineRule="exact"/>
        <w:ind w:left="-13" w:leftChars="-6" w:firstLine="462" w:firstLineChars="21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（七）所有与本投标有关的函件请发往下列地址：</w:t>
      </w:r>
    </w:p>
    <w:p w14:paraId="535BF951">
      <w:pPr>
        <w:spacing w:line="40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地址</w:t>
      </w:r>
    </w:p>
    <w:p w14:paraId="43AB2213">
      <w:pPr>
        <w:spacing w:line="40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w:t>
      </w:r>
    </w:p>
    <w:p w14:paraId="79DCAC41">
      <w:pPr>
        <w:spacing w:line="40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   传真</w:t>
      </w:r>
    </w:p>
    <w:p w14:paraId="7E7B73AB">
      <w:pPr>
        <w:spacing w:line="400" w:lineRule="exact"/>
        <w:ind w:firstLine="770" w:firstLineChars="3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电子邮件</w:t>
      </w:r>
    </w:p>
    <w:p w14:paraId="6E510124">
      <w:pPr>
        <w:widowControl/>
        <w:adjustRightInd w:val="0"/>
        <w:snapToGrid w:val="0"/>
        <w:spacing w:line="360" w:lineRule="auto"/>
        <w:ind w:firstLine="440" w:firstLineChars="200"/>
        <w:jc w:val="center"/>
        <w:rPr>
          <w:rFonts w:hint="eastAsia" w:ascii="宋体" w:hAnsi="宋体" w:eastAsia="宋体" w:cs="宋体"/>
          <w:color w:val="auto"/>
          <w:kern w:val="0"/>
          <w:sz w:val="22"/>
          <w:szCs w:val="22"/>
          <w:highlight w:val="none"/>
        </w:rPr>
      </w:pPr>
    </w:p>
    <w:p w14:paraId="086CB1D2">
      <w:pPr>
        <w:widowControl/>
        <w:adjustRightInd w:val="0"/>
        <w:snapToGrid w:val="0"/>
        <w:spacing w:line="360" w:lineRule="auto"/>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投标人全称（</w:t>
      </w:r>
      <w:r>
        <w:rPr>
          <w:rFonts w:hint="eastAsia" w:ascii="宋体" w:hAnsi="宋体" w:eastAsia="宋体" w:cs="宋体"/>
          <w:color w:val="auto"/>
          <w:sz w:val="22"/>
          <w:szCs w:val="22"/>
          <w:highlight w:val="none"/>
        </w:rPr>
        <w:t>加盖单位公章</w:t>
      </w:r>
      <w:r>
        <w:rPr>
          <w:rFonts w:hint="eastAsia" w:ascii="宋体" w:hAnsi="宋体" w:eastAsia="宋体" w:cs="宋体"/>
          <w:color w:val="auto"/>
          <w:kern w:val="0"/>
          <w:sz w:val="22"/>
          <w:szCs w:val="22"/>
          <w:highlight w:val="none"/>
        </w:rPr>
        <w:t>）：</w:t>
      </w:r>
    </w:p>
    <w:p w14:paraId="437AFAEC">
      <w:pPr>
        <w:widowControl/>
        <w:adjustRightInd w:val="0"/>
        <w:snapToGrid w:val="0"/>
        <w:spacing w:line="360" w:lineRule="auto"/>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法定代表人或授权代表（签字或盖章）：</w:t>
      </w:r>
    </w:p>
    <w:p w14:paraId="5F9B29CC">
      <w:pPr>
        <w:spacing w:line="440" w:lineRule="exact"/>
        <w:ind w:firstLine="435"/>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 xml:space="preserve">        日          期：  年  月  日</w:t>
      </w:r>
    </w:p>
    <w:p w14:paraId="34AB20BF">
      <w:pPr>
        <w:pStyle w:val="24"/>
        <w:ind w:firstLine="424"/>
        <w:rPr>
          <w:rFonts w:hint="eastAsia" w:ascii="宋体" w:hAnsi="宋体" w:eastAsia="宋体" w:cs="宋体"/>
          <w:color w:val="auto"/>
          <w:spacing w:val="-4"/>
          <w:sz w:val="22"/>
          <w:szCs w:val="22"/>
          <w:highlight w:val="none"/>
        </w:rPr>
      </w:pPr>
    </w:p>
    <w:p w14:paraId="1FA8EDDE">
      <w:pPr>
        <w:rPr>
          <w:rFonts w:hint="eastAsia" w:ascii="宋体" w:hAnsi="宋体" w:eastAsia="宋体" w:cs="宋体"/>
          <w:color w:val="auto"/>
          <w:spacing w:val="-4"/>
          <w:sz w:val="22"/>
          <w:szCs w:val="22"/>
          <w:highlight w:val="none"/>
        </w:rPr>
      </w:pPr>
    </w:p>
    <w:p w14:paraId="04B2345F">
      <w:pPr>
        <w:pStyle w:val="24"/>
        <w:ind w:firstLine="424"/>
        <w:rPr>
          <w:rFonts w:hint="eastAsia" w:ascii="宋体" w:hAnsi="宋体" w:eastAsia="宋体" w:cs="宋体"/>
          <w:color w:val="auto"/>
          <w:spacing w:val="-4"/>
          <w:sz w:val="22"/>
          <w:szCs w:val="22"/>
          <w:highlight w:val="none"/>
        </w:rPr>
      </w:pPr>
    </w:p>
    <w:p w14:paraId="55200AC5">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0EFAC9B">
      <w:pPr>
        <w:spacing w:before="156" w:beforeLines="50" w:after="156" w:afterLines="5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附件三</w:t>
      </w:r>
    </w:p>
    <w:p w14:paraId="06DA1A10">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技术规格、商务条款偏离表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2088"/>
        <w:gridCol w:w="1984"/>
        <w:gridCol w:w="1859"/>
        <w:gridCol w:w="1586"/>
      </w:tblGrid>
      <w:tr w14:paraId="1A1FDA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939" w:type="dxa"/>
          </w:tcPr>
          <w:p w14:paraId="6B9A55C1">
            <w:pPr>
              <w:spacing w:line="380" w:lineRule="exact"/>
              <w:jc w:val="center"/>
              <w:rPr>
                <w:rFonts w:hint="eastAsia" w:ascii="宋体" w:hAnsi="宋体" w:eastAsia="宋体" w:cs="宋体"/>
                <w:color w:val="auto"/>
                <w:sz w:val="24"/>
                <w:highlight w:val="none"/>
              </w:rPr>
            </w:pPr>
          </w:p>
        </w:tc>
        <w:tc>
          <w:tcPr>
            <w:tcW w:w="1358" w:type="dxa"/>
            <w:vAlign w:val="center"/>
          </w:tcPr>
          <w:p w14:paraId="6E515F12">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88" w:type="dxa"/>
            <w:vAlign w:val="center"/>
          </w:tcPr>
          <w:p w14:paraId="6C4C092D">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4F66F699">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条目号</w:t>
            </w:r>
          </w:p>
        </w:tc>
        <w:tc>
          <w:tcPr>
            <w:tcW w:w="1984" w:type="dxa"/>
            <w:vAlign w:val="center"/>
          </w:tcPr>
          <w:p w14:paraId="2A081763">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252AE9D4">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1859" w:type="dxa"/>
            <w:vAlign w:val="center"/>
          </w:tcPr>
          <w:p w14:paraId="5363F75F">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0B300E15">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1586" w:type="dxa"/>
            <w:vAlign w:val="center"/>
          </w:tcPr>
          <w:p w14:paraId="1E2F8FF0">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74EBD3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14:paraId="2544D0CA">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w:t>
            </w:r>
          </w:p>
          <w:p w14:paraId="76D15466">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术</w:t>
            </w:r>
          </w:p>
          <w:p w14:paraId="5F3AEF4C">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w:t>
            </w:r>
          </w:p>
          <w:p w14:paraId="77779213">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w:t>
            </w:r>
          </w:p>
        </w:tc>
        <w:tc>
          <w:tcPr>
            <w:tcW w:w="1358" w:type="dxa"/>
            <w:vAlign w:val="center"/>
          </w:tcPr>
          <w:p w14:paraId="34B5BB4E">
            <w:pPr>
              <w:spacing w:line="380" w:lineRule="exact"/>
              <w:jc w:val="center"/>
              <w:rPr>
                <w:rFonts w:hint="eastAsia" w:ascii="宋体" w:hAnsi="宋体" w:eastAsia="宋体" w:cs="宋体"/>
                <w:color w:val="auto"/>
                <w:sz w:val="24"/>
                <w:highlight w:val="none"/>
              </w:rPr>
            </w:pPr>
          </w:p>
        </w:tc>
        <w:tc>
          <w:tcPr>
            <w:tcW w:w="2088" w:type="dxa"/>
            <w:vAlign w:val="center"/>
          </w:tcPr>
          <w:p w14:paraId="141D276F">
            <w:pPr>
              <w:spacing w:line="380" w:lineRule="exact"/>
              <w:jc w:val="center"/>
              <w:rPr>
                <w:rFonts w:hint="eastAsia" w:ascii="宋体" w:hAnsi="宋体" w:eastAsia="宋体" w:cs="宋体"/>
                <w:color w:val="auto"/>
                <w:sz w:val="24"/>
                <w:highlight w:val="none"/>
              </w:rPr>
            </w:pPr>
          </w:p>
        </w:tc>
        <w:tc>
          <w:tcPr>
            <w:tcW w:w="1984" w:type="dxa"/>
            <w:vAlign w:val="center"/>
          </w:tcPr>
          <w:p w14:paraId="4EC71668">
            <w:pPr>
              <w:spacing w:line="380" w:lineRule="exact"/>
              <w:jc w:val="center"/>
              <w:rPr>
                <w:rFonts w:hint="eastAsia" w:ascii="宋体" w:hAnsi="宋体" w:eastAsia="宋体" w:cs="宋体"/>
                <w:color w:val="auto"/>
                <w:sz w:val="24"/>
                <w:highlight w:val="none"/>
              </w:rPr>
            </w:pPr>
          </w:p>
        </w:tc>
        <w:tc>
          <w:tcPr>
            <w:tcW w:w="1859" w:type="dxa"/>
            <w:vAlign w:val="center"/>
          </w:tcPr>
          <w:p w14:paraId="28C1CF73">
            <w:pPr>
              <w:spacing w:line="380" w:lineRule="exact"/>
              <w:jc w:val="center"/>
              <w:rPr>
                <w:rFonts w:hint="eastAsia" w:ascii="宋体" w:hAnsi="宋体" w:eastAsia="宋体" w:cs="宋体"/>
                <w:color w:val="auto"/>
                <w:sz w:val="24"/>
                <w:highlight w:val="none"/>
              </w:rPr>
            </w:pPr>
          </w:p>
        </w:tc>
        <w:tc>
          <w:tcPr>
            <w:tcW w:w="1586" w:type="dxa"/>
            <w:vAlign w:val="center"/>
          </w:tcPr>
          <w:p w14:paraId="3C7EC88A">
            <w:pPr>
              <w:spacing w:line="380" w:lineRule="exact"/>
              <w:jc w:val="center"/>
              <w:rPr>
                <w:rFonts w:hint="eastAsia" w:ascii="宋体" w:hAnsi="宋体" w:eastAsia="宋体" w:cs="宋体"/>
                <w:color w:val="auto"/>
                <w:sz w:val="24"/>
                <w:highlight w:val="none"/>
              </w:rPr>
            </w:pPr>
          </w:p>
        </w:tc>
      </w:tr>
      <w:tr w14:paraId="3FF0BF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1354DA8">
            <w:pPr>
              <w:spacing w:line="380" w:lineRule="exact"/>
              <w:ind w:firstLine="240" w:firstLineChars="100"/>
              <w:rPr>
                <w:rFonts w:hint="eastAsia" w:ascii="宋体" w:hAnsi="宋体" w:eastAsia="宋体" w:cs="宋体"/>
                <w:color w:val="auto"/>
                <w:sz w:val="24"/>
                <w:highlight w:val="none"/>
              </w:rPr>
            </w:pPr>
          </w:p>
        </w:tc>
        <w:tc>
          <w:tcPr>
            <w:tcW w:w="1358" w:type="dxa"/>
            <w:vAlign w:val="center"/>
          </w:tcPr>
          <w:p w14:paraId="39EFC4C9">
            <w:pPr>
              <w:spacing w:line="380" w:lineRule="exact"/>
              <w:jc w:val="center"/>
              <w:rPr>
                <w:rFonts w:hint="eastAsia" w:ascii="宋体" w:hAnsi="宋体" w:eastAsia="宋体" w:cs="宋体"/>
                <w:color w:val="auto"/>
                <w:sz w:val="24"/>
                <w:highlight w:val="none"/>
              </w:rPr>
            </w:pPr>
          </w:p>
        </w:tc>
        <w:tc>
          <w:tcPr>
            <w:tcW w:w="2088" w:type="dxa"/>
            <w:vAlign w:val="center"/>
          </w:tcPr>
          <w:p w14:paraId="4D981EA9">
            <w:pPr>
              <w:spacing w:line="380" w:lineRule="exact"/>
              <w:jc w:val="center"/>
              <w:rPr>
                <w:rFonts w:hint="eastAsia" w:ascii="宋体" w:hAnsi="宋体" w:eastAsia="宋体" w:cs="宋体"/>
                <w:color w:val="auto"/>
                <w:sz w:val="24"/>
                <w:highlight w:val="none"/>
              </w:rPr>
            </w:pPr>
          </w:p>
        </w:tc>
        <w:tc>
          <w:tcPr>
            <w:tcW w:w="1984" w:type="dxa"/>
            <w:vAlign w:val="center"/>
          </w:tcPr>
          <w:p w14:paraId="12964364">
            <w:pPr>
              <w:spacing w:line="380" w:lineRule="exact"/>
              <w:jc w:val="center"/>
              <w:rPr>
                <w:rFonts w:hint="eastAsia" w:ascii="宋体" w:hAnsi="宋体" w:eastAsia="宋体" w:cs="宋体"/>
                <w:color w:val="auto"/>
                <w:sz w:val="24"/>
                <w:highlight w:val="none"/>
              </w:rPr>
            </w:pPr>
          </w:p>
        </w:tc>
        <w:tc>
          <w:tcPr>
            <w:tcW w:w="1859" w:type="dxa"/>
            <w:vAlign w:val="center"/>
          </w:tcPr>
          <w:p w14:paraId="157C5E9F">
            <w:pPr>
              <w:spacing w:line="380" w:lineRule="exact"/>
              <w:jc w:val="center"/>
              <w:rPr>
                <w:rFonts w:hint="eastAsia" w:ascii="宋体" w:hAnsi="宋体" w:eastAsia="宋体" w:cs="宋体"/>
                <w:color w:val="auto"/>
                <w:sz w:val="24"/>
                <w:highlight w:val="none"/>
              </w:rPr>
            </w:pPr>
          </w:p>
        </w:tc>
        <w:tc>
          <w:tcPr>
            <w:tcW w:w="1586" w:type="dxa"/>
            <w:vAlign w:val="center"/>
          </w:tcPr>
          <w:p w14:paraId="2D183DF9">
            <w:pPr>
              <w:spacing w:line="380" w:lineRule="exact"/>
              <w:jc w:val="center"/>
              <w:rPr>
                <w:rFonts w:hint="eastAsia" w:ascii="宋体" w:hAnsi="宋体" w:eastAsia="宋体" w:cs="宋体"/>
                <w:color w:val="auto"/>
                <w:sz w:val="24"/>
                <w:highlight w:val="none"/>
              </w:rPr>
            </w:pPr>
          </w:p>
        </w:tc>
      </w:tr>
      <w:tr w14:paraId="16B8EC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5C5AF4E">
            <w:pPr>
              <w:spacing w:line="380" w:lineRule="exact"/>
              <w:jc w:val="center"/>
              <w:rPr>
                <w:rFonts w:hint="eastAsia" w:ascii="宋体" w:hAnsi="宋体" w:eastAsia="宋体" w:cs="宋体"/>
                <w:color w:val="auto"/>
                <w:sz w:val="24"/>
                <w:highlight w:val="none"/>
              </w:rPr>
            </w:pPr>
          </w:p>
        </w:tc>
        <w:tc>
          <w:tcPr>
            <w:tcW w:w="1358" w:type="dxa"/>
            <w:vAlign w:val="center"/>
          </w:tcPr>
          <w:p w14:paraId="1697BF61">
            <w:pPr>
              <w:spacing w:line="380" w:lineRule="exact"/>
              <w:jc w:val="center"/>
              <w:rPr>
                <w:rFonts w:hint="eastAsia" w:ascii="宋体" w:hAnsi="宋体" w:eastAsia="宋体" w:cs="宋体"/>
                <w:color w:val="auto"/>
                <w:sz w:val="24"/>
                <w:highlight w:val="none"/>
              </w:rPr>
            </w:pPr>
          </w:p>
        </w:tc>
        <w:tc>
          <w:tcPr>
            <w:tcW w:w="2088" w:type="dxa"/>
            <w:vAlign w:val="center"/>
          </w:tcPr>
          <w:p w14:paraId="6CFE92B4">
            <w:pPr>
              <w:spacing w:line="380" w:lineRule="exact"/>
              <w:jc w:val="center"/>
              <w:rPr>
                <w:rFonts w:hint="eastAsia" w:ascii="宋体" w:hAnsi="宋体" w:eastAsia="宋体" w:cs="宋体"/>
                <w:color w:val="auto"/>
                <w:sz w:val="24"/>
                <w:highlight w:val="none"/>
              </w:rPr>
            </w:pPr>
          </w:p>
        </w:tc>
        <w:tc>
          <w:tcPr>
            <w:tcW w:w="1984" w:type="dxa"/>
            <w:vAlign w:val="center"/>
          </w:tcPr>
          <w:p w14:paraId="5394F615">
            <w:pPr>
              <w:spacing w:line="380" w:lineRule="exact"/>
              <w:jc w:val="center"/>
              <w:rPr>
                <w:rFonts w:hint="eastAsia" w:ascii="宋体" w:hAnsi="宋体" w:eastAsia="宋体" w:cs="宋体"/>
                <w:color w:val="auto"/>
                <w:sz w:val="24"/>
                <w:highlight w:val="none"/>
              </w:rPr>
            </w:pPr>
          </w:p>
        </w:tc>
        <w:tc>
          <w:tcPr>
            <w:tcW w:w="1859" w:type="dxa"/>
            <w:vAlign w:val="center"/>
          </w:tcPr>
          <w:p w14:paraId="4E1B8051">
            <w:pPr>
              <w:spacing w:line="380" w:lineRule="exact"/>
              <w:jc w:val="center"/>
              <w:rPr>
                <w:rFonts w:hint="eastAsia" w:ascii="宋体" w:hAnsi="宋体" w:eastAsia="宋体" w:cs="宋体"/>
                <w:color w:val="auto"/>
                <w:sz w:val="24"/>
                <w:highlight w:val="none"/>
              </w:rPr>
            </w:pPr>
          </w:p>
        </w:tc>
        <w:tc>
          <w:tcPr>
            <w:tcW w:w="1586" w:type="dxa"/>
            <w:vAlign w:val="center"/>
          </w:tcPr>
          <w:p w14:paraId="52518F49">
            <w:pPr>
              <w:spacing w:line="380" w:lineRule="exact"/>
              <w:jc w:val="center"/>
              <w:rPr>
                <w:rFonts w:hint="eastAsia" w:ascii="宋体" w:hAnsi="宋体" w:eastAsia="宋体" w:cs="宋体"/>
                <w:color w:val="auto"/>
                <w:sz w:val="24"/>
                <w:highlight w:val="none"/>
              </w:rPr>
            </w:pPr>
          </w:p>
        </w:tc>
      </w:tr>
      <w:tr w14:paraId="7E8903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7602E382">
            <w:pPr>
              <w:spacing w:line="380" w:lineRule="exact"/>
              <w:jc w:val="center"/>
              <w:rPr>
                <w:rFonts w:hint="eastAsia" w:ascii="宋体" w:hAnsi="宋体" w:eastAsia="宋体" w:cs="宋体"/>
                <w:color w:val="auto"/>
                <w:sz w:val="24"/>
                <w:highlight w:val="none"/>
              </w:rPr>
            </w:pPr>
          </w:p>
        </w:tc>
        <w:tc>
          <w:tcPr>
            <w:tcW w:w="1358" w:type="dxa"/>
            <w:vAlign w:val="center"/>
          </w:tcPr>
          <w:p w14:paraId="58E048A5">
            <w:pPr>
              <w:spacing w:line="380" w:lineRule="exact"/>
              <w:jc w:val="center"/>
              <w:rPr>
                <w:rFonts w:hint="eastAsia" w:ascii="宋体" w:hAnsi="宋体" w:eastAsia="宋体" w:cs="宋体"/>
                <w:color w:val="auto"/>
                <w:sz w:val="24"/>
                <w:highlight w:val="none"/>
              </w:rPr>
            </w:pPr>
          </w:p>
        </w:tc>
        <w:tc>
          <w:tcPr>
            <w:tcW w:w="2088" w:type="dxa"/>
            <w:vAlign w:val="center"/>
          </w:tcPr>
          <w:p w14:paraId="07A191FC">
            <w:pPr>
              <w:spacing w:line="380" w:lineRule="exact"/>
              <w:jc w:val="center"/>
              <w:rPr>
                <w:rFonts w:hint="eastAsia" w:ascii="宋体" w:hAnsi="宋体" w:eastAsia="宋体" w:cs="宋体"/>
                <w:color w:val="auto"/>
                <w:sz w:val="24"/>
                <w:highlight w:val="none"/>
              </w:rPr>
            </w:pPr>
          </w:p>
        </w:tc>
        <w:tc>
          <w:tcPr>
            <w:tcW w:w="1984" w:type="dxa"/>
            <w:vAlign w:val="center"/>
          </w:tcPr>
          <w:p w14:paraId="2843F08B">
            <w:pPr>
              <w:spacing w:line="380" w:lineRule="exact"/>
              <w:jc w:val="center"/>
              <w:rPr>
                <w:rFonts w:hint="eastAsia" w:ascii="宋体" w:hAnsi="宋体" w:eastAsia="宋体" w:cs="宋体"/>
                <w:color w:val="auto"/>
                <w:sz w:val="24"/>
                <w:highlight w:val="none"/>
              </w:rPr>
            </w:pPr>
          </w:p>
        </w:tc>
        <w:tc>
          <w:tcPr>
            <w:tcW w:w="1859" w:type="dxa"/>
            <w:vAlign w:val="center"/>
          </w:tcPr>
          <w:p w14:paraId="750FD103">
            <w:pPr>
              <w:spacing w:line="380" w:lineRule="exact"/>
              <w:jc w:val="center"/>
              <w:rPr>
                <w:rFonts w:hint="eastAsia" w:ascii="宋体" w:hAnsi="宋体" w:eastAsia="宋体" w:cs="宋体"/>
                <w:color w:val="auto"/>
                <w:sz w:val="24"/>
                <w:highlight w:val="none"/>
              </w:rPr>
            </w:pPr>
          </w:p>
        </w:tc>
        <w:tc>
          <w:tcPr>
            <w:tcW w:w="1586" w:type="dxa"/>
            <w:vAlign w:val="center"/>
          </w:tcPr>
          <w:p w14:paraId="3563F31A">
            <w:pPr>
              <w:spacing w:line="380" w:lineRule="exact"/>
              <w:jc w:val="center"/>
              <w:rPr>
                <w:rFonts w:hint="eastAsia" w:ascii="宋体" w:hAnsi="宋体" w:eastAsia="宋体" w:cs="宋体"/>
                <w:color w:val="auto"/>
                <w:sz w:val="24"/>
                <w:highlight w:val="none"/>
              </w:rPr>
            </w:pPr>
          </w:p>
        </w:tc>
      </w:tr>
      <w:tr w14:paraId="37AD55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C1D07E4">
            <w:pPr>
              <w:spacing w:line="380" w:lineRule="exact"/>
              <w:jc w:val="center"/>
              <w:rPr>
                <w:rFonts w:hint="eastAsia" w:ascii="宋体" w:hAnsi="宋体" w:eastAsia="宋体" w:cs="宋体"/>
                <w:color w:val="auto"/>
                <w:sz w:val="24"/>
                <w:highlight w:val="none"/>
              </w:rPr>
            </w:pPr>
          </w:p>
        </w:tc>
        <w:tc>
          <w:tcPr>
            <w:tcW w:w="1358" w:type="dxa"/>
            <w:vAlign w:val="center"/>
          </w:tcPr>
          <w:p w14:paraId="38346B09">
            <w:pPr>
              <w:spacing w:line="380" w:lineRule="exact"/>
              <w:jc w:val="center"/>
              <w:rPr>
                <w:rFonts w:hint="eastAsia" w:ascii="宋体" w:hAnsi="宋体" w:eastAsia="宋体" w:cs="宋体"/>
                <w:color w:val="auto"/>
                <w:sz w:val="24"/>
                <w:highlight w:val="none"/>
              </w:rPr>
            </w:pPr>
          </w:p>
        </w:tc>
        <w:tc>
          <w:tcPr>
            <w:tcW w:w="2088" w:type="dxa"/>
            <w:vAlign w:val="center"/>
          </w:tcPr>
          <w:p w14:paraId="119FCB48">
            <w:pPr>
              <w:spacing w:line="380" w:lineRule="exact"/>
              <w:jc w:val="center"/>
              <w:rPr>
                <w:rFonts w:hint="eastAsia" w:ascii="宋体" w:hAnsi="宋体" w:eastAsia="宋体" w:cs="宋体"/>
                <w:color w:val="auto"/>
                <w:sz w:val="24"/>
                <w:highlight w:val="none"/>
              </w:rPr>
            </w:pPr>
          </w:p>
        </w:tc>
        <w:tc>
          <w:tcPr>
            <w:tcW w:w="1984" w:type="dxa"/>
            <w:vAlign w:val="center"/>
          </w:tcPr>
          <w:p w14:paraId="4C3A5E79">
            <w:pPr>
              <w:spacing w:line="380" w:lineRule="exact"/>
              <w:jc w:val="center"/>
              <w:rPr>
                <w:rFonts w:hint="eastAsia" w:ascii="宋体" w:hAnsi="宋体" w:eastAsia="宋体" w:cs="宋体"/>
                <w:color w:val="auto"/>
                <w:sz w:val="24"/>
                <w:highlight w:val="none"/>
              </w:rPr>
            </w:pPr>
          </w:p>
        </w:tc>
        <w:tc>
          <w:tcPr>
            <w:tcW w:w="1859" w:type="dxa"/>
            <w:vAlign w:val="center"/>
          </w:tcPr>
          <w:p w14:paraId="22CD2EF3">
            <w:pPr>
              <w:spacing w:line="380" w:lineRule="exact"/>
              <w:jc w:val="center"/>
              <w:rPr>
                <w:rFonts w:hint="eastAsia" w:ascii="宋体" w:hAnsi="宋体" w:eastAsia="宋体" w:cs="宋体"/>
                <w:color w:val="auto"/>
                <w:sz w:val="24"/>
                <w:highlight w:val="none"/>
              </w:rPr>
            </w:pPr>
          </w:p>
        </w:tc>
        <w:tc>
          <w:tcPr>
            <w:tcW w:w="1586" w:type="dxa"/>
            <w:vAlign w:val="center"/>
          </w:tcPr>
          <w:p w14:paraId="4427B22B">
            <w:pPr>
              <w:spacing w:line="380" w:lineRule="exact"/>
              <w:jc w:val="center"/>
              <w:rPr>
                <w:rFonts w:hint="eastAsia" w:ascii="宋体" w:hAnsi="宋体" w:eastAsia="宋体" w:cs="宋体"/>
                <w:color w:val="auto"/>
                <w:sz w:val="24"/>
                <w:highlight w:val="none"/>
              </w:rPr>
            </w:pPr>
          </w:p>
        </w:tc>
      </w:tr>
      <w:tr w14:paraId="1DDC34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14:paraId="7ABDB802">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25266DAC">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务</w:t>
            </w:r>
          </w:p>
          <w:p w14:paraId="4C63109E">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p w14:paraId="1FC6644E">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款</w:t>
            </w:r>
          </w:p>
        </w:tc>
        <w:tc>
          <w:tcPr>
            <w:tcW w:w="1358" w:type="dxa"/>
            <w:vAlign w:val="center"/>
          </w:tcPr>
          <w:p w14:paraId="0D239D26">
            <w:pPr>
              <w:spacing w:line="380" w:lineRule="exact"/>
              <w:jc w:val="center"/>
              <w:rPr>
                <w:rFonts w:hint="eastAsia" w:ascii="宋体" w:hAnsi="宋体" w:eastAsia="宋体" w:cs="宋体"/>
                <w:color w:val="auto"/>
                <w:sz w:val="24"/>
                <w:highlight w:val="none"/>
              </w:rPr>
            </w:pPr>
          </w:p>
        </w:tc>
        <w:tc>
          <w:tcPr>
            <w:tcW w:w="2088" w:type="dxa"/>
            <w:vAlign w:val="center"/>
          </w:tcPr>
          <w:p w14:paraId="3011BC41">
            <w:pPr>
              <w:spacing w:line="380" w:lineRule="exact"/>
              <w:jc w:val="center"/>
              <w:rPr>
                <w:rFonts w:hint="eastAsia" w:ascii="宋体" w:hAnsi="宋体" w:eastAsia="宋体" w:cs="宋体"/>
                <w:color w:val="auto"/>
                <w:sz w:val="24"/>
                <w:highlight w:val="none"/>
              </w:rPr>
            </w:pPr>
          </w:p>
        </w:tc>
        <w:tc>
          <w:tcPr>
            <w:tcW w:w="1984" w:type="dxa"/>
            <w:vAlign w:val="center"/>
          </w:tcPr>
          <w:p w14:paraId="43A4383D">
            <w:pPr>
              <w:spacing w:line="380" w:lineRule="exact"/>
              <w:jc w:val="center"/>
              <w:rPr>
                <w:rFonts w:hint="eastAsia" w:ascii="宋体" w:hAnsi="宋体" w:eastAsia="宋体" w:cs="宋体"/>
                <w:color w:val="auto"/>
                <w:sz w:val="24"/>
                <w:highlight w:val="none"/>
              </w:rPr>
            </w:pPr>
          </w:p>
        </w:tc>
        <w:tc>
          <w:tcPr>
            <w:tcW w:w="1859" w:type="dxa"/>
            <w:vAlign w:val="center"/>
          </w:tcPr>
          <w:p w14:paraId="252B625A">
            <w:pPr>
              <w:spacing w:line="380" w:lineRule="exact"/>
              <w:jc w:val="center"/>
              <w:rPr>
                <w:rFonts w:hint="eastAsia" w:ascii="宋体" w:hAnsi="宋体" w:eastAsia="宋体" w:cs="宋体"/>
                <w:color w:val="auto"/>
                <w:sz w:val="24"/>
                <w:highlight w:val="none"/>
              </w:rPr>
            </w:pPr>
          </w:p>
        </w:tc>
        <w:tc>
          <w:tcPr>
            <w:tcW w:w="1586" w:type="dxa"/>
            <w:vAlign w:val="center"/>
          </w:tcPr>
          <w:p w14:paraId="4ED472A5">
            <w:pPr>
              <w:spacing w:line="380" w:lineRule="exact"/>
              <w:jc w:val="center"/>
              <w:rPr>
                <w:rFonts w:hint="eastAsia" w:ascii="宋体" w:hAnsi="宋体" w:eastAsia="宋体" w:cs="宋体"/>
                <w:color w:val="auto"/>
                <w:sz w:val="24"/>
                <w:highlight w:val="none"/>
              </w:rPr>
            </w:pPr>
          </w:p>
        </w:tc>
      </w:tr>
      <w:tr w14:paraId="512001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9CC43A3">
            <w:pPr>
              <w:spacing w:line="380" w:lineRule="exact"/>
              <w:jc w:val="center"/>
              <w:rPr>
                <w:rFonts w:hint="eastAsia" w:ascii="宋体" w:hAnsi="宋体" w:eastAsia="宋体" w:cs="宋体"/>
                <w:color w:val="auto"/>
                <w:sz w:val="24"/>
                <w:highlight w:val="none"/>
              </w:rPr>
            </w:pPr>
          </w:p>
        </w:tc>
        <w:tc>
          <w:tcPr>
            <w:tcW w:w="1358" w:type="dxa"/>
            <w:vAlign w:val="center"/>
          </w:tcPr>
          <w:p w14:paraId="14222393">
            <w:pPr>
              <w:spacing w:line="380" w:lineRule="exact"/>
              <w:jc w:val="center"/>
              <w:rPr>
                <w:rFonts w:hint="eastAsia" w:ascii="宋体" w:hAnsi="宋体" w:eastAsia="宋体" w:cs="宋体"/>
                <w:color w:val="auto"/>
                <w:sz w:val="24"/>
                <w:highlight w:val="none"/>
              </w:rPr>
            </w:pPr>
          </w:p>
        </w:tc>
        <w:tc>
          <w:tcPr>
            <w:tcW w:w="2088" w:type="dxa"/>
            <w:vAlign w:val="center"/>
          </w:tcPr>
          <w:p w14:paraId="67136015">
            <w:pPr>
              <w:spacing w:line="380" w:lineRule="exact"/>
              <w:jc w:val="center"/>
              <w:rPr>
                <w:rFonts w:hint="eastAsia" w:ascii="宋体" w:hAnsi="宋体" w:eastAsia="宋体" w:cs="宋体"/>
                <w:color w:val="auto"/>
                <w:sz w:val="24"/>
                <w:highlight w:val="none"/>
              </w:rPr>
            </w:pPr>
          </w:p>
        </w:tc>
        <w:tc>
          <w:tcPr>
            <w:tcW w:w="1984" w:type="dxa"/>
            <w:vAlign w:val="center"/>
          </w:tcPr>
          <w:p w14:paraId="7DED9EC3">
            <w:pPr>
              <w:spacing w:line="380" w:lineRule="exact"/>
              <w:jc w:val="center"/>
              <w:rPr>
                <w:rFonts w:hint="eastAsia" w:ascii="宋体" w:hAnsi="宋体" w:eastAsia="宋体" w:cs="宋体"/>
                <w:color w:val="auto"/>
                <w:sz w:val="24"/>
                <w:highlight w:val="none"/>
              </w:rPr>
            </w:pPr>
          </w:p>
        </w:tc>
        <w:tc>
          <w:tcPr>
            <w:tcW w:w="1859" w:type="dxa"/>
            <w:vAlign w:val="center"/>
          </w:tcPr>
          <w:p w14:paraId="3DB9F124">
            <w:pPr>
              <w:spacing w:line="380" w:lineRule="exact"/>
              <w:jc w:val="center"/>
              <w:rPr>
                <w:rFonts w:hint="eastAsia" w:ascii="宋体" w:hAnsi="宋体" w:eastAsia="宋体" w:cs="宋体"/>
                <w:color w:val="auto"/>
                <w:sz w:val="24"/>
                <w:highlight w:val="none"/>
              </w:rPr>
            </w:pPr>
          </w:p>
        </w:tc>
        <w:tc>
          <w:tcPr>
            <w:tcW w:w="1586" w:type="dxa"/>
            <w:vAlign w:val="center"/>
          </w:tcPr>
          <w:p w14:paraId="4A9C8620">
            <w:pPr>
              <w:spacing w:line="380" w:lineRule="exact"/>
              <w:jc w:val="center"/>
              <w:rPr>
                <w:rFonts w:hint="eastAsia" w:ascii="宋体" w:hAnsi="宋体" w:eastAsia="宋体" w:cs="宋体"/>
                <w:color w:val="auto"/>
                <w:sz w:val="24"/>
                <w:highlight w:val="none"/>
              </w:rPr>
            </w:pPr>
          </w:p>
        </w:tc>
      </w:tr>
      <w:tr w14:paraId="04BA0E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212FC7B">
            <w:pPr>
              <w:spacing w:line="380" w:lineRule="exact"/>
              <w:jc w:val="center"/>
              <w:rPr>
                <w:rFonts w:hint="eastAsia" w:ascii="宋体" w:hAnsi="宋体" w:eastAsia="宋体" w:cs="宋体"/>
                <w:color w:val="auto"/>
                <w:sz w:val="24"/>
                <w:highlight w:val="none"/>
              </w:rPr>
            </w:pPr>
          </w:p>
        </w:tc>
        <w:tc>
          <w:tcPr>
            <w:tcW w:w="1358" w:type="dxa"/>
            <w:vAlign w:val="center"/>
          </w:tcPr>
          <w:p w14:paraId="5F57BAB9">
            <w:pPr>
              <w:spacing w:line="380" w:lineRule="exact"/>
              <w:jc w:val="center"/>
              <w:rPr>
                <w:rFonts w:hint="eastAsia" w:ascii="宋体" w:hAnsi="宋体" w:eastAsia="宋体" w:cs="宋体"/>
                <w:color w:val="auto"/>
                <w:sz w:val="24"/>
                <w:highlight w:val="none"/>
              </w:rPr>
            </w:pPr>
          </w:p>
        </w:tc>
        <w:tc>
          <w:tcPr>
            <w:tcW w:w="2088" w:type="dxa"/>
            <w:vAlign w:val="center"/>
          </w:tcPr>
          <w:p w14:paraId="5B2FDD49">
            <w:pPr>
              <w:spacing w:line="380" w:lineRule="exact"/>
              <w:jc w:val="center"/>
              <w:rPr>
                <w:rFonts w:hint="eastAsia" w:ascii="宋体" w:hAnsi="宋体" w:eastAsia="宋体" w:cs="宋体"/>
                <w:color w:val="auto"/>
                <w:sz w:val="24"/>
                <w:highlight w:val="none"/>
              </w:rPr>
            </w:pPr>
          </w:p>
        </w:tc>
        <w:tc>
          <w:tcPr>
            <w:tcW w:w="1984" w:type="dxa"/>
            <w:vAlign w:val="center"/>
          </w:tcPr>
          <w:p w14:paraId="09C6810C">
            <w:pPr>
              <w:spacing w:line="380" w:lineRule="exact"/>
              <w:jc w:val="center"/>
              <w:rPr>
                <w:rFonts w:hint="eastAsia" w:ascii="宋体" w:hAnsi="宋体" w:eastAsia="宋体" w:cs="宋体"/>
                <w:color w:val="auto"/>
                <w:sz w:val="24"/>
                <w:highlight w:val="none"/>
              </w:rPr>
            </w:pPr>
          </w:p>
        </w:tc>
        <w:tc>
          <w:tcPr>
            <w:tcW w:w="1859" w:type="dxa"/>
            <w:vAlign w:val="center"/>
          </w:tcPr>
          <w:p w14:paraId="55A78D21">
            <w:pPr>
              <w:spacing w:line="380" w:lineRule="exact"/>
              <w:jc w:val="center"/>
              <w:rPr>
                <w:rFonts w:hint="eastAsia" w:ascii="宋体" w:hAnsi="宋体" w:eastAsia="宋体" w:cs="宋体"/>
                <w:color w:val="auto"/>
                <w:sz w:val="24"/>
                <w:highlight w:val="none"/>
              </w:rPr>
            </w:pPr>
          </w:p>
        </w:tc>
        <w:tc>
          <w:tcPr>
            <w:tcW w:w="1586" w:type="dxa"/>
            <w:vAlign w:val="center"/>
          </w:tcPr>
          <w:p w14:paraId="209DD732">
            <w:pPr>
              <w:spacing w:line="380" w:lineRule="exact"/>
              <w:jc w:val="center"/>
              <w:rPr>
                <w:rFonts w:hint="eastAsia" w:ascii="宋体" w:hAnsi="宋体" w:eastAsia="宋体" w:cs="宋体"/>
                <w:color w:val="auto"/>
                <w:sz w:val="24"/>
                <w:highlight w:val="none"/>
              </w:rPr>
            </w:pPr>
          </w:p>
        </w:tc>
      </w:tr>
      <w:tr w14:paraId="55F9D2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42728B61">
            <w:pPr>
              <w:spacing w:line="380" w:lineRule="exact"/>
              <w:jc w:val="center"/>
              <w:rPr>
                <w:rFonts w:hint="eastAsia" w:ascii="宋体" w:hAnsi="宋体" w:eastAsia="宋体" w:cs="宋体"/>
                <w:color w:val="auto"/>
                <w:sz w:val="24"/>
                <w:highlight w:val="none"/>
              </w:rPr>
            </w:pPr>
          </w:p>
        </w:tc>
        <w:tc>
          <w:tcPr>
            <w:tcW w:w="1358" w:type="dxa"/>
            <w:vAlign w:val="center"/>
          </w:tcPr>
          <w:p w14:paraId="0E1ACBD3">
            <w:pPr>
              <w:spacing w:line="380" w:lineRule="exact"/>
              <w:jc w:val="center"/>
              <w:rPr>
                <w:rFonts w:hint="eastAsia" w:ascii="宋体" w:hAnsi="宋体" w:eastAsia="宋体" w:cs="宋体"/>
                <w:color w:val="auto"/>
                <w:sz w:val="24"/>
                <w:highlight w:val="none"/>
              </w:rPr>
            </w:pPr>
          </w:p>
        </w:tc>
        <w:tc>
          <w:tcPr>
            <w:tcW w:w="2088" w:type="dxa"/>
            <w:vAlign w:val="center"/>
          </w:tcPr>
          <w:p w14:paraId="032E67EE">
            <w:pPr>
              <w:spacing w:line="380" w:lineRule="exact"/>
              <w:jc w:val="center"/>
              <w:rPr>
                <w:rFonts w:hint="eastAsia" w:ascii="宋体" w:hAnsi="宋体" w:eastAsia="宋体" w:cs="宋体"/>
                <w:color w:val="auto"/>
                <w:sz w:val="24"/>
                <w:highlight w:val="none"/>
              </w:rPr>
            </w:pPr>
          </w:p>
        </w:tc>
        <w:tc>
          <w:tcPr>
            <w:tcW w:w="1984" w:type="dxa"/>
            <w:vAlign w:val="center"/>
          </w:tcPr>
          <w:p w14:paraId="3DDE172B">
            <w:pPr>
              <w:spacing w:line="380" w:lineRule="exact"/>
              <w:jc w:val="center"/>
              <w:rPr>
                <w:rFonts w:hint="eastAsia" w:ascii="宋体" w:hAnsi="宋体" w:eastAsia="宋体" w:cs="宋体"/>
                <w:color w:val="auto"/>
                <w:sz w:val="24"/>
                <w:highlight w:val="none"/>
              </w:rPr>
            </w:pPr>
          </w:p>
        </w:tc>
        <w:tc>
          <w:tcPr>
            <w:tcW w:w="1859" w:type="dxa"/>
            <w:vAlign w:val="center"/>
          </w:tcPr>
          <w:p w14:paraId="42DF0967">
            <w:pPr>
              <w:spacing w:line="380" w:lineRule="exact"/>
              <w:jc w:val="center"/>
              <w:rPr>
                <w:rFonts w:hint="eastAsia" w:ascii="宋体" w:hAnsi="宋体" w:eastAsia="宋体" w:cs="宋体"/>
                <w:color w:val="auto"/>
                <w:sz w:val="24"/>
                <w:highlight w:val="none"/>
              </w:rPr>
            </w:pPr>
          </w:p>
        </w:tc>
        <w:tc>
          <w:tcPr>
            <w:tcW w:w="1586" w:type="dxa"/>
            <w:vAlign w:val="center"/>
          </w:tcPr>
          <w:p w14:paraId="2DFE1D9C">
            <w:pPr>
              <w:spacing w:line="380" w:lineRule="exact"/>
              <w:jc w:val="center"/>
              <w:rPr>
                <w:rFonts w:hint="eastAsia" w:ascii="宋体" w:hAnsi="宋体" w:eastAsia="宋体" w:cs="宋体"/>
                <w:color w:val="auto"/>
                <w:sz w:val="24"/>
                <w:highlight w:val="none"/>
              </w:rPr>
            </w:pPr>
          </w:p>
        </w:tc>
      </w:tr>
      <w:tr w14:paraId="78648E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08B97C01">
            <w:pPr>
              <w:spacing w:line="380" w:lineRule="exact"/>
              <w:jc w:val="center"/>
              <w:rPr>
                <w:rFonts w:hint="eastAsia" w:ascii="宋体" w:hAnsi="宋体" w:eastAsia="宋体" w:cs="宋体"/>
                <w:color w:val="auto"/>
                <w:sz w:val="24"/>
                <w:highlight w:val="none"/>
              </w:rPr>
            </w:pPr>
          </w:p>
        </w:tc>
        <w:tc>
          <w:tcPr>
            <w:tcW w:w="1358" w:type="dxa"/>
            <w:vAlign w:val="center"/>
          </w:tcPr>
          <w:p w14:paraId="27F4A662">
            <w:pPr>
              <w:spacing w:line="380" w:lineRule="exact"/>
              <w:jc w:val="center"/>
              <w:rPr>
                <w:rFonts w:hint="eastAsia" w:ascii="宋体" w:hAnsi="宋体" w:eastAsia="宋体" w:cs="宋体"/>
                <w:color w:val="auto"/>
                <w:sz w:val="24"/>
                <w:highlight w:val="none"/>
              </w:rPr>
            </w:pPr>
          </w:p>
        </w:tc>
        <w:tc>
          <w:tcPr>
            <w:tcW w:w="2088" w:type="dxa"/>
            <w:vAlign w:val="center"/>
          </w:tcPr>
          <w:p w14:paraId="1632CEB9">
            <w:pPr>
              <w:spacing w:line="380" w:lineRule="exact"/>
              <w:jc w:val="center"/>
              <w:rPr>
                <w:rFonts w:hint="eastAsia" w:ascii="宋体" w:hAnsi="宋体" w:eastAsia="宋体" w:cs="宋体"/>
                <w:color w:val="auto"/>
                <w:sz w:val="24"/>
                <w:highlight w:val="none"/>
              </w:rPr>
            </w:pPr>
          </w:p>
        </w:tc>
        <w:tc>
          <w:tcPr>
            <w:tcW w:w="1984" w:type="dxa"/>
            <w:vAlign w:val="center"/>
          </w:tcPr>
          <w:p w14:paraId="27E39A64">
            <w:pPr>
              <w:spacing w:line="380" w:lineRule="exact"/>
              <w:jc w:val="center"/>
              <w:rPr>
                <w:rFonts w:hint="eastAsia" w:ascii="宋体" w:hAnsi="宋体" w:eastAsia="宋体" w:cs="宋体"/>
                <w:color w:val="auto"/>
                <w:sz w:val="24"/>
                <w:highlight w:val="none"/>
              </w:rPr>
            </w:pPr>
          </w:p>
        </w:tc>
        <w:tc>
          <w:tcPr>
            <w:tcW w:w="1859" w:type="dxa"/>
            <w:vAlign w:val="center"/>
          </w:tcPr>
          <w:p w14:paraId="2C88C7EC">
            <w:pPr>
              <w:spacing w:line="380" w:lineRule="exact"/>
              <w:jc w:val="center"/>
              <w:rPr>
                <w:rFonts w:hint="eastAsia" w:ascii="宋体" w:hAnsi="宋体" w:eastAsia="宋体" w:cs="宋体"/>
                <w:color w:val="auto"/>
                <w:sz w:val="24"/>
                <w:highlight w:val="none"/>
              </w:rPr>
            </w:pPr>
          </w:p>
        </w:tc>
        <w:tc>
          <w:tcPr>
            <w:tcW w:w="1586" w:type="dxa"/>
            <w:vAlign w:val="center"/>
          </w:tcPr>
          <w:p w14:paraId="785E0245">
            <w:pPr>
              <w:spacing w:line="380" w:lineRule="exact"/>
              <w:jc w:val="center"/>
              <w:rPr>
                <w:rFonts w:hint="eastAsia" w:ascii="宋体" w:hAnsi="宋体" w:eastAsia="宋体" w:cs="宋体"/>
                <w:color w:val="auto"/>
                <w:sz w:val="24"/>
                <w:highlight w:val="none"/>
              </w:rPr>
            </w:pPr>
          </w:p>
        </w:tc>
      </w:tr>
    </w:tbl>
    <w:p w14:paraId="0F3C5A3F">
      <w:pPr>
        <w:spacing w:line="38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注：如投标文件含正偏离和负偏离，都应说明。如未填写则视为完全响应招标文件要求。</w:t>
      </w:r>
    </w:p>
    <w:p w14:paraId="07F3E2C2">
      <w:pPr>
        <w:spacing w:line="380" w:lineRule="exact"/>
        <w:rPr>
          <w:rFonts w:hint="eastAsia" w:ascii="宋体" w:hAnsi="宋体" w:eastAsia="宋体" w:cs="宋体"/>
          <w:b/>
          <w:color w:val="auto"/>
          <w:sz w:val="24"/>
          <w:highlight w:val="none"/>
        </w:rPr>
      </w:pPr>
    </w:p>
    <w:p w14:paraId="6228C8FC">
      <w:pPr>
        <w:widowControl/>
        <w:adjustRightInd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投标人全称（</w:t>
      </w:r>
      <w:r>
        <w:rPr>
          <w:rFonts w:hint="eastAsia" w:ascii="宋体" w:hAnsi="宋体" w:eastAsia="宋体" w:cs="宋体"/>
          <w:color w:val="auto"/>
          <w:sz w:val="22"/>
          <w:szCs w:val="22"/>
          <w:highlight w:val="none"/>
        </w:rPr>
        <w:t>加盖单位公章</w:t>
      </w:r>
      <w:r>
        <w:rPr>
          <w:rFonts w:hint="eastAsia" w:ascii="宋体" w:hAnsi="宋体" w:eastAsia="宋体" w:cs="宋体"/>
          <w:color w:val="auto"/>
          <w:kern w:val="0"/>
          <w:sz w:val="22"/>
          <w:szCs w:val="22"/>
          <w:highlight w:val="none"/>
        </w:rPr>
        <w:t>）：</w:t>
      </w:r>
    </w:p>
    <w:p w14:paraId="6995E5C5">
      <w:pPr>
        <w:widowControl/>
        <w:adjustRightInd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法定代表人或授权代表（签字或盖章）：</w:t>
      </w:r>
    </w:p>
    <w:p w14:paraId="71DB3693">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日          期：  年  月  日</w:t>
      </w:r>
    </w:p>
    <w:p w14:paraId="029AA6C8">
      <w:pPr>
        <w:snapToGrid w:val="0"/>
        <w:spacing w:before="50" w:after="156" w:afterLines="50"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28"/>
          <w:szCs w:val="28"/>
          <w:highlight w:val="none"/>
        </w:rPr>
        <w:br w:type="page"/>
      </w:r>
    </w:p>
    <w:p w14:paraId="54B01359">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附件四</w:t>
      </w:r>
    </w:p>
    <w:p w14:paraId="49C4AA9F">
      <w:pPr>
        <w:snapToGrid w:val="0"/>
        <w:spacing w:before="156" w:beforeLines="50" w:after="5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投标人基本情况表</w:t>
      </w:r>
    </w:p>
    <w:tbl>
      <w:tblPr>
        <w:tblStyle w:val="25"/>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975"/>
      </w:tblGrid>
      <w:tr w14:paraId="0BB0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E72972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7861" w:type="dxa"/>
            <w:gridSpan w:val="10"/>
            <w:vAlign w:val="center"/>
          </w:tcPr>
          <w:p w14:paraId="6E442BF3">
            <w:pPr>
              <w:spacing w:line="360" w:lineRule="auto"/>
              <w:jc w:val="center"/>
              <w:rPr>
                <w:rFonts w:hint="eastAsia" w:ascii="宋体" w:hAnsi="宋体" w:eastAsia="宋体" w:cs="宋体"/>
                <w:color w:val="auto"/>
                <w:sz w:val="22"/>
                <w:szCs w:val="22"/>
                <w:highlight w:val="none"/>
              </w:rPr>
            </w:pPr>
          </w:p>
        </w:tc>
      </w:tr>
      <w:tr w14:paraId="177A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6DCB507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3647" w:type="dxa"/>
            <w:gridSpan w:val="4"/>
            <w:vAlign w:val="center"/>
          </w:tcPr>
          <w:p w14:paraId="1210B3A8">
            <w:pPr>
              <w:spacing w:line="360" w:lineRule="auto"/>
              <w:jc w:val="center"/>
              <w:rPr>
                <w:rFonts w:hint="eastAsia" w:ascii="宋体" w:hAnsi="宋体" w:eastAsia="宋体" w:cs="宋体"/>
                <w:color w:val="auto"/>
                <w:sz w:val="22"/>
                <w:szCs w:val="22"/>
                <w:highlight w:val="none"/>
              </w:rPr>
            </w:pPr>
          </w:p>
        </w:tc>
        <w:tc>
          <w:tcPr>
            <w:tcW w:w="1602" w:type="dxa"/>
            <w:gridSpan w:val="3"/>
            <w:vAlign w:val="center"/>
          </w:tcPr>
          <w:p w14:paraId="75A2B09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612" w:type="dxa"/>
            <w:gridSpan w:val="3"/>
            <w:vAlign w:val="center"/>
          </w:tcPr>
          <w:p w14:paraId="36EDF75B">
            <w:pPr>
              <w:spacing w:line="360" w:lineRule="auto"/>
              <w:jc w:val="center"/>
              <w:rPr>
                <w:rFonts w:hint="eastAsia" w:ascii="宋体" w:hAnsi="宋体" w:eastAsia="宋体" w:cs="宋体"/>
                <w:color w:val="auto"/>
                <w:sz w:val="22"/>
                <w:szCs w:val="22"/>
                <w:highlight w:val="none"/>
              </w:rPr>
            </w:pPr>
          </w:p>
        </w:tc>
      </w:tr>
      <w:tr w14:paraId="2A17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56F77AB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c>
          <w:tcPr>
            <w:tcW w:w="1283" w:type="dxa"/>
            <w:gridSpan w:val="2"/>
            <w:vAlign w:val="center"/>
          </w:tcPr>
          <w:p w14:paraId="7731FDD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2364" w:type="dxa"/>
            <w:gridSpan w:val="2"/>
            <w:vAlign w:val="center"/>
          </w:tcPr>
          <w:p w14:paraId="433221AA">
            <w:pPr>
              <w:spacing w:line="360" w:lineRule="auto"/>
              <w:jc w:val="center"/>
              <w:rPr>
                <w:rFonts w:hint="eastAsia" w:ascii="宋体" w:hAnsi="宋体" w:eastAsia="宋体" w:cs="宋体"/>
                <w:color w:val="auto"/>
                <w:sz w:val="22"/>
                <w:szCs w:val="22"/>
                <w:highlight w:val="none"/>
              </w:rPr>
            </w:pPr>
          </w:p>
        </w:tc>
        <w:tc>
          <w:tcPr>
            <w:tcW w:w="1602" w:type="dxa"/>
            <w:gridSpan w:val="3"/>
            <w:vAlign w:val="center"/>
          </w:tcPr>
          <w:p w14:paraId="41FCF52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2612" w:type="dxa"/>
            <w:gridSpan w:val="3"/>
            <w:vAlign w:val="center"/>
          </w:tcPr>
          <w:p w14:paraId="7C519AF4">
            <w:pPr>
              <w:spacing w:line="360" w:lineRule="auto"/>
              <w:jc w:val="center"/>
              <w:rPr>
                <w:rFonts w:hint="eastAsia" w:ascii="宋体" w:hAnsi="宋体" w:eastAsia="宋体" w:cs="宋体"/>
                <w:color w:val="auto"/>
                <w:sz w:val="22"/>
                <w:szCs w:val="22"/>
                <w:highlight w:val="none"/>
              </w:rPr>
            </w:pPr>
          </w:p>
        </w:tc>
      </w:tr>
      <w:tr w14:paraId="72BE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2E58EAA7">
            <w:pPr>
              <w:spacing w:line="360" w:lineRule="auto"/>
              <w:jc w:val="center"/>
              <w:rPr>
                <w:rFonts w:hint="eastAsia" w:ascii="宋体" w:hAnsi="宋体" w:eastAsia="宋体" w:cs="宋体"/>
                <w:color w:val="auto"/>
                <w:sz w:val="22"/>
                <w:szCs w:val="22"/>
                <w:highlight w:val="none"/>
              </w:rPr>
            </w:pPr>
          </w:p>
        </w:tc>
        <w:tc>
          <w:tcPr>
            <w:tcW w:w="1283" w:type="dxa"/>
            <w:gridSpan w:val="2"/>
            <w:vAlign w:val="center"/>
          </w:tcPr>
          <w:p w14:paraId="242BA31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c>
          <w:tcPr>
            <w:tcW w:w="2364" w:type="dxa"/>
            <w:gridSpan w:val="2"/>
            <w:vAlign w:val="center"/>
          </w:tcPr>
          <w:p w14:paraId="1F1E58E3">
            <w:pPr>
              <w:spacing w:line="360" w:lineRule="auto"/>
              <w:jc w:val="center"/>
              <w:rPr>
                <w:rFonts w:hint="eastAsia" w:ascii="宋体" w:hAnsi="宋体" w:eastAsia="宋体" w:cs="宋体"/>
                <w:color w:val="auto"/>
                <w:sz w:val="22"/>
                <w:szCs w:val="22"/>
                <w:highlight w:val="none"/>
              </w:rPr>
            </w:pPr>
          </w:p>
        </w:tc>
        <w:tc>
          <w:tcPr>
            <w:tcW w:w="1602" w:type="dxa"/>
            <w:gridSpan w:val="3"/>
            <w:vAlign w:val="center"/>
          </w:tcPr>
          <w:p w14:paraId="15C8CD6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网址</w:t>
            </w:r>
          </w:p>
        </w:tc>
        <w:tc>
          <w:tcPr>
            <w:tcW w:w="2612" w:type="dxa"/>
            <w:gridSpan w:val="3"/>
            <w:vAlign w:val="center"/>
          </w:tcPr>
          <w:p w14:paraId="63CA576C">
            <w:pPr>
              <w:spacing w:line="360" w:lineRule="auto"/>
              <w:jc w:val="center"/>
              <w:rPr>
                <w:rFonts w:hint="eastAsia" w:ascii="宋体" w:hAnsi="宋体" w:eastAsia="宋体" w:cs="宋体"/>
                <w:color w:val="auto"/>
                <w:sz w:val="22"/>
                <w:szCs w:val="22"/>
                <w:highlight w:val="none"/>
              </w:rPr>
            </w:pPr>
          </w:p>
        </w:tc>
      </w:tr>
      <w:tr w14:paraId="1B41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287B9A3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组织结构</w:t>
            </w:r>
          </w:p>
        </w:tc>
        <w:tc>
          <w:tcPr>
            <w:tcW w:w="7861" w:type="dxa"/>
            <w:gridSpan w:val="10"/>
            <w:vAlign w:val="center"/>
          </w:tcPr>
          <w:p w14:paraId="2F05E98F">
            <w:pPr>
              <w:spacing w:line="360" w:lineRule="auto"/>
              <w:jc w:val="center"/>
              <w:rPr>
                <w:rFonts w:hint="eastAsia" w:ascii="宋体" w:hAnsi="宋体" w:eastAsia="宋体" w:cs="宋体"/>
                <w:color w:val="auto"/>
                <w:sz w:val="22"/>
                <w:szCs w:val="22"/>
                <w:highlight w:val="none"/>
              </w:rPr>
            </w:pPr>
          </w:p>
        </w:tc>
      </w:tr>
      <w:tr w14:paraId="36EF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5F06D1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974" w:type="dxa"/>
            <w:vAlign w:val="center"/>
          </w:tcPr>
          <w:p w14:paraId="2E272F3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661" w:type="dxa"/>
            <w:gridSpan w:val="2"/>
            <w:vAlign w:val="center"/>
          </w:tcPr>
          <w:p w14:paraId="323238DA">
            <w:pPr>
              <w:spacing w:line="360" w:lineRule="auto"/>
              <w:jc w:val="center"/>
              <w:rPr>
                <w:rFonts w:hint="eastAsia" w:ascii="宋体" w:hAnsi="宋体" w:eastAsia="宋体" w:cs="宋体"/>
                <w:color w:val="auto"/>
                <w:sz w:val="22"/>
                <w:szCs w:val="22"/>
                <w:highlight w:val="none"/>
              </w:rPr>
            </w:pPr>
          </w:p>
        </w:tc>
        <w:tc>
          <w:tcPr>
            <w:tcW w:w="1361" w:type="dxa"/>
            <w:gridSpan w:val="2"/>
            <w:vAlign w:val="center"/>
          </w:tcPr>
          <w:p w14:paraId="0865346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技术职称</w:t>
            </w:r>
          </w:p>
        </w:tc>
        <w:tc>
          <w:tcPr>
            <w:tcW w:w="1074" w:type="dxa"/>
            <w:vAlign w:val="center"/>
          </w:tcPr>
          <w:p w14:paraId="7CC840D9">
            <w:pPr>
              <w:spacing w:line="360" w:lineRule="auto"/>
              <w:jc w:val="center"/>
              <w:rPr>
                <w:rFonts w:hint="eastAsia" w:ascii="宋体" w:hAnsi="宋体" w:eastAsia="宋体" w:cs="宋体"/>
                <w:color w:val="auto"/>
                <w:sz w:val="22"/>
                <w:szCs w:val="22"/>
                <w:highlight w:val="none"/>
              </w:rPr>
            </w:pPr>
          </w:p>
        </w:tc>
        <w:tc>
          <w:tcPr>
            <w:tcW w:w="816" w:type="dxa"/>
            <w:gridSpan w:val="3"/>
            <w:vAlign w:val="center"/>
          </w:tcPr>
          <w:p w14:paraId="67FB159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975" w:type="dxa"/>
            <w:vAlign w:val="center"/>
          </w:tcPr>
          <w:p w14:paraId="0929752E">
            <w:pPr>
              <w:spacing w:line="360" w:lineRule="auto"/>
              <w:jc w:val="center"/>
              <w:rPr>
                <w:rFonts w:hint="eastAsia" w:ascii="宋体" w:hAnsi="宋体" w:eastAsia="宋体" w:cs="宋体"/>
                <w:color w:val="auto"/>
                <w:sz w:val="22"/>
                <w:szCs w:val="22"/>
                <w:highlight w:val="none"/>
              </w:rPr>
            </w:pPr>
          </w:p>
        </w:tc>
      </w:tr>
      <w:tr w14:paraId="7622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70B94B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技术负责人</w:t>
            </w:r>
          </w:p>
        </w:tc>
        <w:tc>
          <w:tcPr>
            <w:tcW w:w="974" w:type="dxa"/>
            <w:vAlign w:val="center"/>
          </w:tcPr>
          <w:p w14:paraId="773F675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661" w:type="dxa"/>
            <w:gridSpan w:val="2"/>
            <w:vAlign w:val="center"/>
          </w:tcPr>
          <w:p w14:paraId="6AA066CB">
            <w:pPr>
              <w:spacing w:line="360" w:lineRule="auto"/>
              <w:jc w:val="center"/>
              <w:rPr>
                <w:rFonts w:hint="eastAsia" w:ascii="宋体" w:hAnsi="宋体" w:eastAsia="宋体" w:cs="宋体"/>
                <w:color w:val="auto"/>
                <w:sz w:val="22"/>
                <w:szCs w:val="22"/>
                <w:highlight w:val="none"/>
              </w:rPr>
            </w:pPr>
          </w:p>
        </w:tc>
        <w:tc>
          <w:tcPr>
            <w:tcW w:w="1361" w:type="dxa"/>
            <w:gridSpan w:val="2"/>
            <w:vAlign w:val="center"/>
          </w:tcPr>
          <w:p w14:paraId="2E892CD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技术职称</w:t>
            </w:r>
          </w:p>
        </w:tc>
        <w:tc>
          <w:tcPr>
            <w:tcW w:w="1074" w:type="dxa"/>
            <w:vAlign w:val="center"/>
          </w:tcPr>
          <w:p w14:paraId="402292C3">
            <w:pPr>
              <w:spacing w:line="360" w:lineRule="auto"/>
              <w:jc w:val="center"/>
              <w:rPr>
                <w:rFonts w:hint="eastAsia" w:ascii="宋体" w:hAnsi="宋体" w:eastAsia="宋体" w:cs="宋体"/>
                <w:color w:val="auto"/>
                <w:sz w:val="22"/>
                <w:szCs w:val="22"/>
                <w:highlight w:val="none"/>
              </w:rPr>
            </w:pPr>
          </w:p>
        </w:tc>
        <w:tc>
          <w:tcPr>
            <w:tcW w:w="816" w:type="dxa"/>
            <w:gridSpan w:val="3"/>
            <w:vAlign w:val="center"/>
          </w:tcPr>
          <w:p w14:paraId="517AA29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975" w:type="dxa"/>
            <w:vAlign w:val="center"/>
          </w:tcPr>
          <w:p w14:paraId="499C84EF">
            <w:pPr>
              <w:spacing w:line="360" w:lineRule="auto"/>
              <w:jc w:val="center"/>
              <w:rPr>
                <w:rFonts w:hint="eastAsia" w:ascii="宋体" w:hAnsi="宋体" w:eastAsia="宋体" w:cs="宋体"/>
                <w:color w:val="auto"/>
                <w:sz w:val="22"/>
                <w:szCs w:val="22"/>
                <w:highlight w:val="none"/>
              </w:rPr>
            </w:pPr>
          </w:p>
        </w:tc>
      </w:tr>
      <w:tr w14:paraId="683B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B3115A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成立时间</w:t>
            </w:r>
          </w:p>
        </w:tc>
        <w:tc>
          <w:tcPr>
            <w:tcW w:w="2635" w:type="dxa"/>
            <w:gridSpan w:val="3"/>
            <w:vAlign w:val="center"/>
          </w:tcPr>
          <w:p w14:paraId="47BF6ECA">
            <w:pPr>
              <w:spacing w:line="360" w:lineRule="auto"/>
              <w:jc w:val="center"/>
              <w:rPr>
                <w:rFonts w:hint="eastAsia" w:ascii="宋体" w:hAnsi="宋体" w:eastAsia="宋体" w:cs="宋体"/>
                <w:color w:val="auto"/>
                <w:sz w:val="22"/>
                <w:szCs w:val="22"/>
                <w:highlight w:val="none"/>
              </w:rPr>
            </w:pPr>
          </w:p>
        </w:tc>
        <w:tc>
          <w:tcPr>
            <w:tcW w:w="5226" w:type="dxa"/>
            <w:gridSpan w:val="7"/>
            <w:vAlign w:val="center"/>
          </w:tcPr>
          <w:p w14:paraId="79B8602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r>
      <w:tr w14:paraId="121E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34E20D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企业资质等级</w:t>
            </w:r>
          </w:p>
        </w:tc>
        <w:tc>
          <w:tcPr>
            <w:tcW w:w="2635" w:type="dxa"/>
            <w:gridSpan w:val="3"/>
            <w:vAlign w:val="center"/>
          </w:tcPr>
          <w:p w14:paraId="79734BE1">
            <w:pPr>
              <w:spacing w:line="360" w:lineRule="auto"/>
              <w:jc w:val="center"/>
              <w:rPr>
                <w:rFonts w:hint="eastAsia" w:ascii="宋体" w:hAnsi="宋体" w:eastAsia="宋体" w:cs="宋体"/>
                <w:color w:val="auto"/>
                <w:sz w:val="22"/>
                <w:szCs w:val="22"/>
                <w:highlight w:val="none"/>
              </w:rPr>
            </w:pPr>
          </w:p>
        </w:tc>
        <w:tc>
          <w:tcPr>
            <w:tcW w:w="1012" w:type="dxa"/>
            <w:vMerge w:val="restart"/>
            <w:vAlign w:val="center"/>
          </w:tcPr>
          <w:p w14:paraId="439757F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tc>
        <w:tc>
          <w:tcPr>
            <w:tcW w:w="1954" w:type="dxa"/>
            <w:gridSpan w:val="4"/>
            <w:vAlign w:val="center"/>
          </w:tcPr>
          <w:p w14:paraId="2BCADBF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高级职称人员</w:t>
            </w:r>
          </w:p>
        </w:tc>
        <w:tc>
          <w:tcPr>
            <w:tcW w:w="2260" w:type="dxa"/>
            <w:gridSpan w:val="2"/>
            <w:vAlign w:val="center"/>
          </w:tcPr>
          <w:p w14:paraId="4CB258CB">
            <w:pPr>
              <w:spacing w:line="360" w:lineRule="auto"/>
              <w:jc w:val="center"/>
              <w:rPr>
                <w:rFonts w:hint="eastAsia" w:ascii="宋体" w:hAnsi="宋体" w:eastAsia="宋体" w:cs="宋体"/>
                <w:color w:val="auto"/>
                <w:sz w:val="22"/>
                <w:szCs w:val="22"/>
                <w:highlight w:val="none"/>
              </w:rPr>
            </w:pPr>
          </w:p>
        </w:tc>
      </w:tr>
      <w:tr w14:paraId="0D25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CA6C1B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营业执照号</w:t>
            </w:r>
          </w:p>
        </w:tc>
        <w:tc>
          <w:tcPr>
            <w:tcW w:w="2635" w:type="dxa"/>
            <w:gridSpan w:val="3"/>
            <w:vAlign w:val="center"/>
          </w:tcPr>
          <w:p w14:paraId="262F8226">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402C86A8">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740AEDB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中级职称人员</w:t>
            </w:r>
          </w:p>
        </w:tc>
        <w:tc>
          <w:tcPr>
            <w:tcW w:w="2260" w:type="dxa"/>
            <w:gridSpan w:val="2"/>
            <w:vAlign w:val="center"/>
          </w:tcPr>
          <w:p w14:paraId="4B3023EB">
            <w:pPr>
              <w:spacing w:line="360" w:lineRule="auto"/>
              <w:jc w:val="center"/>
              <w:rPr>
                <w:rFonts w:hint="eastAsia" w:ascii="宋体" w:hAnsi="宋体" w:eastAsia="宋体" w:cs="宋体"/>
                <w:color w:val="auto"/>
                <w:sz w:val="22"/>
                <w:szCs w:val="22"/>
                <w:highlight w:val="none"/>
              </w:rPr>
            </w:pPr>
          </w:p>
        </w:tc>
      </w:tr>
      <w:tr w14:paraId="5BF4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21C93B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注册资金</w:t>
            </w:r>
          </w:p>
        </w:tc>
        <w:tc>
          <w:tcPr>
            <w:tcW w:w="2635" w:type="dxa"/>
            <w:gridSpan w:val="3"/>
            <w:vAlign w:val="center"/>
          </w:tcPr>
          <w:p w14:paraId="1752B1EA">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6A2BACFE">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03D5F90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初级职称人员</w:t>
            </w:r>
          </w:p>
        </w:tc>
        <w:tc>
          <w:tcPr>
            <w:tcW w:w="2260" w:type="dxa"/>
            <w:gridSpan w:val="2"/>
            <w:vAlign w:val="center"/>
          </w:tcPr>
          <w:p w14:paraId="132D1DCA">
            <w:pPr>
              <w:spacing w:line="360" w:lineRule="auto"/>
              <w:jc w:val="center"/>
              <w:rPr>
                <w:rFonts w:hint="eastAsia" w:ascii="宋体" w:hAnsi="宋体" w:eastAsia="宋体" w:cs="宋体"/>
                <w:color w:val="auto"/>
                <w:sz w:val="22"/>
                <w:szCs w:val="22"/>
                <w:highlight w:val="none"/>
              </w:rPr>
            </w:pPr>
          </w:p>
        </w:tc>
      </w:tr>
      <w:tr w14:paraId="16C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EAABD93">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635" w:type="dxa"/>
            <w:gridSpan w:val="3"/>
            <w:vAlign w:val="center"/>
          </w:tcPr>
          <w:p w14:paraId="24BBB98E">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6138298E">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344E55B2">
            <w:pPr>
              <w:spacing w:line="360" w:lineRule="auto"/>
              <w:jc w:val="center"/>
              <w:rPr>
                <w:rFonts w:hint="eastAsia" w:ascii="宋体" w:hAnsi="宋体" w:eastAsia="宋体" w:cs="宋体"/>
                <w:color w:val="auto"/>
                <w:sz w:val="22"/>
                <w:szCs w:val="22"/>
                <w:highlight w:val="none"/>
              </w:rPr>
            </w:pPr>
          </w:p>
        </w:tc>
        <w:tc>
          <w:tcPr>
            <w:tcW w:w="2260" w:type="dxa"/>
            <w:gridSpan w:val="2"/>
            <w:vAlign w:val="center"/>
          </w:tcPr>
          <w:p w14:paraId="339AEBC8">
            <w:pPr>
              <w:spacing w:line="360" w:lineRule="auto"/>
              <w:jc w:val="center"/>
              <w:rPr>
                <w:rFonts w:hint="eastAsia" w:ascii="宋体" w:hAnsi="宋体" w:eastAsia="宋体" w:cs="宋体"/>
                <w:color w:val="auto"/>
                <w:sz w:val="22"/>
                <w:szCs w:val="22"/>
                <w:highlight w:val="none"/>
              </w:rPr>
            </w:pPr>
          </w:p>
        </w:tc>
      </w:tr>
      <w:tr w14:paraId="3C8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2265267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tc>
        <w:tc>
          <w:tcPr>
            <w:tcW w:w="2635" w:type="dxa"/>
            <w:gridSpan w:val="3"/>
            <w:vAlign w:val="center"/>
          </w:tcPr>
          <w:p w14:paraId="7769684C">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77A8C03F">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40C1DE1D">
            <w:pPr>
              <w:spacing w:line="360" w:lineRule="auto"/>
              <w:jc w:val="center"/>
              <w:rPr>
                <w:rFonts w:hint="eastAsia" w:ascii="宋体" w:hAnsi="宋体" w:eastAsia="宋体" w:cs="宋体"/>
                <w:color w:val="auto"/>
                <w:sz w:val="22"/>
                <w:szCs w:val="22"/>
                <w:highlight w:val="none"/>
              </w:rPr>
            </w:pPr>
          </w:p>
        </w:tc>
        <w:tc>
          <w:tcPr>
            <w:tcW w:w="2260" w:type="dxa"/>
            <w:gridSpan w:val="2"/>
            <w:vAlign w:val="center"/>
          </w:tcPr>
          <w:p w14:paraId="3AB3752B">
            <w:pPr>
              <w:spacing w:line="360" w:lineRule="auto"/>
              <w:jc w:val="center"/>
              <w:rPr>
                <w:rFonts w:hint="eastAsia" w:ascii="宋体" w:hAnsi="宋体" w:eastAsia="宋体" w:cs="宋体"/>
                <w:color w:val="auto"/>
                <w:sz w:val="22"/>
                <w:szCs w:val="22"/>
                <w:highlight w:val="none"/>
              </w:rPr>
            </w:pPr>
          </w:p>
        </w:tc>
      </w:tr>
      <w:tr w14:paraId="123B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1" w:type="dxa"/>
            <w:vAlign w:val="center"/>
          </w:tcPr>
          <w:p w14:paraId="20C5166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经营范围</w:t>
            </w:r>
          </w:p>
        </w:tc>
        <w:tc>
          <w:tcPr>
            <w:tcW w:w="7861" w:type="dxa"/>
            <w:gridSpan w:val="10"/>
            <w:vAlign w:val="center"/>
          </w:tcPr>
          <w:p w14:paraId="6BF1D9B3">
            <w:pPr>
              <w:spacing w:line="360" w:lineRule="auto"/>
              <w:jc w:val="center"/>
              <w:rPr>
                <w:rFonts w:hint="eastAsia" w:ascii="宋体" w:hAnsi="宋体" w:eastAsia="宋体" w:cs="宋体"/>
                <w:color w:val="auto"/>
                <w:sz w:val="22"/>
                <w:szCs w:val="22"/>
                <w:highlight w:val="none"/>
              </w:rPr>
            </w:pPr>
          </w:p>
        </w:tc>
      </w:tr>
      <w:tr w14:paraId="18FF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14:paraId="12ADE9C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财务状况</w:t>
            </w:r>
          </w:p>
        </w:tc>
        <w:tc>
          <w:tcPr>
            <w:tcW w:w="7861" w:type="dxa"/>
            <w:gridSpan w:val="10"/>
            <w:vAlign w:val="center"/>
          </w:tcPr>
          <w:p w14:paraId="05E90D92">
            <w:pPr>
              <w:spacing w:line="360" w:lineRule="exact"/>
              <w:ind w:firstLine="462" w:firstLineChars="210"/>
              <w:jc w:val="center"/>
              <w:rPr>
                <w:rFonts w:hint="eastAsia" w:ascii="宋体" w:hAnsi="宋体" w:eastAsia="宋体" w:cs="宋体"/>
                <w:color w:val="auto"/>
                <w:sz w:val="22"/>
                <w:szCs w:val="22"/>
                <w:highlight w:val="none"/>
              </w:rPr>
            </w:pPr>
          </w:p>
        </w:tc>
      </w:tr>
      <w:tr w14:paraId="7E6B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14:paraId="69AD418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7861" w:type="dxa"/>
            <w:gridSpan w:val="10"/>
            <w:vAlign w:val="center"/>
          </w:tcPr>
          <w:p w14:paraId="063CE1FE">
            <w:pPr>
              <w:spacing w:line="360" w:lineRule="auto"/>
              <w:jc w:val="center"/>
              <w:rPr>
                <w:rFonts w:hint="eastAsia" w:ascii="宋体" w:hAnsi="宋体" w:eastAsia="宋体" w:cs="宋体"/>
                <w:color w:val="auto"/>
                <w:sz w:val="22"/>
                <w:szCs w:val="22"/>
                <w:highlight w:val="none"/>
              </w:rPr>
            </w:pPr>
          </w:p>
        </w:tc>
      </w:tr>
    </w:tbl>
    <w:p w14:paraId="15DF4047">
      <w:pPr>
        <w:snapToGrid w:val="0"/>
        <w:spacing w:before="156" w:beforeLines="50" w:after="50" w:line="360" w:lineRule="auto"/>
        <w:rPr>
          <w:rFonts w:hint="eastAsia" w:ascii="宋体" w:hAnsi="宋体" w:eastAsia="宋体" w:cs="宋体"/>
          <w:color w:val="auto"/>
          <w:sz w:val="28"/>
          <w:szCs w:val="28"/>
          <w:highlight w:val="none"/>
        </w:rPr>
      </w:pPr>
    </w:p>
    <w:p w14:paraId="0BB934A8">
      <w:pPr>
        <w:pStyle w:val="24"/>
        <w:rPr>
          <w:rFonts w:hint="eastAsia" w:ascii="宋体" w:hAnsi="宋体" w:eastAsia="宋体" w:cs="宋体"/>
          <w:color w:val="auto"/>
          <w:highlight w:val="none"/>
        </w:rPr>
      </w:pPr>
    </w:p>
    <w:p w14:paraId="0EA6EC93">
      <w:pPr>
        <w:rPr>
          <w:rFonts w:hint="eastAsia" w:ascii="宋体" w:hAnsi="宋体" w:eastAsia="宋体" w:cs="宋体"/>
          <w:color w:val="auto"/>
          <w:highlight w:val="none"/>
        </w:rPr>
      </w:pPr>
    </w:p>
    <w:p w14:paraId="2871ED05">
      <w:pPr>
        <w:rPr>
          <w:rFonts w:hint="eastAsia" w:ascii="宋体" w:hAnsi="宋体" w:eastAsia="宋体" w:cs="宋体"/>
          <w:color w:val="auto"/>
          <w:highlight w:val="none"/>
        </w:rPr>
      </w:pPr>
    </w:p>
    <w:p w14:paraId="266682D1">
      <w:pPr>
        <w:pStyle w:val="24"/>
        <w:rPr>
          <w:rFonts w:hint="eastAsia" w:ascii="宋体" w:hAnsi="宋体" w:eastAsia="宋体" w:cs="宋体"/>
          <w:color w:val="auto"/>
          <w:highlight w:val="none"/>
        </w:rPr>
      </w:pPr>
    </w:p>
    <w:p w14:paraId="23AD8B2A">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0FDE5FD6">
      <w:pPr>
        <w:snapToGrid w:val="0"/>
        <w:spacing w:before="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附件五</w:t>
      </w:r>
    </w:p>
    <w:p w14:paraId="229329B4">
      <w:pPr>
        <w:snapToGrid w:val="0"/>
        <w:spacing w:before="156" w:beforeLines="50" w:after="5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体系认证情况</w:t>
      </w:r>
    </w:p>
    <w:tbl>
      <w:tblPr>
        <w:tblStyle w:val="25"/>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2"/>
      </w:tblGrid>
      <w:tr w14:paraId="4347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3" w:hRule="atLeast"/>
          <w:jc w:val="center"/>
        </w:trPr>
        <w:tc>
          <w:tcPr>
            <w:tcW w:w="9632" w:type="dxa"/>
            <w:vAlign w:val="center"/>
          </w:tcPr>
          <w:p w14:paraId="1E0BC0F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格式自拟</w:t>
            </w:r>
          </w:p>
        </w:tc>
      </w:tr>
    </w:tbl>
    <w:p w14:paraId="306C346E">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659004A">
      <w:pPr>
        <w:snapToGrid w:val="0"/>
        <w:spacing w:before="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附件六</w:t>
      </w:r>
    </w:p>
    <w:p w14:paraId="57DE4A20">
      <w:pPr>
        <w:spacing w:line="320" w:lineRule="exact"/>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项目业绩情况表</w:t>
      </w:r>
    </w:p>
    <w:tbl>
      <w:tblPr>
        <w:tblStyle w:val="2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1200"/>
        <w:gridCol w:w="1675"/>
        <w:gridCol w:w="1598"/>
        <w:gridCol w:w="1803"/>
      </w:tblGrid>
      <w:tr w14:paraId="2414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vAlign w:val="center"/>
          </w:tcPr>
          <w:p w14:paraId="3AD0A090">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200" w:type="dxa"/>
            <w:vAlign w:val="center"/>
          </w:tcPr>
          <w:p w14:paraId="43B0CD7D">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675" w:type="dxa"/>
            <w:vAlign w:val="center"/>
          </w:tcPr>
          <w:p w14:paraId="42758D43">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业主单位全称</w:t>
            </w:r>
          </w:p>
        </w:tc>
        <w:tc>
          <w:tcPr>
            <w:tcW w:w="1598" w:type="dxa"/>
            <w:tcBorders>
              <w:bottom w:val="single" w:color="auto" w:sz="4" w:space="0"/>
            </w:tcBorders>
            <w:vAlign w:val="center"/>
          </w:tcPr>
          <w:p w14:paraId="1EB87C1E">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合作单位联系人电话</w:t>
            </w:r>
          </w:p>
        </w:tc>
        <w:tc>
          <w:tcPr>
            <w:tcW w:w="1803" w:type="dxa"/>
            <w:tcBorders>
              <w:bottom w:val="single" w:color="auto" w:sz="4" w:space="0"/>
            </w:tcBorders>
            <w:vAlign w:val="center"/>
          </w:tcPr>
          <w:p w14:paraId="4AF16610">
            <w:pPr>
              <w:tabs>
                <w:tab w:val="left" w:pos="692"/>
              </w:tabs>
              <w:spacing w:line="400" w:lineRule="atLeast"/>
              <w:ind w:left="240" w:hanging="240" w:hangingChars="100"/>
              <w:rPr>
                <w:rFonts w:hint="eastAsia" w:ascii="宋体" w:hAnsi="宋体" w:eastAsia="宋体" w:cs="宋体"/>
                <w:b/>
                <w:color w:val="auto"/>
                <w:sz w:val="24"/>
                <w:highlight w:val="none"/>
                <w:u w:val="thick"/>
              </w:rPr>
            </w:pPr>
            <w:r>
              <w:rPr>
                <w:rFonts w:hint="eastAsia" w:ascii="宋体" w:hAnsi="宋体" w:eastAsia="宋体" w:cs="宋体"/>
                <w:color w:val="auto"/>
                <w:sz w:val="24"/>
                <w:highlight w:val="none"/>
              </w:rPr>
              <w:t>合同签订时间</w:t>
            </w:r>
          </w:p>
        </w:tc>
      </w:tr>
      <w:tr w14:paraId="2398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C603B79">
            <w:pPr>
              <w:spacing w:line="400" w:lineRule="atLeast"/>
              <w:jc w:val="center"/>
              <w:rPr>
                <w:rFonts w:hint="eastAsia" w:ascii="宋体" w:hAnsi="宋体" w:eastAsia="宋体" w:cs="宋体"/>
                <w:color w:val="auto"/>
                <w:sz w:val="24"/>
                <w:highlight w:val="none"/>
              </w:rPr>
            </w:pPr>
          </w:p>
        </w:tc>
        <w:tc>
          <w:tcPr>
            <w:tcW w:w="1200" w:type="dxa"/>
          </w:tcPr>
          <w:p w14:paraId="069E3C9C">
            <w:pPr>
              <w:spacing w:line="400" w:lineRule="atLeast"/>
              <w:jc w:val="center"/>
              <w:rPr>
                <w:rFonts w:hint="eastAsia" w:ascii="宋体" w:hAnsi="宋体" w:eastAsia="宋体" w:cs="宋体"/>
                <w:color w:val="auto"/>
                <w:sz w:val="24"/>
                <w:highlight w:val="none"/>
              </w:rPr>
            </w:pPr>
          </w:p>
        </w:tc>
        <w:tc>
          <w:tcPr>
            <w:tcW w:w="1675" w:type="dxa"/>
          </w:tcPr>
          <w:p w14:paraId="7AB40EF1">
            <w:pPr>
              <w:spacing w:line="400" w:lineRule="atLeast"/>
              <w:jc w:val="center"/>
              <w:rPr>
                <w:rFonts w:hint="eastAsia" w:ascii="宋体" w:hAnsi="宋体" w:eastAsia="宋体" w:cs="宋体"/>
                <w:color w:val="auto"/>
                <w:sz w:val="24"/>
                <w:highlight w:val="none"/>
              </w:rPr>
            </w:pPr>
          </w:p>
        </w:tc>
        <w:tc>
          <w:tcPr>
            <w:tcW w:w="1598" w:type="dxa"/>
          </w:tcPr>
          <w:p w14:paraId="177D0E99">
            <w:pPr>
              <w:spacing w:line="400" w:lineRule="atLeast"/>
              <w:jc w:val="center"/>
              <w:rPr>
                <w:rFonts w:hint="eastAsia" w:ascii="宋体" w:hAnsi="宋体" w:eastAsia="宋体" w:cs="宋体"/>
                <w:color w:val="auto"/>
                <w:sz w:val="24"/>
                <w:highlight w:val="none"/>
              </w:rPr>
            </w:pPr>
          </w:p>
        </w:tc>
        <w:tc>
          <w:tcPr>
            <w:tcW w:w="1803" w:type="dxa"/>
          </w:tcPr>
          <w:p w14:paraId="081F5CA2">
            <w:pPr>
              <w:spacing w:line="400" w:lineRule="atLeast"/>
              <w:jc w:val="center"/>
              <w:rPr>
                <w:rFonts w:hint="eastAsia" w:ascii="宋体" w:hAnsi="宋体" w:eastAsia="宋体" w:cs="宋体"/>
                <w:color w:val="auto"/>
                <w:sz w:val="24"/>
                <w:highlight w:val="none"/>
              </w:rPr>
            </w:pPr>
          </w:p>
        </w:tc>
      </w:tr>
      <w:tr w14:paraId="082D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372A1069">
            <w:pPr>
              <w:spacing w:line="400" w:lineRule="atLeast"/>
              <w:jc w:val="center"/>
              <w:rPr>
                <w:rFonts w:hint="eastAsia" w:ascii="宋体" w:hAnsi="宋体" w:eastAsia="宋体" w:cs="宋体"/>
                <w:color w:val="auto"/>
                <w:sz w:val="24"/>
                <w:highlight w:val="none"/>
              </w:rPr>
            </w:pPr>
          </w:p>
        </w:tc>
        <w:tc>
          <w:tcPr>
            <w:tcW w:w="1200" w:type="dxa"/>
          </w:tcPr>
          <w:p w14:paraId="04D1B329">
            <w:pPr>
              <w:spacing w:line="400" w:lineRule="atLeast"/>
              <w:jc w:val="center"/>
              <w:rPr>
                <w:rFonts w:hint="eastAsia" w:ascii="宋体" w:hAnsi="宋体" w:eastAsia="宋体" w:cs="宋体"/>
                <w:color w:val="auto"/>
                <w:sz w:val="24"/>
                <w:highlight w:val="none"/>
              </w:rPr>
            </w:pPr>
          </w:p>
        </w:tc>
        <w:tc>
          <w:tcPr>
            <w:tcW w:w="1675" w:type="dxa"/>
          </w:tcPr>
          <w:p w14:paraId="517ACD54">
            <w:pPr>
              <w:spacing w:line="400" w:lineRule="atLeast"/>
              <w:jc w:val="center"/>
              <w:rPr>
                <w:rFonts w:hint="eastAsia" w:ascii="宋体" w:hAnsi="宋体" w:eastAsia="宋体" w:cs="宋体"/>
                <w:color w:val="auto"/>
                <w:sz w:val="24"/>
                <w:highlight w:val="none"/>
              </w:rPr>
            </w:pPr>
          </w:p>
        </w:tc>
        <w:tc>
          <w:tcPr>
            <w:tcW w:w="1598" w:type="dxa"/>
          </w:tcPr>
          <w:p w14:paraId="08AE1C23">
            <w:pPr>
              <w:spacing w:line="400" w:lineRule="atLeast"/>
              <w:jc w:val="center"/>
              <w:rPr>
                <w:rFonts w:hint="eastAsia" w:ascii="宋体" w:hAnsi="宋体" w:eastAsia="宋体" w:cs="宋体"/>
                <w:color w:val="auto"/>
                <w:sz w:val="24"/>
                <w:highlight w:val="none"/>
              </w:rPr>
            </w:pPr>
          </w:p>
        </w:tc>
        <w:tc>
          <w:tcPr>
            <w:tcW w:w="1803" w:type="dxa"/>
          </w:tcPr>
          <w:p w14:paraId="4A5EBEBD">
            <w:pPr>
              <w:spacing w:line="400" w:lineRule="atLeast"/>
              <w:jc w:val="center"/>
              <w:rPr>
                <w:rFonts w:hint="eastAsia" w:ascii="宋体" w:hAnsi="宋体" w:eastAsia="宋体" w:cs="宋体"/>
                <w:color w:val="auto"/>
                <w:sz w:val="24"/>
                <w:highlight w:val="none"/>
              </w:rPr>
            </w:pPr>
          </w:p>
        </w:tc>
      </w:tr>
      <w:tr w14:paraId="529D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35444D49">
            <w:pPr>
              <w:spacing w:line="400" w:lineRule="atLeast"/>
              <w:jc w:val="center"/>
              <w:rPr>
                <w:rFonts w:hint="eastAsia" w:ascii="宋体" w:hAnsi="宋体" w:eastAsia="宋体" w:cs="宋体"/>
                <w:color w:val="auto"/>
                <w:sz w:val="24"/>
                <w:highlight w:val="none"/>
              </w:rPr>
            </w:pPr>
          </w:p>
        </w:tc>
        <w:tc>
          <w:tcPr>
            <w:tcW w:w="1200" w:type="dxa"/>
          </w:tcPr>
          <w:p w14:paraId="4201216D">
            <w:pPr>
              <w:spacing w:line="400" w:lineRule="atLeast"/>
              <w:jc w:val="center"/>
              <w:rPr>
                <w:rFonts w:hint="eastAsia" w:ascii="宋体" w:hAnsi="宋体" w:eastAsia="宋体" w:cs="宋体"/>
                <w:color w:val="auto"/>
                <w:sz w:val="24"/>
                <w:highlight w:val="none"/>
              </w:rPr>
            </w:pPr>
          </w:p>
        </w:tc>
        <w:tc>
          <w:tcPr>
            <w:tcW w:w="1675" w:type="dxa"/>
          </w:tcPr>
          <w:p w14:paraId="704F0572">
            <w:pPr>
              <w:spacing w:line="400" w:lineRule="atLeast"/>
              <w:jc w:val="center"/>
              <w:rPr>
                <w:rFonts w:hint="eastAsia" w:ascii="宋体" w:hAnsi="宋体" w:eastAsia="宋体" w:cs="宋体"/>
                <w:color w:val="auto"/>
                <w:sz w:val="24"/>
                <w:highlight w:val="none"/>
              </w:rPr>
            </w:pPr>
          </w:p>
        </w:tc>
        <w:tc>
          <w:tcPr>
            <w:tcW w:w="1598" w:type="dxa"/>
          </w:tcPr>
          <w:p w14:paraId="780A449D">
            <w:pPr>
              <w:spacing w:line="400" w:lineRule="atLeast"/>
              <w:jc w:val="center"/>
              <w:rPr>
                <w:rFonts w:hint="eastAsia" w:ascii="宋体" w:hAnsi="宋体" w:eastAsia="宋体" w:cs="宋体"/>
                <w:color w:val="auto"/>
                <w:sz w:val="24"/>
                <w:highlight w:val="none"/>
              </w:rPr>
            </w:pPr>
          </w:p>
        </w:tc>
        <w:tc>
          <w:tcPr>
            <w:tcW w:w="1803" w:type="dxa"/>
          </w:tcPr>
          <w:p w14:paraId="714E1596">
            <w:pPr>
              <w:spacing w:line="400" w:lineRule="atLeast"/>
              <w:jc w:val="center"/>
              <w:rPr>
                <w:rFonts w:hint="eastAsia" w:ascii="宋体" w:hAnsi="宋体" w:eastAsia="宋体" w:cs="宋体"/>
                <w:color w:val="auto"/>
                <w:sz w:val="24"/>
                <w:highlight w:val="none"/>
              </w:rPr>
            </w:pPr>
          </w:p>
        </w:tc>
      </w:tr>
      <w:tr w14:paraId="748D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0B4CCB9">
            <w:pPr>
              <w:spacing w:line="400" w:lineRule="atLeast"/>
              <w:jc w:val="center"/>
              <w:rPr>
                <w:rFonts w:hint="eastAsia" w:ascii="宋体" w:hAnsi="宋体" w:eastAsia="宋体" w:cs="宋体"/>
                <w:color w:val="auto"/>
                <w:sz w:val="24"/>
                <w:highlight w:val="none"/>
              </w:rPr>
            </w:pPr>
          </w:p>
        </w:tc>
        <w:tc>
          <w:tcPr>
            <w:tcW w:w="1200" w:type="dxa"/>
          </w:tcPr>
          <w:p w14:paraId="18C77903">
            <w:pPr>
              <w:spacing w:line="400" w:lineRule="atLeast"/>
              <w:jc w:val="center"/>
              <w:rPr>
                <w:rFonts w:hint="eastAsia" w:ascii="宋体" w:hAnsi="宋体" w:eastAsia="宋体" w:cs="宋体"/>
                <w:color w:val="auto"/>
                <w:sz w:val="24"/>
                <w:highlight w:val="none"/>
              </w:rPr>
            </w:pPr>
          </w:p>
        </w:tc>
        <w:tc>
          <w:tcPr>
            <w:tcW w:w="1675" w:type="dxa"/>
          </w:tcPr>
          <w:p w14:paraId="718A3421">
            <w:pPr>
              <w:spacing w:line="400" w:lineRule="atLeast"/>
              <w:jc w:val="center"/>
              <w:rPr>
                <w:rFonts w:hint="eastAsia" w:ascii="宋体" w:hAnsi="宋体" w:eastAsia="宋体" w:cs="宋体"/>
                <w:color w:val="auto"/>
                <w:sz w:val="24"/>
                <w:highlight w:val="none"/>
              </w:rPr>
            </w:pPr>
          </w:p>
        </w:tc>
        <w:tc>
          <w:tcPr>
            <w:tcW w:w="1598" w:type="dxa"/>
          </w:tcPr>
          <w:p w14:paraId="0DBEB0B3">
            <w:pPr>
              <w:spacing w:line="400" w:lineRule="atLeast"/>
              <w:jc w:val="center"/>
              <w:rPr>
                <w:rFonts w:hint="eastAsia" w:ascii="宋体" w:hAnsi="宋体" w:eastAsia="宋体" w:cs="宋体"/>
                <w:color w:val="auto"/>
                <w:sz w:val="24"/>
                <w:highlight w:val="none"/>
              </w:rPr>
            </w:pPr>
          </w:p>
        </w:tc>
        <w:tc>
          <w:tcPr>
            <w:tcW w:w="1803" w:type="dxa"/>
          </w:tcPr>
          <w:p w14:paraId="2DFCC5BF">
            <w:pPr>
              <w:spacing w:line="400" w:lineRule="atLeast"/>
              <w:jc w:val="center"/>
              <w:rPr>
                <w:rFonts w:hint="eastAsia" w:ascii="宋体" w:hAnsi="宋体" w:eastAsia="宋体" w:cs="宋体"/>
                <w:color w:val="auto"/>
                <w:sz w:val="24"/>
                <w:highlight w:val="none"/>
              </w:rPr>
            </w:pPr>
          </w:p>
        </w:tc>
      </w:tr>
      <w:tr w14:paraId="0ECE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164EC86">
            <w:pPr>
              <w:spacing w:line="400" w:lineRule="atLeast"/>
              <w:jc w:val="center"/>
              <w:rPr>
                <w:rFonts w:hint="eastAsia" w:ascii="宋体" w:hAnsi="宋体" w:eastAsia="宋体" w:cs="宋体"/>
                <w:color w:val="auto"/>
                <w:sz w:val="24"/>
                <w:highlight w:val="none"/>
              </w:rPr>
            </w:pPr>
          </w:p>
        </w:tc>
        <w:tc>
          <w:tcPr>
            <w:tcW w:w="1200" w:type="dxa"/>
          </w:tcPr>
          <w:p w14:paraId="4B4C47C3">
            <w:pPr>
              <w:spacing w:line="400" w:lineRule="atLeast"/>
              <w:jc w:val="center"/>
              <w:rPr>
                <w:rFonts w:hint="eastAsia" w:ascii="宋体" w:hAnsi="宋体" w:eastAsia="宋体" w:cs="宋体"/>
                <w:color w:val="auto"/>
                <w:sz w:val="24"/>
                <w:highlight w:val="none"/>
              </w:rPr>
            </w:pPr>
          </w:p>
        </w:tc>
        <w:tc>
          <w:tcPr>
            <w:tcW w:w="1675" w:type="dxa"/>
          </w:tcPr>
          <w:p w14:paraId="5EBEE122">
            <w:pPr>
              <w:spacing w:line="400" w:lineRule="atLeast"/>
              <w:jc w:val="center"/>
              <w:rPr>
                <w:rFonts w:hint="eastAsia" w:ascii="宋体" w:hAnsi="宋体" w:eastAsia="宋体" w:cs="宋体"/>
                <w:color w:val="auto"/>
                <w:sz w:val="24"/>
                <w:highlight w:val="none"/>
              </w:rPr>
            </w:pPr>
          </w:p>
        </w:tc>
        <w:tc>
          <w:tcPr>
            <w:tcW w:w="1598" w:type="dxa"/>
          </w:tcPr>
          <w:p w14:paraId="314A76B4">
            <w:pPr>
              <w:spacing w:line="400" w:lineRule="atLeast"/>
              <w:jc w:val="center"/>
              <w:rPr>
                <w:rFonts w:hint="eastAsia" w:ascii="宋体" w:hAnsi="宋体" w:eastAsia="宋体" w:cs="宋体"/>
                <w:color w:val="auto"/>
                <w:sz w:val="24"/>
                <w:highlight w:val="none"/>
              </w:rPr>
            </w:pPr>
          </w:p>
        </w:tc>
        <w:tc>
          <w:tcPr>
            <w:tcW w:w="1803" w:type="dxa"/>
          </w:tcPr>
          <w:p w14:paraId="5DA9C568">
            <w:pPr>
              <w:spacing w:line="400" w:lineRule="atLeast"/>
              <w:jc w:val="center"/>
              <w:rPr>
                <w:rFonts w:hint="eastAsia" w:ascii="宋体" w:hAnsi="宋体" w:eastAsia="宋体" w:cs="宋体"/>
                <w:color w:val="auto"/>
                <w:sz w:val="24"/>
                <w:highlight w:val="none"/>
              </w:rPr>
            </w:pPr>
          </w:p>
        </w:tc>
      </w:tr>
      <w:tr w14:paraId="615D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72E4691">
            <w:pPr>
              <w:spacing w:line="400" w:lineRule="atLeast"/>
              <w:jc w:val="center"/>
              <w:rPr>
                <w:rFonts w:hint="eastAsia" w:ascii="宋体" w:hAnsi="宋体" w:eastAsia="宋体" w:cs="宋体"/>
                <w:color w:val="auto"/>
                <w:sz w:val="24"/>
                <w:highlight w:val="none"/>
              </w:rPr>
            </w:pPr>
          </w:p>
        </w:tc>
        <w:tc>
          <w:tcPr>
            <w:tcW w:w="1200" w:type="dxa"/>
          </w:tcPr>
          <w:p w14:paraId="7D23A2B4">
            <w:pPr>
              <w:spacing w:line="400" w:lineRule="atLeast"/>
              <w:jc w:val="center"/>
              <w:rPr>
                <w:rFonts w:hint="eastAsia" w:ascii="宋体" w:hAnsi="宋体" w:eastAsia="宋体" w:cs="宋体"/>
                <w:color w:val="auto"/>
                <w:sz w:val="24"/>
                <w:highlight w:val="none"/>
              </w:rPr>
            </w:pPr>
          </w:p>
        </w:tc>
        <w:tc>
          <w:tcPr>
            <w:tcW w:w="1675" w:type="dxa"/>
          </w:tcPr>
          <w:p w14:paraId="0696BF67">
            <w:pPr>
              <w:spacing w:line="400" w:lineRule="atLeast"/>
              <w:jc w:val="center"/>
              <w:rPr>
                <w:rFonts w:hint="eastAsia" w:ascii="宋体" w:hAnsi="宋体" w:eastAsia="宋体" w:cs="宋体"/>
                <w:color w:val="auto"/>
                <w:sz w:val="24"/>
                <w:highlight w:val="none"/>
              </w:rPr>
            </w:pPr>
          </w:p>
        </w:tc>
        <w:tc>
          <w:tcPr>
            <w:tcW w:w="1598" w:type="dxa"/>
          </w:tcPr>
          <w:p w14:paraId="7B7D816E">
            <w:pPr>
              <w:spacing w:line="400" w:lineRule="atLeast"/>
              <w:jc w:val="center"/>
              <w:rPr>
                <w:rFonts w:hint="eastAsia" w:ascii="宋体" w:hAnsi="宋体" w:eastAsia="宋体" w:cs="宋体"/>
                <w:color w:val="auto"/>
                <w:sz w:val="24"/>
                <w:highlight w:val="none"/>
              </w:rPr>
            </w:pPr>
          </w:p>
        </w:tc>
        <w:tc>
          <w:tcPr>
            <w:tcW w:w="1803" w:type="dxa"/>
          </w:tcPr>
          <w:p w14:paraId="1142A777">
            <w:pPr>
              <w:spacing w:line="400" w:lineRule="atLeast"/>
              <w:jc w:val="center"/>
              <w:rPr>
                <w:rFonts w:hint="eastAsia" w:ascii="宋体" w:hAnsi="宋体" w:eastAsia="宋体" w:cs="宋体"/>
                <w:color w:val="auto"/>
                <w:sz w:val="24"/>
                <w:highlight w:val="none"/>
              </w:rPr>
            </w:pPr>
          </w:p>
        </w:tc>
      </w:tr>
      <w:tr w14:paraId="64E5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91187C4">
            <w:pPr>
              <w:spacing w:line="400" w:lineRule="atLeast"/>
              <w:jc w:val="center"/>
              <w:rPr>
                <w:rFonts w:hint="eastAsia" w:ascii="宋体" w:hAnsi="宋体" w:eastAsia="宋体" w:cs="宋体"/>
                <w:color w:val="auto"/>
                <w:sz w:val="24"/>
                <w:highlight w:val="none"/>
              </w:rPr>
            </w:pPr>
          </w:p>
        </w:tc>
        <w:tc>
          <w:tcPr>
            <w:tcW w:w="1200" w:type="dxa"/>
          </w:tcPr>
          <w:p w14:paraId="5D6F5BBC">
            <w:pPr>
              <w:spacing w:line="400" w:lineRule="atLeast"/>
              <w:jc w:val="center"/>
              <w:rPr>
                <w:rFonts w:hint="eastAsia" w:ascii="宋体" w:hAnsi="宋体" w:eastAsia="宋体" w:cs="宋体"/>
                <w:color w:val="auto"/>
                <w:sz w:val="24"/>
                <w:highlight w:val="none"/>
              </w:rPr>
            </w:pPr>
          </w:p>
        </w:tc>
        <w:tc>
          <w:tcPr>
            <w:tcW w:w="1675" w:type="dxa"/>
          </w:tcPr>
          <w:p w14:paraId="165D609C">
            <w:pPr>
              <w:spacing w:line="400" w:lineRule="atLeast"/>
              <w:jc w:val="center"/>
              <w:rPr>
                <w:rFonts w:hint="eastAsia" w:ascii="宋体" w:hAnsi="宋体" w:eastAsia="宋体" w:cs="宋体"/>
                <w:color w:val="auto"/>
                <w:sz w:val="24"/>
                <w:highlight w:val="none"/>
              </w:rPr>
            </w:pPr>
          </w:p>
        </w:tc>
        <w:tc>
          <w:tcPr>
            <w:tcW w:w="1598" w:type="dxa"/>
          </w:tcPr>
          <w:p w14:paraId="62FE3E05">
            <w:pPr>
              <w:spacing w:line="400" w:lineRule="atLeast"/>
              <w:jc w:val="center"/>
              <w:rPr>
                <w:rFonts w:hint="eastAsia" w:ascii="宋体" w:hAnsi="宋体" w:eastAsia="宋体" w:cs="宋体"/>
                <w:color w:val="auto"/>
                <w:sz w:val="24"/>
                <w:highlight w:val="none"/>
              </w:rPr>
            </w:pPr>
          </w:p>
        </w:tc>
        <w:tc>
          <w:tcPr>
            <w:tcW w:w="1803" w:type="dxa"/>
          </w:tcPr>
          <w:p w14:paraId="01AA670A">
            <w:pPr>
              <w:spacing w:line="400" w:lineRule="atLeast"/>
              <w:jc w:val="center"/>
              <w:rPr>
                <w:rFonts w:hint="eastAsia" w:ascii="宋体" w:hAnsi="宋体" w:eastAsia="宋体" w:cs="宋体"/>
                <w:color w:val="auto"/>
                <w:sz w:val="24"/>
                <w:highlight w:val="none"/>
              </w:rPr>
            </w:pPr>
          </w:p>
        </w:tc>
      </w:tr>
      <w:tr w14:paraId="76E4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48F2E092">
            <w:pPr>
              <w:spacing w:line="400" w:lineRule="atLeast"/>
              <w:jc w:val="center"/>
              <w:rPr>
                <w:rFonts w:hint="eastAsia" w:ascii="宋体" w:hAnsi="宋体" w:eastAsia="宋体" w:cs="宋体"/>
                <w:color w:val="auto"/>
                <w:sz w:val="24"/>
                <w:highlight w:val="none"/>
              </w:rPr>
            </w:pPr>
          </w:p>
        </w:tc>
        <w:tc>
          <w:tcPr>
            <w:tcW w:w="1200" w:type="dxa"/>
          </w:tcPr>
          <w:p w14:paraId="0F7BBDA4">
            <w:pPr>
              <w:spacing w:line="400" w:lineRule="atLeast"/>
              <w:jc w:val="center"/>
              <w:rPr>
                <w:rFonts w:hint="eastAsia" w:ascii="宋体" w:hAnsi="宋体" w:eastAsia="宋体" w:cs="宋体"/>
                <w:color w:val="auto"/>
                <w:sz w:val="24"/>
                <w:highlight w:val="none"/>
              </w:rPr>
            </w:pPr>
          </w:p>
        </w:tc>
        <w:tc>
          <w:tcPr>
            <w:tcW w:w="1675" w:type="dxa"/>
          </w:tcPr>
          <w:p w14:paraId="0F882B72">
            <w:pPr>
              <w:spacing w:line="400" w:lineRule="atLeast"/>
              <w:jc w:val="center"/>
              <w:rPr>
                <w:rFonts w:hint="eastAsia" w:ascii="宋体" w:hAnsi="宋体" w:eastAsia="宋体" w:cs="宋体"/>
                <w:color w:val="auto"/>
                <w:sz w:val="24"/>
                <w:highlight w:val="none"/>
              </w:rPr>
            </w:pPr>
          </w:p>
        </w:tc>
        <w:tc>
          <w:tcPr>
            <w:tcW w:w="1598" w:type="dxa"/>
          </w:tcPr>
          <w:p w14:paraId="09DA34AE">
            <w:pPr>
              <w:spacing w:line="400" w:lineRule="atLeast"/>
              <w:jc w:val="center"/>
              <w:rPr>
                <w:rFonts w:hint="eastAsia" w:ascii="宋体" w:hAnsi="宋体" w:eastAsia="宋体" w:cs="宋体"/>
                <w:color w:val="auto"/>
                <w:sz w:val="24"/>
                <w:highlight w:val="none"/>
              </w:rPr>
            </w:pPr>
          </w:p>
        </w:tc>
        <w:tc>
          <w:tcPr>
            <w:tcW w:w="1803" w:type="dxa"/>
          </w:tcPr>
          <w:p w14:paraId="029F4937">
            <w:pPr>
              <w:spacing w:line="400" w:lineRule="atLeast"/>
              <w:jc w:val="center"/>
              <w:rPr>
                <w:rFonts w:hint="eastAsia" w:ascii="宋体" w:hAnsi="宋体" w:eastAsia="宋体" w:cs="宋体"/>
                <w:color w:val="auto"/>
                <w:sz w:val="24"/>
                <w:highlight w:val="none"/>
              </w:rPr>
            </w:pPr>
          </w:p>
        </w:tc>
      </w:tr>
      <w:tr w14:paraId="1F99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38FA410">
            <w:pPr>
              <w:spacing w:line="400" w:lineRule="atLeast"/>
              <w:jc w:val="center"/>
              <w:rPr>
                <w:rFonts w:hint="eastAsia" w:ascii="宋体" w:hAnsi="宋体" w:eastAsia="宋体" w:cs="宋体"/>
                <w:color w:val="auto"/>
                <w:sz w:val="24"/>
                <w:highlight w:val="none"/>
              </w:rPr>
            </w:pPr>
          </w:p>
        </w:tc>
        <w:tc>
          <w:tcPr>
            <w:tcW w:w="1200" w:type="dxa"/>
          </w:tcPr>
          <w:p w14:paraId="1FBE1834">
            <w:pPr>
              <w:spacing w:line="400" w:lineRule="atLeast"/>
              <w:jc w:val="center"/>
              <w:rPr>
                <w:rFonts w:hint="eastAsia" w:ascii="宋体" w:hAnsi="宋体" w:eastAsia="宋体" w:cs="宋体"/>
                <w:color w:val="auto"/>
                <w:sz w:val="24"/>
                <w:highlight w:val="none"/>
              </w:rPr>
            </w:pPr>
          </w:p>
        </w:tc>
        <w:tc>
          <w:tcPr>
            <w:tcW w:w="1675" w:type="dxa"/>
          </w:tcPr>
          <w:p w14:paraId="6DF7E730">
            <w:pPr>
              <w:spacing w:line="400" w:lineRule="atLeast"/>
              <w:jc w:val="center"/>
              <w:rPr>
                <w:rFonts w:hint="eastAsia" w:ascii="宋体" w:hAnsi="宋体" w:eastAsia="宋体" w:cs="宋体"/>
                <w:color w:val="auto"/>
                <w:sz w:val="24"/>
                <w:highlight w:val="none"/>
              </w:rPr>
            </w:pPr>
          </w:p>
        </w:tc>
        <w:tc>
          <w:tcPr>
            <w:tcW w:w="1598" w:type="dxa"/>
          </w:tcPr>
          <w:p w14:paraId="410A7B62">
            <w:pPr>
              <w:spacing w:line="400" w:lineRule="atLeast"/>
              <w:jc w:val="center"/>
              <w:rPr>
                <w:rFonts w:hint="eastAsia" w:ascii="宋体" w:hAnsi="宋体" w:eastAsia="宋体" w:cs="宋体"/>
                <w:color w:val="auto"/>
                <w:sz w:val="24"/>
                <w:highlight w:val="none"/>
              </w:rPr>
            </w:pPr>
          </w:p>
        </w:tc>
        <w:tc>
          <w:tcPr>
            <w:tcW w:w="1803" w:type="dxa"/>
          </w:tcPr>
          <w:p w14:paraId="4F121125">
            <w:pPr>
              <w:spacing w:line="400" w:lineRule="atLeast"/>
              <w:jc w:val="center"/>
              <w:rPr>
                <w:rFonts w:hint="eastAsia" w:ascii="宋体" w:hAnsi="宋体" w:eastAsia="宋体" w:cs="宋体"/>
                <w:color w:val="auto"/>
                <w:sz w:val="24"/>
                <w:highlight w:val="none"/>
              </w:rPr>
            </w:pPr>
          </w:p>
        </w:tc>
      </w:tr>
      <w:tr w14:paraId="041F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0346B252">
            <w:pPr>
              <w:spacing w:line="400" w:lineRule="atLeast"/>
              <w:jc w:val="center"/>
              <w:rPr>
                <w:rFonts w:hint="eastAsia" w:ascii="宋体" w:hAnsi="宋体" w:eastAsia="宋体" w:cs="宋体"/>
                <w:color w:val="auto"/>
                <w:sz w:val="24"/>
                <w:highlight w:val="none"/>
              </w:rPr>
            </w:pPr>
          </w:p>
        </w:tc>
        <w:tc>
          <w:tcPr>
            <w:tcW w:w="1200" w:type="dxa"/>
          </w:tcPr>
          <w:p w14:paraId="1C4EBD13">
            <w:pPr>
              <w:spacing w:line="400" w:lineRule="atLeast"/>
              <w:jc w:val="center"/>
              <w:rPr>
                <w:rFonts w:hint="eastAsia" w:ascii="宋体" w:hAnsi="宋体" w:eastAsia="宋体" w:cs="宋体"/>
                <w:color w:val="auto"/>
                <w:sz w:val="24"/>
                <w:highlight w:val="none"/>
              </w:rPr>
            </w:pPr>
          </w:p>
        </w:tc>
        <w:tc>
          <w:tcPr>
            <w:tcW w:w="1675" w:type="dxa"/>
          </w:tcPr>
          <w:p w14:paraId="47ED7E7E">
            <w:pPr>
              <w:spacing w:line="400" w:lineRule="atLeast"/>
              <w:jc w:val="center"/>
              <w:rPr>
                <w:rFonts w:hint="eastAsia" w:ascii="宋体" w:hAnsi="宋体" w:eastAsia="宋体" w:cs="宋体"/>
                <w:color w:val="auto"/>
                <w:sz w:val="24"/>
                <w:highlight w:val="none"/>
              </w:rPr>
            </w:pPr>
          </w:p>
        </w:tc>
        <w:tc>
          <w:tcPr>
            <w:tcW w:w="1598" w:type="dxa"/>
          </w:tcPr>
          <w:p w14:paraId="4A531B01">
            <w:pPr>
              <w:spacing w:line="400" w:lineRule="atLeast"/>
              <w:jc w:val="center"/>
              <w:rPr>
                <w:rFonts w:hint="eastAsia" w:ascii="宋体" w:hAnsi="宋体" w:eastAsia="宋体" w:cs="宋体"/>
                <w:color w:val="auto"/>
                <w:sz w:val="24"/>
                <w:highlight w:val="none"/>
              </w:rPr>
            </w:pPr>
          </w:p>
        </w:tc>
        <w:tc>
          <w:tcPr>
            <w:tcW w:w="1803" w:type="dxa"/>
          </w:tcPr>
          <w:p w14:paraId="5B2567FD">
            <w:pPr>
              <w:spacing w:line="400" w:lineRule="atLeast"/>
              <w:jc w:val="center"/>
              <w:rPr>
                <w:rFonts w:hint="eastAsia" w:ascii="宋体" w:hAnsi="宋体" w:eastAsia="宋体" w:cs="宋体"/>
                <w:color w:val="auto"/>
                <w:sz w:val="24"/>
                <w:highlight w:val="none"/>
              </w:rPr>
            </w:pPr>
          </w:p>
        </w:tc>
      </w:tr>
      <w:tr w14:paraId="2F9D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61E32949">
            <w:pPr>
              <w:spacing w:line="400" w:lineRule="atLeast"/>
              <w:jc w:val="center"/>
              <w:rPr>
                <w:rFonts w:hint="eastAsia" w:ascii="宋体" w:hAnsi="宋体" w:eastAsia="宋体" w:cs="宋体"/>
                <w:color w:val="auto"/>
                <w:sz w:val="24"/>
                <w:highlight w:val="none"/>
              </w:rPr>
            </w:pPr>
          </w:p>
        </w:tc>
        <w:tc>
          <w:tcPr>
            <w:tcW w:w="1200" w:type="dxa"/>
          </w:tcPr>
          <w:p w14:paraId="1F1361DD">
            <w:pPr>
              <w:spacing w:line="400" w:lineRule="atLeast"/>
              <w:jc w:val="center"/>
              <w:rPr>
                <w:rFonts w:hint="eastAsia" w:ascii="宋体" w:hAnsi="宋体" w:eastAsia="宋体" w:cs="宋体"/>
                <w:color w:val="auto"/>
                <w:sz w:val="24"/>
                <w:highlight w:val="none"/>
              </w:rPr>
            </w:pPr>
          </w:p>
        </w:tc>
        <w:tc>
          <w:tcPr>
            <w:tcW w:w="1675" w:type="dxa"/>
          </w:tcPr>
          <w:p w14:paraId="0FC2D1B3">
            <w:pPr>
              <w:spacing w:line="400" w:lineRule="atLeast"/>
              <w:jc w:val="center"/>
              <w:rPr>
                <w:rFonts w:hint="eastAsia" w:ascii="宋体" w:hAnsi="宋体" w:eastAsia="宋体" w:cs="宋体"/>
                <w:color w:val="auto"/>
                <w:sz w:val="24"/>
                <w:highlight w:val="none"/>
              </w:rPr>
            </w:pPr>
          </w:p>
        </w:tc>
        <w:tc>
          <w:tcPr>
            <w:tcW w:w="1598" w:type="dxa"/>
          </w:tcPr>
          <w:p w14:paraId="31BC3D39">
            <w:pPr>
              <w:spacing w:line="400" w:lineRule="atLeast"/>
              <w:jc w:val="center"/>
              <w:rPr>
                <w:rFonts w:hint="eastAsia" w:ascii="宋体" w:hAnsi="宋体" w:eastAsia="宋体" w:cs="宋体"/>
                <w:color w:val="auto"/>
                <w:sz w:val="24"/>
                <w:highlight w:val="none"/>
              </w:rPr>
            </w:pPr>
          </w:p>
        </w:tc>
        <w:tc>
          <w:tcPr>
            <w:tcW w:w="1803" w:type="dxa"/>
          </w:tcPr>
          <w:p w14:paraId="1BA0D198">
            <w:pPr>
              <w:spacing w:line="400" w:lineRule="atLeast"/>
              <w:jc w:val="center"/>
              <w:rPr>
                <w:rFonts w:hint="eastAsia" w:ascii="宋体" w:hAnsi="宋体" w:eastAsia="宋体" w:cs="宋体"/>
                <w:color w:val="auto"/>
                <w:sz w:val="24"/>
                <w:highlight w:val="none"/>
              </w:rPr>
            </w:pPr>
          </w:p>
        </w:tc>
      </w:tr>
      <w:tr w14:paraId="00F3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46E8785">
            <w:pPr>
              <w:spacing w:line="400" w:lineRule="atLeast"/>
              <w:jc w:val="center"/>
              <w:rPr>
                <w:rFonts w:hint="eastAsia" w:ascii="宋体" w:hAnsi="宋体" w:eastAsia="宋体" w:cs="宋体"/>
                <w:color w:val="auto"/>
                <w:sz w:val="24"/>
                <w:highlight w:val="none"/>
              </w:rPr>
            </w:pPr>
          </w:p>
        </w:tc>
        <w:tc>
          <w:tcPr>
            <w:tcW w:w="1200" w:type="dxa"/>
          </w:tcPr>
          <w:p w14:paraId="08305EF8">
            <w:pPr>
              <w:spacing w:line="400" w:lineRule="atLeast"/>
              <w:jc w:val="center"/>
              <w:rPr>
                <w:rFonts w:hint="eastAsia" w:ascii="宋体" w:hAnsi="宋体" w:eastAsia="宋体" w:cs="宋体"/>
                <w:color w:val="auto"/>
                <w:sz w:val="24"/>
                <w:highlight w:val="none"/>
              </w:rPr>
            </w:pPr>
          </w:p>
        </w:tc>
        <w:tc>
          <w:tcPr>
            <w:tcW w:w="1675" w:type="dxa"/>
          </w:tcPr>
          <w:p w14:paraId="63F7FCFC">
            <w:pPr>
              <w:spacing w:line="400" w:lineRule="atLeast"/>
              <w:jc w:val="center"/>
              <w:rPr>
                <w:rFonts w:hint="eastAsia" w:ascii="宋体" w:hAnsi="宋体" w:eastAsia="宋体" w:cs="宋体"/>
                <w:color w:val="auto"/>
                <w:sz w:val="24"/>
                <w:highlight w:val="none"/>
              </w:rPr>
            </w:pPr>
          </w:p>
        </w:tc>
        <w:tc>
          <w:tcPr>
            <w:tcW w:w="1598" w:type="dxa"/>
          </w:tcPr>
          <w:p w14:paraId="0C93E3C5">
            <w:pPr>
              <w:spacing w:line="400" w:lineRule="atLeast"/>
              <w:jc w:val="center"/>
              <w:rPr>
                <w:rFonts w:hint="eastAsia" w:ascii="宋体" w:hAnsi="宋体" w:eastAsia="宋体" w:cs="宋体"/>
                <w:color w:val="auto"/>
                <w:sz w:val="24"/>
                <w:highlight w:val="none"/>
              </w:rPr>
            </w:pPr>
          </w:p>
        </w:tc>
        <w:tc>
          <w:tcPr>
            <w:tcW w:w="1803" w:type="dxa"/>
          </w:tcPr>
          <w:p w14:paraId="7AFE1E8A">
            <w:pPr>
              <w:spacing w:line="400" w:lineRule="atLeast"/>
              <w:jc w:val="center"/>
              <w:rPr>
                <w:rFonts w:hint="eastAsia" w:ascii="宋体" w:hAnsi="宋体" w:eastAsia="宋体" w:cs="宋体"/>
                <w:color w:val="auto"/>
                <w:sz w:val="24"/>
                <w:highlight w:val="none"/>
              </w:rPr>
            </w:pPr>
          </w:p>
        </w:tc>
      </w:tr>
      <w:tr w14:paraId="12D3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C5450D7">
            <w:pPr>
              <w:spacing w:line="400" w:lineRule="atLeast"/>
              <w:jc w:val="center"/>
              <w:rPr>
                <w:rFonts w:hint="eastAsia" w:ascii="宋体" w:hAnsi="宋体" w:eastAsia="宋体" w:cs="宋体"/>
                <w:color w:val="auto"/>
                <w:sz w:val="24"/>
                <w:highlight w:val="none"/>
              </w:rPr>
            </w:pPr>
          </w:p>
        </w:tc>
        <w:tc>
          <w:tcPr>
            <w:tcW w:w="1200" w:type="dxa"/>
          </w:tcPr>
          <w:p w14:paraId="56895515">
            <w:pPr>
              <w:spacing w:line="400" w:lineRule="atLeast"/>
              <w:jc w:val="center"/>
              <w:rPr>
                <w:rFonts w:hint="eastAsia" w:ascii="宋体" w:hAnsi="宋体" w:eastAsia="宋体" w:cs="宋体"/>
                <w:color w:val="auto"/>
                <w:sz w:val="24"/>
                <w:highlight w:val="none"/>
              </w:rPr>
            </w:pPr>
          </w:p>
        </w:tc>
        <w:tc>
          <w:tcPr>
            <w:tcW w:w="1675" w:type="dxa"/>
          </w:tcPr>
          <w:p w14:paraId="7304D901">
            <w:pPr>
              <w:spacing w:line="400" w:lineRule="atLeast"/>
              <w:jc w:val="center"/>
              <w:rPr>
                <w:rFonts w:hint="eastAsia" w:ascii="宋体" w:hAnsi="宋体" w:eastAsia="宋体" w:cs="宋体"/>
                <w:color w:val="auto"/>
                <w:sz w:val="24"/>
                <w:highlight w:val="none"/>
              </w:rPr>
            </w:pPr>
          </w:p>
        </w:tc>
        <w:tc>
          <w:tcPr>
            <w:tcW w:w="1598" w:type="dxa"/>
          </w:tcPr>
          <w:p w14:paraId="0410945F">
            <w:pPr>
              <w:spacing w:line="400" w:lineRule="atLeast"/>
              <w:jc w:val="center"/>
              <w:rPr>
                <w:rFonts w:hint="eastAsia" w:ascii="宋体" w:hAnsi="宋体" w:eastAsia="宋体" w:cs="宋体"/>
                <w:color w:val="auto"/>
                <w:sz w:val="24"/>
                <w:highlight w:val="none"/>
              </w:rPr>
            </w:pPr>
          </w:p>
        </w:tc>
        <w:tc>
          <w:tcPr>
            <w:tcW w:w="1803" w:type="dxa"/>
          </w:tcPr>
          <w:p w14:paraId="32292656">
            <w:pPr>
              <w:spacing w:line="400" w:lineRule="atLeast"/>
              <w:jc w:val="center"/>
              <w:rPr>
                <w:rFonts w:hint="eastAsia" w:ascii="宋体" w:hAnsi="宋体" w:eastAsia="宋体" w:cs="宋体"/>
                <w:color w:val="auto"/>
                <w:sz w:val="24"/>
                <w:highlight w:val="none"/>
              </w:rPr>
            </w:pPr>
          </w:p>
        </w:tc>
      </w:tr>
      <w:tr w14:paraId="74BB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05F6C73">
            <w:pPr>
              <w:spacing w:line="400" w:lineRule="atLeast"/>
              <w:jc w:val="center"/>
              <w:rPr>
                <w:rFonts w:hint="eastAsia" w:ascii="宋体" w:hAnsi="宋体" w:eastAsia="宋体" w:cs="宋体"/>
                <w:color w:val="auto"/>
                <w:sz w:val="24"/>
                <w:highlight w:val="none"/>
              </w:rPr>
            </w:pPr>
          </w:p>
        </w:tc>
        <w:tc>
          <w:tcPr>
            <w:tcW w:w="1200" w:type="dxa"/>
          </w:tcPr>
          <w:p w14:paraId="02E17606">
            <w:pPr>
              <w:spacing w:line="400" w:lineRule="atLeast"/>
              <w:jc w:val="center"/>
              <w:rPr>
                <w:rFonts w:hint="eastAsia" w:ascii="宋体" w:hAnsi="宋体" w:eastAsia="宋体" w:cs="宋体"/>
                <w:color w:val="auto"/>
                <w:sz w:val="24"/>
                <w:highlight w:val="none"/>
              </w:rPr>
            </w:pPr>
          </w:p>
        </w:tc>
        <w:tc>
          <w:tcPr>
            <w:tcW w:w="1675" w:type="dxa"/>
          </w:tcPr>
          <w:p w14:paraId="5CD7C716">
            <w:pPr>
              <w:spacing w:line="400" w:lineRule="atLeast"/>
              <w:jc w:val="center"/>
              <w:rPr>
                <w:rFonts w:hint="eastAsia" w:ascii="宋体" w:hAnsi="宋体" w:eastAsia="宋体" w:cs="宋体"/>
                <w:color w:val="auto"/>
                <w:sz w:val="24"/>
                <w:highlight w:val="none"/>
              </w:rPr>
            </w:pPr>
          </w:p>
        </w:tc>
        <w:tc>
          <w:tcPr>
            <w:tcW w:w="1598" w:type="dxa"/>
          </w:tcPr>
          <w:p w14:paraId="614A1489">
            <w:pPr>
              <w:spacing w:line="400" w:lineRule="atLeast"/>
              <w:jc w:val="center"/>
              <w:rPr>
                <w:rFonts w:hint="eastAsia" w:ascii="宋体" w:hAnsi="宋体" w:eastAsia="宋体" w:cs="宋体"/>
                <w:color w:val="auto"/>
                <w:sz w:val="24"/>
                <w:highlight w:val="none"/>
              </w:rPr>
            </w:pPr>
          </w:p>
        </w:tc>
        <w:tc>
          <w:tcPr>
            <w:tcW w:w="1803" w:type="dxa"/>
          </w:tcPr>
          <w:p w14:paraId="66F8D8B6">
            <w:pPr>
              <w:spacing w:line="400" w:lineRule="atLeast"/>
              <w:jc w:val="center"/>
              <w:rPr>
                <w:rFonts w:hint="eastAsia" w:ascii="宋体" w:hAnsi="宋体" w:eastAsia="宋体" w:cs="宋体"/>
                <w:color w:val="auto"/>
                <w:sz w:val="24"/>
                <w:highlight w:val="none"/>
              </w:rPr>
            </w:pPr>
          </w:p>
        </w:tc>
      </w:tr>
      <w:tr w14:paraId="6027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688928C">
            <w:pPr>
              <w:spacing w:line="400" w:lineRule="atLeast"/>
              <w:jc w:val="center"/>
              <w:rPr>
                <w:rFonts w:hint="eastAsia" w:ascii="宋体" w:hAnsi="宋体" w:eastAsia="宋体" w:cs="宋体"/>
                <w:color w:val="auto"/>
                <w:sz w:val="24"/>
                <w:highlight w:val="none"/>
              </w:rPr>
            </w:pPr>
          </w:p>
        </w:tc>
        <w:tc>
          <w:tcPr>
            <w:tcW w:w="1200" w:type="dxa"/>
          </w:tcPr>
          <w:p w14:paraId="7BFA113D">
            <w:pPr>
              <w:spacing w:line="400" w:lineRule="atLeast"/>
              <w:jc w:val="center"/>
              <w:rPr>
                <w:rFonts w:hint="eastAsia" w:ascii="宋体" w:hAnsi="宋体" w:eastAsia="宋体" w:cs="宋体"/>
                <w:color w:val="auto"/>
                <w:sz w:val="24"/>
                <w:highlight w:val="none"/>
              </w:rPr>
            </w:pPr>
          </w:p>
        </w:tc>
        <w:tc>
          <w:tcPr>
            <w:tcW w:w="1675" w:type="dxa"/>
          </w:tcPr>
          <w:p w14:paraId="6D3319A5">
            <w:pPr>
              <w:spacing w:line="400" w:lineRule="atLeast"/>
              <w:jc w:val="center"/>
              <w:rPr>
                <w:rFonts w:hint="eastAsia" w:ascii="宋体" w:hAnsi="宋体" w:eastAsia="宋体" w:cs="宋体"/>
                <w:color w:val="auto"/>
                <w:sz w:val="24"/>
                <w:highlight w:val="none"/>
              </w:rPr>
            </w:pPr>
          </w:p>
        </w:tc>
        <w:tc>
          <w:tcPr>
            <w:tcW w:w="1598" w:type="dxa"/>
          </w:tcPr>
          <w:p w14:paraId="0D634500">
            <w:pPr>
              <w:spacing w:line="400" w:lineRule="atLeast"/>
              <w:jc w:val="center"/>
              <w:rPr>
                <w:rFonts w:hint="eastAsia" w:ascii="宋体" w:hAnsi="宋体" w:eastAsia="宋体" w:cs="宋体"/>
                <w:color w:val="auto"/>
                <w:sz w:val="24"/>
                <w:highlight w:val="none"/>
              </w:rPr>
            </w:pPr>
          </w:p>
        </w:tc>
        <w:tc>
          <w:tcPr>
            <w:tcW w:w="1803" w:type="dxa"/>
          </w:tcPr>
          <w:p w14:paraId="38D9CC11">
            <w:pPr>
              <w:spacing w:line="400" w:lineRule="atLeast"/>
              <w:jc w:val="center"/>
              <w:rPr>
                <w:rFonts w:hint="eastAsia" w:ascii="宋体" w:hAnsi="宋体" w:eastAsia="宋体" w:cs="宋体"/>
                <w:color w:val="auto"/>
                <w:sz w:val="24"/>
                <w:highlight w:val="none"/>
              </w:rPr>
            </w:pPr>
          </w:p>
        </w:tc>
      </w:tr>
      <w:tr w14:paraId="341C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42CD5C5">
            <w:pPr>
              <w:spacing w:line="400" w:lineRule="atLeast"/>
              <w:jc w:val="center"/>
              <w:rPr>
                <w:rFonts w:hint="eastAsia" w:ascii="宋体" w:hAnsi="宋体" w:eastAsia="宋体" w:cs="宋体"/>
                <w:color w:val="auto"/>
                <w:sz w:val="24"/>
                <w:highlight w:val="none"/>
              </w:rPr>
            </w:pPr>
          </w:p>
        </w:tc>
        <w:tc>
          <w:tcPr>
            <w:tcW w:w="1200" w:type="dxa"/>
          </w:tcPr>
          <w:p w14:paraId="47CA6E78">
            <w:pPr>
              <w:spacing w:line="400" w:lineRule="atLeast"/>
              <w:jc w:val="center"/>
              <w:rPr>
                <w:rFonts w:hint="eastAsia" w:ascii="宋体" w:hAnsi="宋体" w:eastAsia="宋体" w:cs="宋体"/>
                <w:color w:val="auto"/>
                <w:sz w:val="24"/>
                <w:highlight w:val="none"/>
              </w:rPr>
            </w:pPr>
          </w:p>
        </w:tc>
        <w:tc>
          <w:tcPr>
            <w:tcW w:w="1675" w:type="dxa"/>
          </w:tcPr>
          <w:p w14:paraId="52B7E52A">
            <w:pPr>
              <w:spacing w:line="400" w:lineRule="atLeast"/>
              <w:jc w:val="center"/>
              <w:rPr>
                <w:rFonts w:hint="eastAsia" w:ascii="宋体" w:hAnsi="宋体" w:eastAsia="宋体" w:cs="宋体"/>
                <w:color w:val="auto"/>
                <w:sz w:val="24"/>
                <w:highlight w:val="none"/>
              </w:rPr>
            </w:pPr>
          </w:p>
        </w:tc>
        <w:tc>
          <w:tcPr>
            <w:tcW w:w="1598" w:type="dxa"/>
          </w:tcPr>
          <w:p w14:paraId="6DD15228">
            <w:pPr>
              <w:spacing w:line="400" w:lineRule="atLeast"/>
              <w:jc w:val="center"/>
              <w:rPr>
                <w:rFonts w:hint="eastAsia" w:ascii="宋体" w:hAnsi="宋体" w:eastAsia="宋体" w:cs="宋体"/>
                <w:color w:val="auto"/>
                <w:sz w:val="24"/>
                <w:highlight w:val="none"/>
              </w:rPr>
            </w:pPr>
          </w:p>
        </w:tc>
        <w:tc>
          <w:tcPr>
            <w:tcW w:w="1803" w:type="dxa"/>
          </w:tcPr>
          <w:p w14:paraId="6DA53742">
            <w:pPr>
              <w:spacing w:line="400" w:lineRule="atLeast"/>
              <w:jc w:val="center"/>
              <w:rPr>
                <w:rFonts w:hint="eastAsia" w:ascii="宋体" w:hAnsi="宋体" w:eastAsia="宋体" w:cs="宋体"/>
                <w:color w:val="auto"/>
                <w:sz w:val="24"/>
                <w:highlight w:val="none"/>
              </w:rPr>
            </w:pPr>
          </w:p>
        </w:tc>
      </w:tr>
      <w:tr w14:paraId="0931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D1658F4">
            <w:pPr>
              <w:spacing w:line="400" w:lineRule="atLeast"/>
              <w:jc w:val="center"/>
              <w:rPr>
                <w:rFonts w:hint="eastAsia" w:ascii="宋体" w:hAnsi="宋体" w:eastAsia="宋体" w:cs="宋体"/>
                <w:color w:val="auto"/>
                <w:sz w:val="24"/>
                <w:highlight w:val="none"/>
              </w:rPr>
            </w:pPr>
          </w:p>
        </w:tc>
        <w:tc>
          <w:tcPr>
            <w:tcW w:w="1200" w:type="dxa"/>
          </w:tcPr>
          <w:p w14:paraId="41716246">
            <w:pPr>
              <w:spacing w:line="400" w:lineRule="atLeast"/>
              <w:jc w:val="center"/>
              <w:rPr>
                <w:rFonts w:hint="eastAsia" w:ascii="宋体" w:hAnsi="宋体" w:eastAsia="宋体" w:cs="宋体"/>
                <w:color w:val="auto"/>
                <w:sz w:val="24"/>
                <w:highlight w:val="none"/>
              </w:rPr>
            </w:pPr>
          </w:p>
        </w:tc>
        <w:tc>
          <w:tcPr>
            <w:tcW w:w="1675" w:type="dxa"/>
          </w:tcPr>
          <w:p w14:paraId="6F16731D">
            <w:pPr>
              <w:spacing w:line="400" w:lineRule="atLeast"/>
              <w:jc w:val="center"/>
              <w:rPr>
                <w:rFonts w:hint="eastAsia" w:ascii="宋体" w:hAnsi="宋体" w:eastAsia="宋体" w:cs="宋体"/>
                <w:color w:val="auto"/>
                <w:sz w:val="24"/>
                <w:highlight w:val="none"/>
              </w:rPr>
            </w:pPr>
          </w:p>
        </w:tc>
        <w:tc>
          <w:tcPr>
            <w:tcW w:w="1598" w:type="dxa"/>
          </w:tcPr>
          <w:p w14:paraId="05C3FABC">
            <w:pPr>
              <w:spacing w:line="400" w:lineRule="atLeast"/>
              <w:jc w:val="center"/>
              <w:rPr>
                <w:rFonts w:hint="eastAsia" w:ascii="宋体" w:hAnsi="宋体" w:eastAsia="宋体" w:cs="宋体"/>
                <w:color w:val="auto"/>
                <w:sz w:val="24"/>
                <w:highlight w:val="none"/>
              </w:rPr>
            </w:pPr>
          </w:p>
        </w:tc>
        <w:tc>
          <w:tcPr>
            <w:tcW w:w="1803" w:type="dxa"/>
          </w:tcPr>
          <w:p w14:paraId="25FF057B">
            <w:pPr>
              <w:spacing w:line="400" w:lineRule="atLeast"/>
              <w:jc w:val="center"/>
              <w:rPr>
                <w:rFonts w:hint="eastAsia" w:ascii="宋体" w:hAnsi="宋体" w:eastAsia="宋体" w:cs="宋体"/>
                <w:color w:val="auto"/>
                <w:sz w:val="24"/>
                <w:highlight w:val="none"/>
              </w:rPr>
            </w:pPr>
          </w:p>
        </w:tc>
      </w:tr>
      <w:tr w14:paraId="1652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25CADF0">
            <w:pPr>
              <w:spacing w:line="400" w:lineRule="atLeast"/>
              <w:jc w:val="center"/>
              <w:rPr>
                <w:rFonts w:hint="eastAsia" w:ascii="宋体" w:hAnsi="宋体" w:eastAsia="宋体" w:cs="宋体"/>
                <w:color w:val="auto"/>
                <w:sz w:val="24"/>
                <w:highlight w:val="none"/>
              </w:rPr>
            </w:pPr>
          </w:p>
        </w:tc>
        <w:tc>
          <w:tcPr>
            <w:tcW w:w="1200" w:type="dxa"/>
          </w:tcPr>
          <w:p w14:paraId="08EB53D3">
            <w:pPr>
              <w:spacing w:line="400" w:lineRule="atLeast"/>
              <w:jc w:val="center"/>
              <w:rPr>
                <w:rFonts w:hint="eastAsia" w:ascii="宋体" w:hAnsi="宋体" w:eastAsia="宋体" w:cs="宋体"/>
                <w:color w:val="auto"/>
                <w:sz w:val="24"/>
                <w:highlight w:val="none"/>
              </w:rPr>
            </w:pPr>
          </w:p>
        </w:tc>
        <w:tc>
          <w:tcPr>
            <w:tcW w:w="1675" w:type="dxa"/>
          </w:tcPr>
          <w:p w14:paraId="43D2AF85">
            <w:pPr>
              <w:spacing w:line="400" w:lineRule="atLeast"/>
              <w:jc w:val="center"/>
              <w:rPr>
                <w:rFonts w:hint="eastAsia" w:ascii="宋体" w:hAnsi="宋体" w:eastAsia="宋体" w:cs="宋体"/>
                <w:color w:val="auto"/>
                <w:sz w:val="24"/>
                <w:highlight w:val="none"/>
              </w:rPr>
            </w:pPr>
          </w:p>
        </w:tc>
        <w:tc>
          <w:tcPr>
            <w:tcW w:w="1598" w:type="dxa"/>
          </w:tcPr>
          <w:p w14:paraId="42BDE9BB">
            <w:pPr>
              <w:spacing w:line="400" w:lineRule="atLeast"/>
              <w:jc w:val="center"/>
              <w:rPr>
                <w:rFonts w:hint="eastAsia" w:ascii="宋体" w:hAnsi="宋体" w:eastAsia="宋体" w:cs="宋体"/>
                <w:color w:val="auto"/>
                <w:sz w:val="24"/>
                <w:highlight w:val="none"/>
              </w:rPr>
            </w:pPr>
          </w:p>
        </w:tc>
        <w:tc>
          <w:tcPr>
            <w:tcW w:w="1803" w:type="dxa"/>
          </w:tcPr>
          <w:p w14:paraId="3BCE2238">
            <w:pPr>
              <w:spacing w:line="400" w:lineRule="atLeast"/>
              <w:jc w:val="center"/>
              <w:rPr>
                <w:rFonts w:hint="eastAsia" w:ascii="宋体" w:hAnsi="宋体" w:eastAsia="宋体" w:cs="宋体"/>
                <w:color w:val="auto"/>
                <w:sz w:val="24"/>
                <w:highlight w:val="none"/>
              </w:rPr>
            </w:pPr>
          </w:p>
        </w:tc>
      </w:tr>
    </w:tbl>
    <w:p w14:paraId="45919DDD">
      <w:pPr>
        <w:spacing w:line="380" w:lineRule="exac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注：1.提供合同复印件，同一</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单位</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不重复得分</w:t>
      </w:r>
    </w:p>
    <w:p w14:paraId="3CE37A1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2.投标人不按要求提供业绩证明材料将视为无业绩。</w:t>
      </w:r>
    </w:p>
    <w:p w14:paraId="2450DA30">
      <w:pPr>
        <w:spacing w:line="380" w:lineRule="exact"/>
        <w:ind w:firstLine="4400" w:firstLineChars="2000"/>
        <w:rPr>
          <w:rFonts w:hint="eastAsia" w:ascii="宋体" w:hAnsi="宋体" w:eastAsia="宋体" w:cs="宋体"/>
          <w:color w:val="auto"/>
          <w:sz w:val="22"/>
          <w:szCs w:val="22"/>
          <w:highlight w:val="none"/>
        </w:rPr>
      </w:pPr>
    </w:p>
    <w:p w14:paraId="63FDE5B6">
      <w:pPr>
        <w:spacing w:line="380" w:lineRule="exact"/>
        <w:ind w:firstLine="4400" w:firstLineChars="2000"/>
        <w:rPr>
          <w:rFonts w:hint="eastAsia" w:ascii="宋体" w:hAnsi="宋体" w:eastAsia="宋体" w:cs="宋体"/>
          <w:color w:val="auto"/>
          <w:sz w:val="22"/>
          <w:szCs w:val="22"/>
          <w:highlight w:val="none"/>
        </w:rPr>
      </w:pPr>
    </w:p>
    <w:p w14:paraId="21258AAF">
      <w:pPr>
        <w:spacing w:line="380" w:lineRule="exact"/>
        <w:ind w:firstLine="4400" w:firstLineChars="2000"/>
        <w:rPr>
          <w:rFonts w:hint="eastAsia" w:ascii="宋体" w:hAnsi="宋体" w:eastAsia="宋体" w:cs="宋体"/>
          <w:color w:val="auto"/>
          <w:sz w:val="22"/>
          <w:szCs w:val="22"/>
          <w:highlight w:val="none"/>
        </w:rPr>
      </w:pPr>
    </w:p>
    <w:p w14:paraId="28D13941">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7F22AED6">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41AAB15E">
      <w:pPr>
        <w:spacing w:line="380" w:lineRule="exac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 期：  年  月  日</w:t>
      </w:r>
      <w:r>
        <w:rPr>
          <w:rFonts w:hint="eastAsia" w:ascii="宋体" w:hAnsi="宋体" w:eastAsia="宋体" w:cs="宋体"/>
          <w:b/>
          <w:bCs/>
          <w:color w:val="auto"/>
          <w:sz w:val="22"/>
          <w:szCs w:val="22"/>
          <w:highlight w:val="none"/>
        </w:rPr>
        <w:t xml:space="preserve"> </w:t>
      </w:r>
    </w:p>
    <w:p w14:paraId="1B5685AA">
      <w:pPr>
        <w:widowControl/>
        <w:jc w:val="left"/>
        <w:rPr>
          <w:rFonts w:hint="eastAsia" w:ascii="宋体" w:hAnsi="宋体" w:eastAsia="宋体" w:cs="宋体"/>
          <w:b/>
          <w:color w:val="auto"/>
          <w:kern w:val="0"/>
          <w:sz w:val="28"/>
          <w:szCs w:val="28"/>
          <w:highlight w:val="none"/>
        </w:rPr>
      </w:pPr>
    </w:p>
    <w:p w14:paraId="77CEEC1D">
      <w:pPr>
        <w:pStyle w:val="24"/>
        <w:rPr>
          <w:rFonts w:hint="eastAsia" w:ascii="宋体" w:hAnsi="宋体" w:eastAsia="宋体" w:cs="宋体"/>
          <w:color w:val="auto"/>
          <w:highlight w:val="none"/>
        </w:rPr>
      </w:pPr>
    </w:p>
    <w:p w14:paraId="78DCA65A">
      <w:pPr>
        <w:snapToGrid w:val="0"/>
        <w:spacing w:before="50" w:after="156" w:afterLines="5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附件七</w:t>
      </w:r>
    </w:p>
    <w:p w14:paraId="3D53D7AF">
      <w:pPr>
        <w:snapToGrid w:val="0"/>
        <w:spacing w:before="50" w:after="156" w:afterLines="5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拟投入的项目工作人员名单</w:t>
      </w:r>
    </w:p>
    <w:tbl>
      <w:tblPr>
        <w:tblStyle w:val="25"/>
        <w:tblW w:w="95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925"/>
        <w:gridCol w:w="925"/>
        <w:gridCol w:w="740"/>
        <w:gridCol w:w="740"/>
        <w:gridCol w:w="1294"/>
        <w:gridCol w:w="1281"/>
        <w:gridCol w:w="1762"/>
        <w:gridCol w:w="1107"/>
      </w:tblGrid>
      <w:tr w14:paraId="5E3D1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40" w:type="dxa"/>
            <w:tcBorders>
              <w:top w:val="single" w:color="auto" w:sz="12" w:space="0"/>
            </w:tcBorders>
            <w:vAlign w:val="center"/>
          </w:tcPr>
          <w:p w14:paraId="3E81B71B">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925" w:type="dxa"/>
            <w:tcBorders>
              <w:top w:val="single" w:color="auto" w:sz="12" w:space="0"/>
            </w:tcBorders>
            <w:vAlign w:val="center"/>
          </w:tcPr>
          <w:p w14:paraId="42277C03">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925" w:type="dxa"/>
            <w:tcBorders>
              <w:top w:val="single" w:color="auto" w:sz="12" w:space="0"/>
            </w:tcBorders>
            <w:vAlign w:val="center"/>
          </w:tcPr>
          <w:p w14:paraId="64DA12AE">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740" w:type="dxa"/>
            <w:tcBorders>
              <w:top w:val="single" w:color="auto" w:sz="12" w:space="0"/>
            </w:tcBorders>
            <w:vAlign w:val="center"/>
          </w:tcPr>
          <w:p w14:paraId="2EDA853B">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740" w:type="dxa"/>
            <w:tcBorders>
              <w:top w:val="single" w:color="auto" w:sz="12" w:space="0"/>
            </w:tcBorders>
            <w:vAlign w:val="center"/>
          </w:tcPr>
          <w:p w14:paraId="69E0DA70">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w:t>
            </w:r>
          </w:p>
        </w:tc>
        <w:tc>
          <w:tcPr>
            <w:tcW w:w="1294" w:type="dxa"/>
            <w:tcBorders>
              <w:top w:val="single" w:color="auto" w:sz="12" w:space="0"/>
            </w:tcBorders>
            <w:vAlign w:val="center"/>
          </w:tcPr>
          <w:p w14:paraId="631D7A20">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职称/职务</w:t>
            </w:r>
          </w:p>
        </w:tc>
        <w:tc>
          <w:tcPr>
            <w:tcW w:w="1281" w:type="dxa"/>
            <w:tcBorders>
              <w:top w:val="single" w:color="auto" w:sz="12" w:space="0"/>
            </w:tcBorders>
            <w:vAlign w:val="center"/>
          </w:tcPr>
          <w:p w14:paraId="587986D4">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highlight w:val="none"/>
              </w:rPr>
              <w:t>本项目中的岗位</w:t>
            </w:r>
          </w:p>
        </w:tc>
        <w:tc>
          <w:tcPr>
            <w:tcW w:w="1762" w:type="dxa"/>
            <w:tcBorders>
              <w:top w:val="single" w:color="auto" w:sz="12" w:space="0"/>
            </w:tcBorders>
            <w:vAlign w:val="center"/>
          </w:tcPr>
          <w:p w14:paraId="1D066ACB">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从事专业年限</w:t>
            </w:r>
          </w:p>
        </w:tc>
        <w:tc>
          <w:tcPr>
            <w:tcW w:w="1107" w:type="dxa"/>
            <w:tcBorders>
              <w:top w:val="single" w:color="auto" w:sz="12" w:space="0"/>
            </w:tcBorders>
            <w:vAlign w:val="center"/>
          </w:tcPr>
          <w:p w14:paraId="630FDE86">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74B18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256AA804">
            <w:pPr>
              <w:spacing w:line="360" w:lineRule="auto"/>
              <w:jc w:val="center"/>
              <w:rPr>
                <w:rFonts w:hint="eastAsia" w:ascii="宋体" w:hAnsi="宋体" w:eastAsia="宋体" w:cs="宋体"/>
                <w:color w:val="auto"/>
                <w:sz w:val="22"/>
                <w:highlight w:val="none"/>
              </w:rPr>
            </w:pPr>
          </w:p>
        </w:tc>
        <w:tc>
          <w:tcPr>
            <w:tcW w:w="925" w:type="dxa"/>
            <w:vAlign w:val="center"/>
          </w:tcPr>
          <w:p w14:paraId="3DD41DB7">
            <w:pPr>
              <w:spacing w:line="360" w:lineRule="auto"/>
              <w:jc w:val="center"/>
              <w:rPr>
                <w:rFonts w:hint="eastAsia" w:ascii="宋体" w:hAnsi="宋体" w:eastAsia="宋体" w:cs="宋体"/>
                <w:color w:val="auto"/>
                <w:sz w:val="22"/>
                <w:highlight w:val="none"/>
              </w:rPr>
            </w:pPr>
          </w:p>
        </w:tc>
        <w:tc>
          <w:tcPr>
            <w:tcW w:w="925" w:type="dxa"/>
            <w:vAlign w:val="center"/>
          </w:tcPr>
          <w:p w14:paraId="2BE6BB73">
            <w:pPr>
              <w:spacing w:line="360" w:lineRule="auto"/>
              <w:jc w:val="center"/>
              <w:rPr>
                <w:rFonts w:hint="eastAsia" w:ascii="宋体" w:hAnsi="宋体" w:eastAsia="宋体" w:cs="宋体"/>
                <w:color w:val="auto"/>
                <w:sz w:val="22"/>
                <w:highlight w:val="none"/>
              </w:rPr>
            </w:pPr>
          </w:p>
        </w:tc>
        <w:tc>
          <w:tcPr>
            <w:tcW w:w="740" w:type="dxa"/>
            <w:vAlign w:val="center"/>
          </w:tcPr>
          <w:p w14:paraId="3BDE54B6">
            <w:pPr>
              <w:spacing w:line="360" w:lineRule="auto"/>
              <w:jc w:val="center"/>
              <w:rPr>
                <w:rFonts w:hint="eastAsia" w:ascii="宋体" w:hAnsi="宋体" w:eastAsia="宋体" w:cs="宋体"/>
                <w:color w:val="auto"/>
                <w:sz w:val="22"/>
                <w:highlight w:val="none"/>
              </w:rPr>
            </w:pPr>
          </w:p>
        </w:tc>
        <w:tc>
          <w:tcPr>
            <w:tcW w:w="740" w:type="dxa"/>
            <w:vAlign w:val="center"/>
          </w:tcPr>
          <w:p w14:paraId="62E01563">
            <w:pPr>
              <w:spacing w:line="360" w:lineRule="auto"/>
              <w:jc w:val="center"/>
              <w:rPr>
                <w:rFonts w:hint="eastAsia" w:ascii="宋体" w:hAnsi="宋体" w:eastAsia="宋体" w:cs="宋体"/>
                <w:color w:val="auto"/>
                <w:sz w:val="22"/>
                <w:highlight w:val="none"/>
              </w:rPr>
            </w:pPr>
          </w:p>
        </w:tc>
        <w:tc>
          <w:tcPr>
            <w:tcW w:w="1294" w:type="dxa"/>
            <w:vAlign w:val="center"/>
          </w:tcPr>
          <w:p w14:paraId="59E4719A">
            <w:pPr>
              <w:spacing w:line="360" w:lineRule="auto"/>
              <w:jc w:val="center"/>
              <w:rPr>
                <w:rFonts w:hint="eastAsia" w:ascii="宋体" w:hAnsi="宋体" w:eastAsia="宋体" w:cs="宋体"/>
                <w:color w:val="auto"/>
                <w:sz w:val="22"/>
                <w:highlight w:val="none"/>
              </w:rPr>
            </w:pPr>
          </w:p>
        </w:tc>
        <w:tc>
          <w:tcPr>
            <w:tcW w:w="1281" w:type="dxa"/>
            <w:vAlign w:val="center"/>
          </w:tcPr>
          <w:p w14:paraId="29EB52BB">
            <w:pPr>
              <w:spacing w:line="360" w:lineRule="auto"/>
              <w:jc w:val="center"/>
              <w:rPr>
                <w:rFonts w:hint="eastAsia" w:ascii="宋体" w:hAnsi="宋体" w:eastAsia="宋体" w:cs="宋体"/>
                <w:color w:val="auto"/>
                <w:sz w:val="22"/>
                <w:highlight w:val="none"/>
              </w:rPr>
            </w:pPr>
          </w:p>
        </w:tc>
        <w:tc>
          <w:tcPr>
            <w:tcW w:w="1762" w:type="dxa"/>
          </w:tcPr>
          <w:p w14:paraId="4E1428BA">
            <w:pPr>
              <w:spacing w:line="360" w:lineRule="auto"/>
              <w:jc w:val="center"/>
              <w:rPr>
                <w:rFonts w:hint="eastAsia" w:ascii="宋体" w:hAnsi="宋体" w:eastAsia="宋体" w:cs="宋体"/>
                <w:color w:val="auto"/>
                <w:sz w:val="22"/>
                <w:highlight w:val="none"/>
              </w:rPr>
            </w:pPr>
          </w:p>
        </w:tc>
        <w:tc>
          <w:tcPr>
            <w:tcW w:w="1107" w:type="dxa"/>
            <w:vAlign w:val="center"/>
          </w:tcPr>
          <w:p w14:paraId="7927A73D">
            <w:pPr>
              <w:spacing w:line="360" w:lineRule="auto"/>
              <w:jc w:val="center"/>
              <w:rPr>
                <w:rFonts w:hint="eastAsia" w:ascii="宋体" w:hAnsi="宋体" w:eastAsia="宋体" w:cs="宋体"/>
                <w:color w:val="auto"/>
                <w:sz w:val="22"/>
                <w:highlight w:val="none"/>
              </w:rPr>
            </w:pPr>
          </w:p>
        </w:tc>
      </w:tr>
      <w:tr w14:paraId="13C4E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54BDF912">
            <w:pPr>
              <w:spacing w:line="360" w:lineRule="auto"/>
              <w:jc w:val="center"/>
              <w:rPr>
                <w:rFonts w:hint="eastAsia" w:ascii="宋体" w:hAnsi="宋体" w:eastAsia="宋体" w:cs="宋体"/>
                <w:color w:val="auto"/>
                <w:sz w:val="22"/>
                <w:highlight w:val="none"/>
              </w:rPr>
            </w:pPr>
          </w:p>
        </w:tc>
        <w:tc>
          <w:tcPr>
            <w:tcW w:w="925" w:type="dxa"/>
            <w:vAlign w:val="center"/>
          </w:tcPr>
          <w:p w14:paraId="1B68C28F">
            <w:pPr>
              <w:spacing w:line="360" w:lineRule="auto"/>
              <w:jc w:val="center"/>
              <w:rPr>
                <w:rFonts w:hint="eastAsia" w:ascii="宋体" w:hAnsi="宋体" w:eastAsia="宋体" w:cs="宋体"/>
                <w:color w:val="auto"/>
                <w:sz w:val="22"/>
                <w:highlight w:val="none"/>
              </w:rPr>
            </w:pPr>
          </w:p>
        </w:tc>
        <w:tc>
          <w:tcPr>
            <w:tcW w:w="925" w:type="dxa"/>
            <w:vAlign w:val="center"/>
          </w:tcPr>
          <w:p w14:paraId="2DE62640">
            <w:pPr>
              <w:spacing w:line="360" w:lineRule="auto"/>
              <w:jc w:val="center"/>
              <w:rPr>
                <w:rFonts w:hint="eastAsia" w:ascii="宋体" w:hAnsi="宋体" w:eastAsia="宋体" w:cs="宋体"/>
                <w:color w:val="auto"/>
                <w:sz w:val="22"/>
                <w:highlight w:val="none"/>
              </w:rPr>
            </w:pPr>
          </w:p>
        </w:tc>
        <w:tc>
          <w:tcPr>
            <w:tcW w:w="740" w:type="dxa"/>
            <w:vAlign w:val="center"/>
          </w:tcPr>
          <w:p w14:paraId="2C677E14">
            <w:pPr>
              <w:spacing w:line="360" w:lineRule="auto"/>
              <w:jc w:val="center"/>
              <w:rPr>
                <w:rFonts w:hint="eastAsia" w:ascii="宋体" w:hAnsi="宋体" w:eastAsia="宋体" w:cs="宋体"/>
                <w:color w:val="auto"/>
                <w:sz w:val="22"/>
                <w:highlight w:val="none"/>
              </w:rPr>
            </w:pPr>
          </w:p>
        </w:tc>
        <w:tc>
          <w:tcPr>
            <w:tcW w:w="740" w:type="dxa"/>
            <w:vAlign w:val="center"/>
          </w:tcPr>
          <w:p w14:paraId="24CDE299">
            <w:pPr>
              <w:spacing w:line="360" w:lineRule="auto"/>
              <w:jc w:val="center"/>
              <w:rPr>
                <w:rFonts w:hint="eastAsia" w:ascii="宋体" w:hAnsi="宋体" w:eastAsia="宋体" w:cs="宋体"/>
                <w:color w:val="auto"/>
                <w:sz w:val="22"/>
                <w:highlight w:val="none"/>
              </w:rPr>
            </w:pPr>
          </w:p>
        </w:tc>
        <w:tc>
          <w:tcPr>
            <w:tcW w:w="1294" w:type="dxa"/>
            <w:vAlign w:val="center"/>
          </w:tcPr>
          <w:p w14:paraId="161262A7">
            <w:pPr>
              <w:spacing w:line="360" w:lineRule="auto"/>
              <w:jc w:val="center"/>
              <w:rPr>
                <w:rFonts w:hint="eastAsia" w:ascii="宋体" w:hAnsi="宋体" w:eastAsia="宋体" w:cs="宋体"/>
                <w:color w:val="auto"/>
                <w:sz w:val="22"/>
                <w:highlight w:val="none"/>
              </w:rPr>
            </w:pPr>
          </w:p>
        </w:tc>
        <w:tc>
          <w:tcPr>
            <w:tcW w:w="1281" w:type="dxa"/>
            <w:vAlign w:val="center"/>
          </w:tcPr>
          <w:p w14:paraId="020C2482">
            <w:pPr>
              <w:spacing w:line="360" w:lineRule="auto"/>
              <w:jc w:val="center"/>
              <w:rPr>
                <w:rFonts w:hint="eastAsia" w:ascii="宋体" w:hAnsi="宋体" w:eastAsia="宋体" w:cs="宋体"/>
                <w:color w:val="auto"/>
                <w:sz w:val="22"/>
                <w:highlight w:val="none"/>
              </w:rPr>
            </w:pPr>
          </w:p>
        </w:tc>
        <w:tc>
          <w:tcPr>
            <w:tcW w:w="1762" w:type="dxa"/>
          </w:tcPr>
          <w:p w14:paraId="58553288">
            <w:pPr>
              <w:spacing w:line="360" w:lineRule="auto"/>
              <w:jc w:val="center"/>
              <w:rPr>
                <w:rFonts w:hint="eastAsia" w:ascii="宋体" w:hAnsi="宋体" w:eastAsia="宋体" w:cs="宋体"/>
                <w:color w:val="auto"/>
                <w:sz w:val="22"/>
                <w:highlight w:val="none"/>
              </w:rPr>
            </w:pPr>
          </w:p>
        </w:tc>
        <w:tc>
          <w:tcPr>
            <w:tcW w:w="1107" w:type="dxa"/>
            <w:vAlign w:val="center"/>
          </w:tcPr>
          <w:p w14:paraId="40B5571F">
            <w:pPr>
              <w:spacing w:line="360" w:lineRule="auto"/>
              <w:jc w:val="center"/>
              <w:rPr>
                <w:rFonts w:hint="eastAsia" w:ascii="宋体" w:hAnsi="宋体" w:eastAsia="宋体" w:cs="宋体"/>
                <w:color w:val="auto"/>
                <w:sz w:val="22"/>
                <w:highlight w:val="none"/>
              </w:rPr>
            </w:pPr>
          </w:p>
        </w:tc>
      </w:tr>
      <w:tr w14:paraId="18306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1B4A84A9">
            <w:pPr>
              <w:spacing w:line="360" w:lineRule="auto"/>
              <w:jc w:val="center"/>
              <w:rPr>
                <w:rFonts w:hint="eastAsia" w:ascii="宋体" w:hAnsi="宋体" w:eastAsia="宋体" w:cs="宋体"/>
                <w:color w:val="auto"/>
                <w:sz w:val="22"/>
                <w:highlight w:val="none"/>
              </w:rPr>
            </w:pPr>
          </w:p>
        </w:tc>
        <w:tc>
          <w:tcPr>
            <w:tcW w:w="925" w:type="dxa"/>
            <w:vAlign w:val="center"/>
          </w:tcPr>
          <w:p w14:paraId="46181870">
            <w:pPr>
              <w:spacing w:line="360" w:lineRule="auto"/>
              <w:jc w:val="center"/>
              <w:rPr>
                <w:rFonts w:hint="eastAsia" w:ascii="宋体" w:hAnsi="宋体" w:eastAsia="宋体" w:cs="宋体"/>
                <w:color w:val="auto"/>
                <w:sz w:val="22"/>
                <w:highlight w:val="none"/>
              </w:rPr>
            </w:pPr>
          </w:p>
        </w:tc>
        <w:tc>
          <w:tcPr>
            <w:tcW w:w="925" w:type="dxa"/>
            <w:vAlign w:val="center"/>
          </w:tcPr>
          <w:p w14:paraId="0CEE5E5C">
            <w:pPr>
              <w:spacing w:line="360" w:lineRule="auto"/>
              <w:jc w:val="center"/>
              <w:rPr>
                <w:rFonts w:hint="eastAsia" w:ascii="宋体" w:hAnsi="宋体" w:eastAsia="宋体" w:cs="宋体"/>
                <w:color w:val="auto"/>
                <w:sz w:val="22"/>
                <w:highlight w:val="none"/>
              </w:rPr>
            </w:pPr>
          </w:p>
        </w:tc>
        <w:tc>
          <w:tcPr>
            <w:tcW w:w="740" w:type="dxa"/>
            <w:vAlign w:val="center"/>
          </w:tcPr>
          <w:p w14:paraId="28D0BB4C">
            <w:pPr>
              <w:spacing w:line="360" w:lineRule="auto"/>
              <w:jc w:val="center"/>
              <w:rPr>
                <w:rFonts w:hint="eastAsia" w:ascii="宋体" w:hAnsi="宋体" w:eastAsia="宋体" w:cs="宋体"/>
                <w:color w:val="auto"/>
                <w:sz w:val="22"/>
                <w:highlight w:val="none"/>
              </w:rPr>
            </w:pPr>
          </w:p>
        </w:tc>
        <w:tc>
          <w:tcPr>
            <w:tcW w:w="740" w:type="dxa"/>
            <w:vAlign w:val="center"/>
          </w:tcPr>
          <w:p w14:paraId="5AF30C3B">
            <w:pPr>
              <w:spacing w:line="360" w:lineRule="auto"/>
              <w:jc w:val="center"/>
              <w:rPr>
                <w:rFonts w:hint="eastAsia" w:ascii="宋体" w:hAnsi="宋体" w:eastAsia="宋体" w:cs="宋体"/>
                <w:color w:val="auto"/>
                <w:sz w:val="22"/>
                <w:highlight w:val="none"/>
              </w:rPr>
            </w:pPr>
          </w:p>
        </w:tc>
        <w:tc>
          <w:tcPr>
            <w:tcW w:w="1294" w:type="dxa"/>
            <w:vAlign w:val="center"/>
          </w:tcPr>
          <w:p w14:paraId="12ADDA1D">
            <w:pPr>
              <w:spacing w:line="360" w:lineRule="auto"/>
              <w:jc w:val="center"/>
              <w:rPr>
                <w:rFonts w:hint="eastAsia" w:ascii="宋体" w:hAnsi="宋体" w:eastAsia="宋体" w:cs="宋体"/>
                <w:color w:val="auto"/>
                <w:sz w:val="22"/>
                <w:highlight w:val="none"/>
              </w:rPr>
            </w:pPr>
          </w:p>
        </w:tc>
        <w:tc>
          <w:tcPr>
            <w:tcW w:w="1281" w:type="dxa"/>
            <w:vAlign w:val="center"/>
          </w:tcPr>
          <w:p w14:paraId="22161350">
            <w:pPr>
              <w:spacing w:line="360" w:lineRule="auto"/>
              <w:jc w:val="center"/>
              <w:rPr>
                <w:rFonts w:hint="eastAsia" w:ascii="宋体" w:hAnsi="宋体" w:eastAsia="宋体" w:cs="宋体"/>
                <w:color w:val="auto"/>
                <w:sz w:val="22"/>
                <w:highlight w:val="none"/>
              </w:rPr>
            </w:pPr>
          </w:p>
        </w:tc>
        <w:tc>
          <w:tcPr>
            <w:tcW w:w="1762" w:type="dxa"/>
          </w:tcPr>
          <w:p w14:paraId="74B6D393">
            <w:pPr>
              <w:spacing w:line="360" w:lineRule="auto"/>
              <w:jc w:val="center"/>
              <w:rPr>
                <w:rFonts w:hint="eastAsia" w:ascii="宋体" w:hAnsi="宋体" w:eastAsia="宋体" w:cs="宋体"/>
                <w:color w:val="auto"/>
                <w:sz w:val="22"/>
                <w:highlight w:val="none"/>
              </w:rPr>
            </w:pPr>
          </w:p>
        </w:tc>
        <w:tc>
          <w:tcPr>
            <w:tcW w:w="1107" w:type="dxa"/>
            <w:vAlign w:val="center"/>
          </w:tcPr>
          <w:p w14:paraId="6D96F57A">
            <w:pPr>
              <w:spacing w:line="360" w:lineRule="auto"/>
              <w:jc w:val="center"/>
              <w:rPr>
                <w:rFonts w:hint="eastAsia" w:ascii="宋体" w:hAnsi="宋体" w:eastAsia="宋体" w:cs="宋体"/>
                <w:color w:val="auto"/>
                <w:sz w:val="22"/>
                <w:highlight w:val="none"/>
              </w:rPr>
            </w:pPr>
          </w:p>
        </w:tc>
      </w:tr>
      <w:tr w14:paraId="251C7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55D67AFF">
            <w:pPr>
              <w:spacing w:line="360" w:lineRule="auto"/>
              <w:jc w:val="center"/>
              <w:rPr>
                <w:rFonts w:hint="eastAsia" w:ascii="宋体" w:hAnsi="宋体" w:eastAsia="宋体" w:cs="宋体"/>
                <w:color w:val="auto"/>
                <w:sz w:val="22"/>
                <w:highlight w:val="none"/>
              </w:rPr>
            </w:pPr>
          </w:p>
        </w:tc>
        <w:tc>
          <w:tcPr>
            <w:tcW w:w="925" w:type="dxa"/>
            <w:vAlign w:val="center"/>
          </w:tcPr>
          <w:p w14:paraId="55DCF517">
            <w:pPr>
              <w:spacing w:line="360" w:lineRule="auto"/>
              <w:jc w:val="center"/>
              <w:rPr>
                <w:rFonts w:hint="eastAsia" w:ascii="宋体" w:hAnsi="宋体" w:eastAsia="宋体" w:cs="宋体"/>
                <w:color w:val="auto"/>
                <w:sz w:val="22"/>
                <w:highlight w:val="none"/>
              </w:rPr>
            </w:pPr>
          </w:p>
        </w:tc>
        <w:tc>
          <w:tcPr>
            <w:tcW w:w="925" w:type="dxa"/>
            <w:vAlign w:val="center"/>
          </w:tcPr>
          <w:p w14:paraId="4647A50D">
            <w:pPr>
              <w:spacing w:line="360" w:lineRule="auto"/>
              <w:jc w:val="center"/>
              <w:rPr>
                <w:rFonts w:hint="eastAsia" w:ascii="宋体" w:hAnsi="宋体" w:eastAsia="宋体" w:cs="宋体"/>
                <w:color w:val="auto"/>
                <w:sz w:val="22"/>
                <w:highlight w:val="none"/>
              </w:rPr>
            </w:pPr>
          </w:p>
        </w:tc>
        <w:tc>
          <w:tcPr>
            <w:tcW w:w="740" w:type="dxa"/>
            <w:vAlign w:val="center"/>
          </w:tcPr>
          <w:p w14:paraId="3B0C1A3B">
            <w:pPr>
              <w:spacing w:line="360" w:lineRule="auto"/>
              <w:jc w:val="center"/>
              <w:rPr>
                <w:rFonts w:hint="eastAsia" w:ascii="宋体" w:hAnsi="宋体" w:eastAsia="宋体" w:cs="宋体"/>
                <w:color w:val="auto"/>
                <w:sz w:val="22"/>
                <w:highlight w:val="none"/>
              </w:rPr>
            </w:pPr>
          </w:p>
        </w:tc>
        <w:tc>
          <w:tcPr>
            <w:tcW w:w="740" w:type="dxa"/>
            <w:vAlign w:val="center"/>
          </w:tcPr>
          <w:p w14:paraId="6ED7C46C">
            <w:pPr>
              <w:spacing w:line="360" w:lineRule="auto"/>
              <w:jc w:val="center"/>
              <w:rPr>
                <w:rFonts w:hint="eastAsia" w:ascii="宋体" w:hAnsi="宋体" w:eastAsia="宋体" w:cs="宋体"/>
                <w:color w:val="auto"/>
                <w:sz w:val="22"/>
                <w:highlight w:val="none"/>
              </w:rPr>
            </w:pPr>
          </w:p>
        </w:tc>
        <w:tc>
          <w:tcPr>
            <w:tcW w:w="1294" w:type="dxa"/>
            <w:vAlign w:val="center"/>
          </w:tcPr>
          <w:p w14:paraId="459DA9FF">
            <w:pPr>
              <w:spacing w:line="360" w:lineRule="auto"/>
              <w:jc w:val="center"/>
              <w:rPr>
                <w:rFonts w:hint="eastAsia" w:ascii="宋体" w:hAnsi="宋体" w:eastAsia="宋体" w:cs="宋体"/>
                <w:color w:val="auto"/>
                <w:sz w:val="22"/>
                <w:highlight w:val="none"/>
              </w:rPr>
            </w:pPr>
          </w:p>
        </w:tc>
        <w:tc>
          <w:tcPr>
            <w:tcW w:w="1281" w:type="dxa"/>
            <w:vAlign w:val="center"/>
          </w:tcPr>
          <w:p w14:paraId="708132AB">
            <w:pPr>
              <w:spacing w:line="360" w:lineRule="auto"/>
              <w:jc w:val="center"/>
              <w:rPr>
                <w:rFonts w:hint="eastAsia" w:ascii="宋体" w:hAnsi="宋体" w:eastAsia="宋体" w:cs="宋体"/>
                <w:color w:val="auto"/>
                <w:sz w:val="22"/>
                <w:highlight w:val="none"/>
              </w:rPr>
            </w:pPr>
          </w:p>
        </w:tc>
        <w:tc>
          <w:tcPr>
            <w:tcW w:w="1762" w:type="dxa"/>
          </w:tcPr>
          <w:p w14:paraId="6A9AFDEF">
            <w:pPr>
              <w:spacing w:line="360" w:lineRule="auto"/>
              <w:jc w:val="center"/>
              <w:rPr>
                <w:rFonts w:hint="eastAsia" w:ascii="宋体" w:hAnsi="宋体" w:eastAsia="宋体" w:cs="宋体"/>
                <w:color w:val="auto"/>
                <w:sz w:val="22"/>
                <w:highlight w:val="none"/>
              </w:rPr>
            </w:pPr>
          </w:p>
        </w:tc>
        <w:tc>
          <w:tcPr>
            <w:tcW w:w="1107" w:type="dxa"/>
            <w:vAlign w:val="center"/>
          </w:tcPr>
          <w:p w14:paraId="37061A9D">
            <w:pPr>
              <w:spacing w:line="360" w:lineRule="auto"/>
              <w:jc w:val="center"/>
              <w:rPr>
                <w:rFonts w:hint="eastAsia" w:ascii="宋体" w:hAnsi="宋体" w:eastAsia="宋体" w:cs="宋体"/>
                <w:color w:val="auto"/>
                <w:sz w:val="22"/>
                <w:highlight w:val="none"/>
              </w:rPr>
            </w:pPr>
          </w:p>
        </w:tc>
      </w:tr>
      <w:tr w14:paraId="2F17D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3E999FF5">
            <w:pPr>
              <w:spacing w:line="360" w:lineRule="auto"/>
              <w:jc w:val="center"/>
              <w:rPr>
                <w:rFonts w:hint="eastAsia" w:ascii="宋体" w:hAnsi="宋体" w:eastAsia="宋体" w:cs="宋体"/>
                <w:color w:val="auto"/>
                <w:sz w:val="22"/>
                <w:highlight w:val="none"/>
              </w:rPr>
            </w:pPr>
          </w:p>
        </w:tc>
        <w:tc>
          <w:tcPr>
            <w:tcW w:w="925" w:type="dxa"/>
            <w:vAlign w:val="center"/>
          </w:tcPr>
          <w:p w14:paraId="03CC8D0D">
            <w:pPr>
              <w:spacing w:line="360" w:lineRule="auto"/>
              <w:jc w:val="center"/>
              <w:rPr>
                <w:rFonts w:hint="eastAsia" w:ascii="宋体" w:hAnsi="宋体" w:eastAsia="宋体" w:cs="宋体"/>
                <w:color w:val="auto"/>
                <w:sz w:val="22"/>
                <w:highlight w:val="none"/>
              </w:rPr>
            </w:pPr>
          </w:p>
        </w:tc>
        <w:tc>
          <w:tcPr>
            <w:tcW w:w="925" w:type="dxa"/>
            <w:vAlign w:val="center"/>
          </w:tcPr>
          <w:p w14:paraId="38275E88">
            <w:pPr>
              <w:spacing w:line="360" w:lineRule="auto"/>
              <w:jc w:val="center"/>
              <w:rPr>
                <w:rFonts w:hint="eastAsia" w:ascii="宋体" w:hAnsi="宋体" w:eastAsia="宋体" w:cs="宋体"/>
                <w:color w:val="auto"/>
                <w:sz w:val="22"/>
                <w:highlight w:val="none"/>
              </w:rPr>
            </w:pPr>
          </w:p>
        </w:tc>
        <w:tc>
          <w:tcPr>
            <w:tcW w:w="740" w:type="dxa"/>
            <w:vAlign w:val="center"/>
          </w:tcPr>
          <w:p w14:paraId="52B0E1C7">
            <w:pPr>
              <w:spacing w:line="360" w:lineRule="auto"/>
              <w:jc w:val="center"/>
              <w:rPr>
                <w:rFonts w:hint="eastAsia" w:ascii="宋体" w:hAnsi="宋体" w:eastAsia="宋体" w:cs="宋体"/>
                <w:color w:val="auto"/>
                <w:sz w:val="22"/>
                <w:highlight w:val="none"/>
              </w:rPr>
            </w:pPr>
          </w:p>
        </w:tc>
        <w:tc>
          <w:tcPr>
            <w:tcW w:w="740" w:type="dxa"/>
            <w:vAlign w:val="center"/>
          </w:tcPr>
          <w:p w14:paraId="59DAC8B9">
            <w:pPr>
              <w:spacing w:line="360" w:lineRule="auto"/>
              <w:jc w:val="center"/>
              <w:rPr>
                <w:rFonts w:hint="eastAsia" w:ascii="宋体" w:hAnsi="宋体" w:eastAsia="宋体" w:cs="宋体"/>
                <w:color w:val="auto"/>
                <w:sz w:val="22"/>
                <w:highlight w:val="none"/>
              </w:rPr>
            </w:pPr>
          </w:p>
        </w:tc>
        <w:tc>
          <w:tcPr>
            <w:tcW w:w="1294" w:type="dxa"/>
            <w:vAlign w:val="center"/>
          </w:tcPr>
          <w:p w14:paraId="400AD9D2">
            <w:pPr>
              <w:spacing w:line="360" w:lineRule="auto"/>
              <w:jc w:val="center"/>
              <w:rPr>
                <w:rFonts w:hint="eastAsia" w:ascii="宋体" w:hAnsi="宋体" w:eastAsia="宋体" w:cs="宋体"/>
                <w:color w:val="auto"/>
                <w:sz w:val="22"/>
                <w:highlight w:val="none"/>
              </w:rPr>
            </w:pPr>
          </w:p>
        </w:tc>
        <w:tc>
          <w:tcPr>
            <w:tcW w:w="1281" w:type="dxa"/>
            <w:vAlign w:val="center"/>
          </w:tcPr>
          <w:p w14:paraId="6DD91544">
            <w:pPr>
              <w:spacing w:line="360" w:lineRule="auto"/>
              <w:jc w:val="center"/>
              <w:rPr>
                <w:rFonts w:hint="eastAsia" w:ascii="宋体" w:hAnsi="宋体" w:eastAsia="宋体" w:cs="宋体"/>
                <w:color w:val="auto"/>
                <w:sz w:val="22"/>
                <w:highlight w:val="none"/>
              </w:rPr>
            </w:pPr>
          </w:p>
        </w:tc>
        <w:tc>
          <w:tcPr>
            <w:tcW w:w="1762" w:type="dxa"/>
          </w:tcPr>
          <w:p w14:paraId="7C4493E0">
            <w:pPr>
              <w:spacing w:line="360" w:lineRule="auto"/>
              <w:jc w:val="center"/>
              <w:rPr>
                <w:rFonts w:hint="eastAsia" w:ascii="宋体" w:hAnsi="宋体" w:eastAsia="宋体" w:cs="宋体"/>
                <w:color w:val="auto"/>
                <w:sz w:val="22"/>
                <w:highlight w:val="none"/>
              </w:rPr>
            </w:pPr>
          </w:p>
        </w:tc>
        <w:tc>
          <w:tcPr>
            <w:tcW w:w="1107" w:type="dxa"/>
            <w:vAlign w:val="center"/>
          </w:tcPr>
          <w:p w14:paraId="6C802FE0">
            <w:pPr>
              <w:spacing w:line="360" w:lineRule="auto"/>
              <w:jc w:val="center"/>
              <w:rPr>
                <w:rFonts w:hint="eastAsia" w:ascii="宋体" w:hAnsi="宋体" w:eastAsia="宋体" w:cs="宋体"/>
                <w:color w:val="auto"/>
                <w:sz w:val="22"/>
                <w:highlight w:val="none"/>
              </w:rPr>
            </w:pPr>
          </w:p>
        </w:tc>
      </w:tr>
      <w:tr w14:paraId="009D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610CCA0A">
            <w:pPr>
              <w:spacing w:line="360" w:lineRule="auto"/>
              <w:jc w:val="center"/>
              <w:rPr>
                <w:rFonts w:hint="eastAsia" w:ascii="宋体" w:hAnsi="宋体" w:eastAsia="宋体" w:cs="宋体"/>
                <w:color w:val="auto"/>
                <w:sz w:val="22"/>
                <w:highlight w:val="none"/>
              </w:rPr>
            </w:pPr>
          </w:p>
        </w:tc>
        <w:tc>
          <w:tcPr>
            <w:tcW w:w="925" w:type="dxa"/>
            <w:vAlign w:val="center"/>
          </w:tcPr>
          <w:p w14:paraId="4FD45513">
            <w:pPr>
              <w:spacing w:line="360" w:lineRule="auto"/>
              <w:jc w:val="center"/>
              <w:rPr>
                <w:rFonts w:hint="eastAsia" w:ascii="宋体" w:hAnsi="宋体" w:eastAsia="宋体" w:cs="宋体"/>
                <w:color w:val="auto"/>
                <w:sz w:val="22"/>
                <w:highlight w:val="none"/>
              </w:rPr>
            </w:pPr>
          </w:p>
        </w:tc>
        <w:tc>
          <w:tcPr>
            <w:tcW w:w="925" w:type="dxa"/>
            <w:vAlign w:val="center"/>
          </w:tcPr>
          <w:p w14:paraId="28860812">
            <w:pPr>
              <w:spacing w:line="360" w:lineRule="auto"/>
              <w:jc w:val="center"/>
              <w:rPr>
                <w:rFonts w:hint="eastAsia" w:ascii="宋体" w:hAnsi="宋体" w:eastAsia="宋体" w:cs="宋体"/>
                <w:color w:val="auto"/>
                <w:sz w:val="22"/>
                <w:highlight w:val="none"/>
              </w:rPr>
            </w:pPr>
          </w:p>
        </w:tc>
        <w:tc>
          <w:tcPr>
            <w:tcW w:w="740" w:type="dxa"/>
            <w:vAlign w:val="center"/>
          </w:tcPr>
          <w:p w14:paraId="784AB183">
            <w:pPr>
              <w:spacing w:line="360" w:lineRule="auto"/>
              <w:jc w:val="center"/>
              <w:rPr>
                <w:rFonts w:hint="eastAsia" w:ascii="宋体" w:hAnsi="宋体" w:eastAsia="宋体" w:cs="宋体"/>
                <w:color w:val="auto"/>
                <w:sz w:val="22"/>
                <w:highlight w:val="none"/>
              </w:rPr>
            </w:pPr>
          </w:p>
        </w:tc>
        <w:tc>
          <w:tcPr>
            <w:tcW w:w="740" w:type="dxa"/>
            <w:vAlign w:val="center"/>
          </w:tcPr>
          <w:p w14:paraId="1177E73E">
            <w:pPr>
              <w:spacing w:line="360" w:lineRule="auto"/>
              <w:jc w:val="center"/>
              <w:rPr>
                <w:rFonts w:hint="eastAsia" w:ascii="宋体" w:hAnsi="宋体" w:eastAsia="宋体" w:cs="宋体"/>
                <w:color w:val="auto"/>
                <w:sz w:val="22"/>
                <w:highlight w:val="none"/>
              </w:rPr>
            </w:pPr>
          </w:p>
        </w:tc>
        <w:tc>
          <w:tcPr>
            <w:tcW w:w="1294" w:type="dxa"/>
            <w:vAlign w:val="center"/>
          </w:tcPr>
          <w:p w14:paraId="48B3685B">
            <w:pPr>
              <w:spacing w:line="360" w:lineRule="auto"/>
              <w:jc w:val="center"/>
              <w:rPr>
                <w:rFonts w:hint="eastAsia" w:ascii="宋体" w:hAnsi="宋体" w:eastAsia="宋体" w:cs="宋体"/>
                <w:color w:val="auto"/>
                <w:sz w:val="22"/>
                <w:highlight w:val="none"/>
              </w:rPr>
            </w:pPr>
          </w:p>
        </w:tc>
        <w:tc>
          <w:tcPr>
            <w:tcW w:w="1281" w:type="dxa"/>
            <w:vAlign w:val="center"/>
          </w:tcPr>
          <w:p w14:paraId="0C642E2E">
            <w:pPr>
              <w:spacing w:line="360" w:lineRule="auto"/>
              <w:jc w:val="center"/>
              <w:rPr>
                <w:rFonts w:hint="eastAsia" w:ascii="宋体" w:hAnsi="宋体" w:eastAsia="宋体" w:cs="宋体"/>
                <w:color w:val="auto"/>
                <w:sz w:val="22"/>
                <w:highlight w:val="none"/>
              </w:rPr>
            </w:pPr>
          </w:p>
        </w:tc>
        <w:tc>
          <w:tcPr>
            <w:tcW w:w="1762" w:type="dxa"/>
          </w:tcPr>
          <w:p w14:paraId="6C309102">
            <w:pPr>
              <w:spacing w:line="360" w:lineRule="auto"/>
              <w:jc w:val="center"/>
              <w:rPr>
                <w:rFonts w:hint="eastAsia" w:ascii="宋体" w:hAnsi="宋体" w:eastAsia="宋体" w:cs="宋体"/>
                <w:color w:val="auto"/>
                <w:sz w:val="22"/>
                <w:highlight w:val="none"/>
              </w:rPr>
            </w:pPr>
          </w:p>
        </w:tc>
        <w:tc>
          <w:tcPr>
            <w:tcW w:w="1107" w:type="dxa"/>
            <w:vAlign w:val="center"/>
          </w:tcPr>
          <w:p w14:paraId="57E63614">
            <w:pPr>
              <w:spacing w:line="360" w:lineRule="auto"/>
              <w:jc w:val="center"/>
              <w:rPr>
                <w:rFonts w:hint="eastAsia" w:ascii="宋体" w:hAnsi="宋体" w:eastAsia="宋体" w:cs="宋体"/>
                <w:color w:val="auto"/>
                <w:sz w:val="22"/>
                <w:highlight w:val="none"/>
              </w:rPr>
            </w:pPr>
          </w:p>
        </w:tc>
      </w:tr>
      <w:tr w14:paraId="2507B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6EF15634">
            <w:pPr>
              <w:spacing w:line="360" w:lineRule="auto"/>
              <w:jc w:val="center"/>
              <w:rPr>
                <w:rFonts w:hint="eastAsia" w:ascii="宋体" w:hAnsi="宋体" w:eastAsia="宋体" w:cs="宋体"/>
                <w:color w:val="auto"/>
                <w:sz w:val="22"/>
                <w:highlight w:val="none"/>
              </w:rPr>
            </w:pPr>
          </w:p>
        </w:tc>
        <w:tc>
          <w:tcPr>
            <w:tcW w:w="925" w:type="dxa"/>
            <w:vAlign w:val="center"/>
          </w:tcPr>
          <w:p w14:paraId="08C7F76F">
            <w:pPr>
              <w:spacing w:line="360" w:lineRule="auto"/>
              <w:jc w:val="center"/>
              <w:rPr>
                <w:rFonts w:hint="eastAsia" w:ascii="宋体" w:hAnsi="宋体" w:eastAsia="宋体" w:cs="宋体"/>
                <w:color w:val="auto"/>
                <w:sz w:val="22"/>
                <w:highlight w:val="none"/>
              </w:rPr>
            </w:pPr>
          </w:p>
        </w:tc>
        <w:tc>
          <w:tcPr>
            <w:tcW w:w="925" w:type="dxa"/>
            <w:vAlign w:val="center"/>
          </w:tcPr>
          <w:p w14:paraId="6BB68414">
            <w:pPr>
              <w:spacing w:line="360" w:lineRule="auto"/>
              <w:jc w:val="center"/>
              <w:rPr>
                <w:rFonts w:hint="eastAsia" w:ascii="宋体" w:hAnsi="宋体" w:eastAsia="宋体" w:cs="宋体"/>
                <w:color w:val="auto"/>
                <w:sz w:val="22"/>
                <w:highlight w:val="none"/>
              </w:rPr>
            </w:pPr>
          </w:p>
        </w:tc>
        <w:tc>
          <w:tcPr>
            <w:tcW w:w="740" w:type="dxa"/>
            <w:vAlign w:val="center"/>
          </w:tcPr>
          <w:p w14:paraId="1EECAD23">
            <w:pPr>
              <w:spacing w:line="360" w:lineRule="auto"/>
              <w:jc w:val="center"/>
              <w:rPr>
                <w:rFonts w:hint="eastAsia" w:ascii="宋体" w:hAnsi="宋体" w:eastAsia="宋体" w:cs="宋体"/>
                <w:color w:val="auto"/>
                <w:sz w:val="22"/>
                <w:highlight w:val="none"/>
              </w:rPr>
            </w:pPr>
          </w:p>
        </w:tc>
        <w:tc>
          <w:tcPr>
            <w:tcW w:w="740" w:type="dxa"/>
            <w:vAlign w:val="center"/>
          </w:tcPr>
          <w:p w14:paraId="31AE615E">
            <w:pPr>
              <w:spacing w:line="360" w:lineRule="auto"/>
              <w:jc w:val="center"/>
              <w:rPr>
                <w:rFonts w:hint="eastAsia" w:ascii="宋体" w:hAnsi="宋体" w:eastAsia="宋体" w:cs="宋体"/>
                <w:color w:val="auto"/>
                <w:sz w:val="22"/>
                <w:highlight w:val="none"/>
              </w:rPr>
            </w:pPr>
          </w:p>
        </w:tc>
        <w:tc>
          <w:tcPr>
            <w:tcW w:w="1294" w:type="dxa"/>
            <w:vAlign w:val="center"/>
          </w:tcPr>
          <w:p w14:paraId="2AC394B6">
            <w:pPr>
              <w:spacing w:line="360" w:lineRule="auto"/>
              <w:jc w:val="center"/>
              <w:rPr>
                <w:rFonts w:hint="eastAsia" w:ascii="宋体" w:hAnsi="宋体" w:eastAsia="宋体" w:cs="宋体"/>
                <w:color w:val="auto"/>
                <w:sz w:val="22"/>
                <w:highlight w:val="none"/>
              </w:rPr>
            </w:pPr>
          </w:p>
        </w:tc>
        <w:tc>
          <w:tcPr>
            <w:tcW w:w="1281" w:type="dxa"/>
            <w:vAlign w:val="center"/>
          </w:tcPr>
          <w:p w14:paraId="4C6E2F6F">
            <w:pPr>
              <w:spacing w:line="360" w:lineRule="auto"/>
              <w:jc w:val="center"/>
              <w:rPr>
                <w:rFonts w:hint="eastAsia" w:ascii="宋体" w:hAnsi="宋体" w:eastAsia="宋体" w:cs="宋体"/>
                <w:color w:val="auto"/>
                <w:sz w:val="22"/>
                <w:highlight w:val="none"/>
              </w:rPr>
            </w:pPr>
          </w:p>
        </w:tc>
        <w:tc>
          <w:tcPr>
            <w:tcW w:w="1762" w:type="dxa"/>
          </w:tcPr>
          <w:p w14:paraId="75B60AA9">
            <w:pPr>
              <w:spacing w:line="360" w:lineRule="auto"/>
              <w:jc w:val="center"/>
              <w:rPr>
                <w:rFonts w:hint="eastAsia" w:ascii="宋体" w:hAnsi="宋体" w:eastAsia="宋体" w:cs="宋体"/>
                <w:color w:val="auto"/>
                <w:sz w:val="22"/>
                <w:highlight w:val="none"/>
              </w:rPr>
            </w:pPr>
          </w:p>
        </w:tc>
        <w:tc>
          <w:tcPr>
            <w:tcW w:w="1107" w:type="dxa"/>
            <w:vAlign w:val="center"/>
          </w:tcPr>
          <w:p w14:paraId="24083F3C">
            <w:pPr>
              <w:spacing w:line="360" w:lineRule="auto"/>
              <w:jc w:val="center"/>
              <w:rPr>
                <w:rFonts w:hint="eastAsia" w:ascii="宋体" w:hAnsi="宋体" w:eastAsia="宋体" w:cs="宋体"/>
                <w:color w:val="auto"/>
                <w:sz w:val="22"/>
                <w:highlight w:val="none"/>
              </w:rPr>
            </w:pPr>
          </w:p>
        </w:tc>
      </w:tr>
      <w:tr w14:paraId="4C560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2E6AC23F">
            <w:pPr>
              <w:spacing w:line="360" w:lineRule="auto"/>
              <w:jc w:val="center"/>
              <w:rPr>
                <w:rFonts w:hint="eastAsia" w:ascii="宋体" w:hAnsi="宋体" w:eastAsia="宋体" w:cs="宋体"/>
                <w:color w:val="auto"/>
                <w:sz w:val="22"/>
                <w:highlight w:val="none"/>
              </w:rPr>
            </w:pPr>
          </w:p>
        </w:tc>
        <w:tc>
          <w:tcPr>
            <w:tcW w:w="925" w:type="dxa"/>
            <w:vAlign w:val="center"/>
          </w:tcPr>
          <w:p w14:paraId="373794B2">
            <w:pPr>
              <w:spacing w:line="360" w:lineRule="auto"/>
              <w:jc w:val="center"/>
              <w:rPr>
                <w:rFonts w:hint="eastAsia" w:ascii="宋体" w:hAnsi="宋体" w:eastAsia="宋体" w:cs="宋体"/>
                <w:color w:val="auto"/>
                <w:sz w:val="22"/>
                <w:highlight w:val="none"/>
              </w:rPr>
            </w:pPr>
          </w:p>
        </w:tc>
        <w:tc>
          <w:tcPr>
            <w:tcW w:w="925" w:type="dxa"/>
            <w:vAlign w:val="center"/>
          </w:tcPr>
          <w:p w14:paraId="13C2DBD0">
            <w:pPr>
              <w:spacing w:line="360" w:lineRule="auto"/>
              <w:jc w:val="center"/>
              <w:rPr>
                <w:rFonts w:hint="eastAsia" w:ascii="宋体" w:hAnsi="宋体" w:eastAsia="宋体" w:cs="宋体"/>
                <w:color w:val="auto"/>
                <w:sz w:val="22"/>
                <w:highlight w:val="none"/>
              </w:rPr>
            </w:pPr>
          </w:p>
        </w:tc>
        <w:tc>
          <w:tcPr>
            <w:tcW w:w="740" w:type="dxa"/>
            <w:vAlign w:val="center"/>
          </w:tcPr>
          <w:p w14:paraId="55CB7A8E">
            <w:pPr>
              <w:spacing w:line="360" w:lineRule="auto"/>
              <w:jc w:val="center"/>
              <w:rPr>
                <w:rFonts w:hint="eastAsia" w:ascii="宋体" w:hAnsi="宋体" w:eastAsia="宋体" w:cs="宋体"/>
                <w:color w:val="auto"/>
                <w:sz w:val="22"/>
                <w:highlight w:val="none"/>
              </w:rPr>
            </w:pPr>
          </w:p>
        </w:tc>
        <w:tc>
          <w:tcPr>
            <w:tcW w:w="740" w:type="dxa"/>
            <w:vAlign w:val="center"/>
          </w:tcPr>
          <w:p w14:paraId="67507F3C">
            <w:pPr>
              <w:spacing w:line="360" w:lineRule="auto"/>
              <w:jc w:val="center"/>
              <w:rPr>
                <w:rFonts w:hint="eastAsia" w:ascii="宋体" w:hAnsi="宋体" w:eastAsia="宋体" w:cs="宋体"/>
                <w:color w:val="auto"/>
                <w:sz w:val="22"/>
                <w:highlight w:val="none"/>
              </w:rPr>
            </w:pPr>
          </w:p>
        </w:tc>
        <w:tc>
          <w:tcPr>
            <w:tcW w:w="1294" w:type="dxa"/>
            <w:vAlign w:val="center"/>
          </w:tcPr>
          <w:p w14:paraId="36C1A073">
            <w:pPr>
              <w:spacing w:line="360" w:lineRule="auto"/>
              <w:jc w:val="center"/>
              <w:rPr>
                <w:rFonts w:hint="eastAsia" w:ascii="宋体" w:hAnsi="宋体" w:eastAsia="宋体" w:cs="宋体"/>
                <w:color w:val="auto"/>
                <w:sz w:val="22"/>
                <w:highlight w:val="none"/>
              </w:rPr>
            </w:pPr>
          </w:p>
        </w:tc>
        <w:tc>
          <w:tcPr>
            <w:tcW w:w="1281" w:type="dxa"/>
            <w:vAlign w:val="center"/>
          </w:tcPr>
          <w:p w14:paraId="1F857EBD">
            <w:pPr>
              <w:spacing w:line="360" w:lineRule="auto"/>
              <w:jc w:val="center"/>
              <w:rPr>
                <w:rFonts w:hint="eastAsia" w:ascii="宋体" w:hAnsi="宋体" w:eastAsia="宋体" w:cs="宋体"/>
                <w:color w:val="auto"/>
                <w:sz w:val="22"/>
                <w:highlight w:val="none"/>
              </w:rPr>
            </w:pPr>
          </w:p>
        </w:tc>
        <w:tc>
          <w:tcPr>
            <w:tcW w:w="1762" w:type="dxa"/>
          </w:tcPr>
          <w:p w14:paraId="51625716">
            <w:pPr>
              <w:spacing w:line="360" w:lineRule="auto"/>
              <w:jc w:val="center"/>
              <w:rPr>
                <w:rFonts w:hint="eastAsia" w:ascii="宋体" w:hAnsi="宋体" w:eastAsia="宋体" w:cs="宋体"/>
                <w:color w:val="auto"/>
                <w:sz w:val="22"/>
                <w:highlight w:val="none"/>
              </w:rPr>
            </w:pPr>
          </w:p>
        </w:tc>
        <w:tc>
          <w:tcPr>
            <w:tcW w:w="1107" w:type="dxa"/>
            <w:vAlign w:val="center"/>
          </w:tcPr>
          <w:p w14:paraId="2C735B44">
            <w:pPr>
              <w:spacing w:line="360" w:lineRule="auto"/>
              <w:jc w:val="center"/>
              <w:rPr>
                <w:rFonts w:hint="eastAsia" w:ascii="宋体" w:hAnsi="宋体" w:eastAsia="宋体" w:cs="宋体"/>
                <w:color w:val="auto"/>
                <w:sz w:val="22"/>
                <w:highlight w:val="none"/>
              </w:rPr>
            </w:pPr>
          </w:p>
        </w:tc>
      </w:tr>
      <w:tr w14:paraId="67DB6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39689EF0">
            <w:pPr>
              <w:spacing w:line="360" w:lineRule="auto"/>
              <w:jc w:val="center"/>
              <w:rPr>
                <w:rFonts w:hint="eastAsia" w:ascii="宋体" w:hAnsi="宋体" w:eastAsia="宋体" w:cs="宋体"/>
                <w:color w:val="auto"/>
                <w:sz w:val="22"/>
                <w:highlight w:val="none"/>
              </w:rPr>
            </w:pPr>
          </w:p>
        </w:tc>
        <w:tc>
          <w:tcPr>
            <w:tcW w:w="925" w:type="dxa"/>
            <w:vAlign w:val="center"/>
          </w:tcPr>
          <w:p w14:paraId="2129A24D">
            <w:pPr>
              <w:spacing w:line="360" w:lineRule="auto"/>
              <w:jc w:val="center"/>
              <w:rPr>
                <w:rFonts w:hint="eastAsia" w:ascii="宋体" w:hAnsi="宋体" w:eastAsia="宋体" w:cs="宋体"/>
                <w:color w:val="auto"/>
                <w:sz w:val="22"/>
                <w:highlight w:val="none"/>
              </w:rPr>
            </w:pPr>
          </w:p>
        </w:tc>
        <w:tc>
          <w:tcPr>
            <w:tcW w:w="925" w:type="dxa"/>
            <w:vAlign w:val="center"/>
          </w:tcPr>
          <w:p w14:paraId="2DB2A318">
            <w:pPr>
              <w:spacing w:line="360" w:lineRule="auto"/>
              <w:jc w:val="center"/>
              <w:rPr>
                <w:rFonts w:hint="eastAsia" w:ascii="宋体" w:hAnsi="宋体" w:eastAsia="宋体" w:cs="宋体"/>
                <w:color w:val="auto"/>
                <w:sz w:val="22"/>
                <w:highlight w:val="none"/>
              </w:rPr>
            </w:pPr>
          </w:p>
        </w:tc>
        <w:tc>
          <w:tcPr>
            <w:tcW w:w="740" w:type="dxa"/>
            <w:vAlign w:val="center"/>
          </w:tcPr>
          <w:p w14:paraId="6FF893D8">
            <w:pPr>
              <w:spacing w:line="360" w:lineRule="auto"/>
              <w:jc w:val="center"/>
              <w:rPr>
                <w:rFonts w:hint="eastAsia" w:ascii="宋体" w:hAnsi="宋体" w:eastAsia="宋体" w:cs="宋体"/>
                <w:color w:val="auto"/>
                <w:sz w:val="22"/>
                <w:highlight w:val="none"/>
              </w:rPr>
            </w:pPr>
          </w:p>
        </w:tc>
        <w:tc>
          <w:tcPr>
            <w:tcW w:w="740" w:type="dxa"/>
            <w:vAlign w:val="center"/>
          </w:tcPr>
          <w:p w14:paraId="79D9942B">
            <w:pPr>
              <w:spacing w:line="360" w:lineRule="auto"/>
              <w:jc w:val="center"/>
              <w:rPr>
                <w:rFonts w:hint="eastAsia" w:ascii="宋体" w:hAnsi="宋体" w:eastAsia="宋体" w:cs="宋体"/>
                <w:color w:val="auto"/>
                <w:sz w:val="22"/>
                <w:highlight w:val="none"/>
              </w:rPr>
            </w:pPr>
          </w:p>
        </w:tc>
        <w:tc>
          <w:tcPr>
            <w:tcW w:w="1294" w:type="dxa"/>
            <w:vAlign w:val="center"/>
          </w:tcPr>
          <w:p w14:paraId="44122581">
            <w:pPr>
              <w:spacing w:line="360" w:lineRule="auto"/>
              <w:jc w:val="center"/>
              <w:rPr>
                <w:rFonts w:hint="eastAsia" w:ascii="宋体" w:hAnsi="宋体" w:eastAsia="宋体" w:cs="宋体"/>
                <w:color w:val="auto"/>
                <w:sz w:val="22"/>
                <w:highlight w:val="none"/>
              </w:rPr>
            </w:pPr>
          </w:p>
        </w:tc>
        <w:tc>
          <w:tcPr>
            <w:tcW w:w="1281" w:type="dxa"/>
            <w:vAlign w:val="center"/>
          </w:tcPr>
          <w:p w14:paraId="0B3AC4A6">
            <w:pPr>
              <w:spacing w:line="360" w:lineRule="auto"/>
              <w:jc w:val="center"/>
              <w:rPr>
                <w:rFonts w:hint="eastAsia" w:ascii="宋体" w:hAnsi="宋体" w:eastAsia="宋体" w:cs="宋体"/>
                <w:color w:val="auto"/>
                <w:sz w:val="22"/>
                <w:highlight w:val="none"/>
              </w:rPr>
            </w:pPr>
          </w:p>
        </w:tc>
        <w:tc>
          <w:tcPr>
            <w:tcW w:w="1762" w:type="dxa"/>
          </w:tcPr>
          <w:p w14:paraId="50882C43">
            <w:pPr>
              <w:spacing w:line="360" w:lineRule="auto"/>
              <w:jc w:val="center"/>
              <w:rPr>
                <w:rFonts w:hint="eastAsia" w:ascii="宋体" w:hAnsi="宋体" w:eastAsia="宋体" w:cs="宋体"/>
                <w:color w:val="auto"/>
                <w:sz w:val="22"/>
                <w:highlight w:val="none"/>
              </w:rPr>
            </w:pPr>
          </w:p>
        </w:tc>
        <w:tc>
          <w:tcPr>
            <w:tcW w:w="1107" w:type="dxa"/>
            <w:vAlign w:val="center"/>
          </w:tcPr>
          <w:p w14:paraId="6C0026AF">
            <w:pPr>
              <w:spacing w:line="360" w:lineRule="auto"/>
              <w:jc w:val="center"/>
              <w:rPr>
                <w:rFonts w:hint="eastAsia" w:ascii="宋体" w:hAnsi="宋体" w:eastAsia="宋体" w:cs="宋体"/>
                <w:color w:val="auto"/>
                <w:sz w:val="22"/>
                <w:highlight w:val="none"/>
              </w:rPr>
            </w:pPr>
          </w:p>
        </w:tc>
      </w:tr>
      <w:tr w14:paraId="1D19D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1C2328FA">
            <w:pPr>
              <w:spacing w:line="360" w:lineRule="auto"/>
              <w:jc w:val="center"/>
              <w:rPr>
                <w:rFonts w:hint="eastAsia" w:ascii="宋体" w:hAnsi="宋体" w:eastAsia="宋体" w:cs="宋体"/>
                <w:color w:val="auto"/>
                <w:sz w:val="22"/>
                <w:highlight w:val="none"/>
              </w:rPr>
            </w:pPr>
          </w:p>
        </w:tc>
        <w:tc>
          <w:tcPr>
            <w:tcW w:w="925" w:type="dxa"/>
            <w:vAlign w:val="center"/>
          </w:tcPr>
          <w:p w14:paraId="6D5F71D2">
            <w:pPr>
              <w:spacing w:line="360" w:lineRule="auto"/>
              <w:jc w:val="center"/>
              <w:rPr>
                <w:rFonts w:hint="eastAsia" w:ascii="宋体" w:hAnsi="宋体" w:eastAsia="宋体" w:cs="宋体"/>
                <w:color w:val="auto"/>
                <w:sz w:val="22"/>
                <w:highlight w:val="none"/>
              </w:rPr>
            </w:pPr>
          </w:p>
        </w:tc>
        <w:tc>
          <w:tcPr>
            <w:tcW w:w="925" w:type="dxa"/>
            <w:vAlign w:val="center"/>
          </w:tcPr>
          <w:p w14:paraId="673743C6">
            <w:pPr>
              <w:spacing w:line="360" w:lineRule="auto"/>
              <w:jc w:val="center"/>
              <w:rPr>
                <w:rFonts w:hint="eastAsia" w:ascii="宋体" w:hAnsi="宋体" w:eastAsia="宋体" w:cs="宋体"/>
                <w:color w:val="auto"/>
                <w:sz w:val="22"/>
                <w:highlight w:val="none"/>
              </w:rPr>
            </w:pPr>
          </w:p>
        </w:tc>
        <w:tc>
          <w:tcPr>
            <w:tcW w:w="740" w:type="dxa"/>
            <w:vAlign w:val="center"/>
          </w:tcPr>
          <w:p w14:paraId="20466DB8">
            <w:pPr>
              <w:spacing w:line="360" w:lineRule="auto"/>
              <w:jc w:val="center"/>
              <w:rPr>
                <w:rFonts w:hint="eastAsia" w:ascii="宋体" w:hAnsi="宋体" w:eastAsia="宋体" w:cs="宋体"/>
                <w:color w:val="auto"/>
                <w:sz w:val="22"/>
                <w:highlight w:val="none"/>
              </w:rPr>
            </w:pPr>
          </w:p>
        </w:tc>
        <w:tc>
          <w:tcPr>
            <w:tcW w:w="740" w:type="dxa"/>
            <w:vAlign w:val="center"/>
          </w:tcPr>
          <w:p w14:paraId="2D39A8B5">
            <w:pPr>
              <w:spacing w:line="360" w:lineRule="auto"/>
              <w:jc w:val="center"/>
              <w:rPr>
                <w:rFonts w:hint="eastAsia" w:ascii="宋体" w:hAnsi="宋体" w:eastAsia="宋体" w:cs="宋体"/>
                <w:color w:val="auto"/>
                <w:sz w:val="22"/>
                <w:highlight w:val="none"/>
              </w:rPr>
            </w:pPr>
          </w:p>
        </w:tc>
        <w:tc>
          <w:tcPr>
            <w:tcW w:w="1294" w:type="dxa"/>
            <w:vAlign w:val="center"/>
          </w:tcPr>
          <w:p w14:paraId="059A5850">
            <w:pPr>
              <w:spacing w:line="360" w:lineRule="auto"/>
              <w:jc w:val="center"/>
              <w:rPr>
                <w:rFonts w:hint="eastAsia" w:ascii="宋体" w:hAnsi="宋体" w:eastAsia="宋体" w:cs="宋体"/>
                <w:color w:val="auto"/>
                <w:sz w:val="22"/>
                <w:highlight w:val="none"/>
              </w:rPr>
            </w:pPr>
          </w:p>
        </w:tc>
        <w:tc>
          <w:tcPr>
            <w:tcW w:w="1281" w:type="dxa"/>
            <w:vAlign w:val="center"/>
          </w:tcPr>
          <w:p w14:paraId="780CA516">
            <w:pPr>
              <w:spacing w:line="360" w:lineRule="auto"/>
              <w:jc w:val="center"/>
              <w:rPr>
                <w:rFonts w:hint="eastAsia" w:ascii="宋体" w:hAnsi="宋体" w:eastAsia="宋体" w:cs="宋体"/>
                <w:color w:val="auto"/>
                <w:sz w:val="22"/>
                <w:highlight w:val="none"/>
              </w:rPr>
            </w:pPr>
          </w:p>
        </w:tc>
        <w:tc>
          <w:tcPr>
            <w:tcW w:w="1762" w:type="dxa"/>
          </w:tcPr>
          <w:p w14:paraId="425F6123">
            <w:pPr>
              <w:spacing w:line="360" w:lineRule="auto"/>
              <w:jc w:val="center"/>
              <w:rPr>
                <w:rFonts w:hint="eastAsia" w:ascii="宋体" w:hAnsi="宋体" w:eastAsia="宋体" w:cs="宋体"/>
                <w:color w:val="auto"/>
                <w:sz w:val="22"/>
                <w:highlight w:val="none"/>
              </w:rPr>
            </w:pPr>
          </w:p>
        </w:tc>
        <w:tc>
          <w:tcPr>
            <w:tcW w:w="1107" w:type="dxa"/>
            <w:vAlign w:val="center"/>
          </w:tcPr>
          <w:p w14:paraId="3AF7F338">
            <w:pPr>
              <w:spacing w:line="360" w:lineRule="auto"/>
              <w:jc w:val="center"/>
              <w:rPr>
                <w:rFonts w:hint="eastAsia" w:ascii="宋体" w:hAnsi="宋体" w:eastAsia="宋体" w:cs="宋体"/>
                <w:color w:val="auto"/>
                <w:sz w:val="22"/>
                <w:highlight w:val="none"/>
              </w:rPr>
            </w:pPr>
          </w:p>
        </w:tc>
      </w:tr>
      <w:tr w14:paraId="4A5C2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7F90B389">
            <w:pPr>
              <w:spacing w:line="360" w:lineRule="auto"/>
              <w:jc w:val="center"/>
              <w:rPr>
                <w:rFonts w:hint="eastAsia" w:ascii="宋体" w:hAnsi="宋体" w:eastAsia="宋体" w:cs="宋体"/>
                <w:color w:val="auto"/>
                <w:sz w:val="22"/>
                <w:highlight w:val="none"/>
              </w:rPr>
            </w:pPr>
          </w:p>
        </w:tc>
        <w:tc>
          <w:tcPr>
            <w:tcW w:w="925" w:type="dxa"/>
            <w:vAlign w:val="center"/>
          </w:tcPr>
          <w:p w14:paraId="72791AE5">
            <w:pPr>
              <w:spacing w:line="360" w:lineRule="auto"/>
              <w:jc w:val="center"/>
              <w:rPr>
                <w:rFonts w:hint="eastAsia" w:ascii="宋体" w:hAnsi="宋体" w:eastAsia="宋体" w:cs="宋体"/>
                <w:color w:val="auto"/>
                <w:sz w:val="22"/>
                <w:highlight w:val="none"/>
              </w:rPr>
            </w:pPr>
          </w:p>
        </w:tc>
        <w:tc>
          <w:tcPr>
            <w:tcW w:w="925" w:type="dxa"/>
            <w:vAlign w:val="center"/>
          </w:tcPr>
          <w:p w14:paraId="12A3918D">
            <w:pPr>
              <w:spacing w:line="360" w:lineRule="auto"/>
              <w:jc w:val="center"/>
              <w:rPr>
                <w:rFonts w:hint="eastAsia" w:ascii="宋体" w:hAnsi="宋体" w:eastAsia="宋体" w:cs="宋体"/>
                <w:color w:val="auto"/>
                <w:sz w:val="22"/>
                <w:highlight w:val="none"/>
              </w:rPr>
            </w:pPr>
          </w:p>
        </w:tc>
        <w:tc>
          <w:tcPr>
            <w:tcW w:w="740" w:type="dxa"/>
            <w:vAlign w:val="center"/>
          </w:tcPr>
          <w:p w14:paraId="49424F8B">
            <w:pPr>
              <w:spacing w:line="360" w:lineRule="auto"/>
              <w:jc w:val="center"/>
              <w:rPr>
                <w:rFonts w:hint="eastAsia" w:ascii="宋体" w:hAnsi="宋体" w:eastAsia="宋体" w:cs="宋体"/>
                <w:color w:val="auto"/>
                <w:sz w:val="22"/>
                <w:highlight w:val="none"/>
              </w:rPr>
            </w:pPr>
          </w:p>
        </w:tc>
        <w:tc>
          <w:tcPr>
            <w:tcW w:w="740" w:type="dxa"/>
            <w:vAlign w:val="center"/>
          </w:tcPr>
          <w:p w14:paraId="45105EFA">
            <w:pPr>
              <w:spacing w:line="360" w:lineRule="auto"/>
              <w:jc w:val="center"/>
              <w:rPr>
                <w:rFonts w:hint="eastAsia" w:ascii="宋体" w:hAnsi="宋体" w:eastAsia="宋体" w:cs="宋体"/>
                <w:color w:val="auto"/>
                <w:sz w:val="22"/>
                <w:highlight w:val="none"/>
              </w:rPr>
            </w:pPr>
          </w:p>
        </w:tc>
        <w:tc>
          <w:tcPr>
            <w:tcW w:w="1294" w:type="dxa"/>
            <w:vAlign w:val="center"/>
          </w:tcPr>
          <w:p w14:paraId="38DB9D93">
            <w:pPr>
              <w:spacing w:line="360" w:lineRule="auto"/>
              <w:jc w:val="center"/>
              <w:rPr>
                <w:rFonts w:hint="eastAsia" w:ascii="宋体" w:hAnsi="宋体" w:eastAsia="宋体" w:cs="宋体"/>
                <w:color w:val="auto"/>
                <w:sz w:val="22"/>
                <w:highlight w:val="none"/>
              </w:rPr>
            </w:pPr>
          </w:p>
        </w:tc>
        <w:tc>
          <w:tcPr>
            <w:tcW w:w="1281" w:type="dxa"/>
            <w:vAlign w:val="center"/>
          </w:tcPr>
          <w:p w14:paraId="5807F759">
            <w:pPr>
              <w:spacing w:line="360" w:lineRule="auto"/>
              <w:jc w:val="center"/>
              <w:rPr>
                <w:rFonts w:hint="eastAsia" w:ascii="宋体" w:hAnsi="宋体" w:eastAsia="宋体" w:cs="宋体"/>
                <w:color w:val="auto"/>
                <w:sz w:val="22"/>
                <w:highlight w:val="none"/>
              </w:rPr>
            </w:pPr>
          </w:p>
        </w:tc>
        <w:tc>
          <w:tcPr>
            <w:tcW w:w="1762" w:type="dxa"/>
          </w:tcPr>
          <w:p w14:paraId="06A97B41">
            <w:pPr>
              <w:spacing w:line="360" w:lineRule="auto"/>
              <w:jc w:val="center"/>
              <w:rPr>
                <w:rFonts w:hint="eastAsia" w:ascii="宋体" w:hAnsi="宋体" w:eastAsia="宋体" w:cs="宋体"/>
                <w:color w:val="auto"/>
                <w:sz w:val="22"/>
                <w:highlight w:val="none"/>
              </w:rPr>
            </w:pPr>
          </w:p>
        </w:tc>
        <w:tc>
          <w:tcPr>
            <w:tcW w:w="1107" w:type="dxa"/>
            <w:vAlign w:val="center"/>
          </w:tcPr>
          <w:p w14:paraId="7E5EA501">
            <w:pPr>
              <w:spacing w:line="360" w:lineRule="auto"/>
              <w:jc w:val="center"/>
              <w:rPr>
                <w:rFonts w:hint="eastAsia" w:ascii="宋体" w:hAnsi="宋体" w:eastAsia="宋体" w:cs="宋体"/>
                <w:color w:val="auto"/>
                <w:sz w:val="22"/>
                <w:highlight w:val="none"/>
              </w:rPr>
            </w:pPr>
          </w:p>
        </w:tc>
      </w:tr>
      <w:tr w14:paraId="3544C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1DDAC73F">
            <w:pPr>
              <w:spacing w:line="360" w:lineRule="auto"/>
              <w:jc w:val="center"/>
              <w:rPr>
                <w:rFonts w:hint="eastAsia" w:ascii="宋体" w:hAnsi="宋体" w:eastAsia="宋体" w:cs="宋体"/>
                <w:color w:val="auto"/>
                <w:sz w:val="22"/>
                <w:highlight w:val="none"/>
              </w:rPr>
            </w:pPr>
          </w:p>
        </w:tc>
        <w:tc>
          <w:tcPr>
            <w:tcW w:w="925" w:type="dxa"/>
            <w:vAlign w:val="center"/>
          </w:tcPr>
          <w:p w14:paraId="75427E5F">
            <w:pPr>
              <w:spacing w:line="360" w:lineRule="auto"/>
              <w:jc w:val="center"/>
              <w:rPr>
                <w:rFonts w:hint="eastAsia" w:ascii="宋体" w:hAnsi="宋体" w:eastAsia="宋体" w:cs="宋体"/>
                <w:color w:val="auto"/>
                <w:sz w:val="22"/>
                <w:highlight w:val="none"/>
              </w:rPr>
            </w:pPr>
          </w:p>
        </w:tc>
        <w:tc>
          <w:tcPr>
            <w:tcW w:w="925" w:type="dxa"/>
            <w:vAlign w:val="center"/>
          </w:tcPr>
          <w:p w14:paraId="61A8CA3E">
            <w:pPr>
              <w:spacing w:line="360" w:lineRule="auto"/>
              <w:jc w:val="center"/>
              <w:rPr>
                <w:rFonts w:hint="eastAsia" w:ascii="宋体" w:hAnsi="宋体" w:eastAsia="宋体" w:cs="宋体"/>
                <w:color w:val="auto"/>
                <w:sz w:val="22"/>
                <w:highlight w:val="none"/>
              </w:rPr>
            </w:pPr>
          </w:p>
        </w:tc>
        <w:tc>
          <w:tcPr>
            <w:tcW w:w="740" w:type="dxa"/>
            <w:vAlign w:val="center"/>
          </w:tcPr>
          <w:p w14:paraId="331B7E0A">
            <w:pPr>
              <w:spacing w:line="360" w:lineRule="auto"/>
              <w:jc w:val="center"/>
              <w:rPr>
                <w:rFonts w:hint="eastAsia" w:ascii="宋体" w:hAnsi="宋体" w:eastAsia="宋体" w:cs="宋体"/>
                <w:color w:val="auto"/>
                <w:sz w:val="22"/>
                <w:highlight w:val="none"/>
              </w:rPr>
            </w:pPr>
          </w:p>
        </w:tc>
        <w:tc>
          <w:tcPr>
            <w:tcW w:w="740" w:type="dxa"/>
            <w:vAlign w:val="center"/>
          </w:tcPr>
          <w:p w14:paraId="653F935E">
            <w:pPr>
              <w:spacing w:line="360" w:lineRule="auto"/>
              <w:jc w:val="center"/>
              <w:rPr>
                <w:rFonts w:hint="eastAsia" w:ascii="宋体" w:hAnsi="宋体" w:eastAsia="宋体" w:cs="宋体"/>
                <w:color w:val="auto"/>
                <w:sz w:val="22"/>
                <w:highlight w:val="none"/>
              </w:rPr>
            </w:pPr>
          </w:p>
        </w:tc>
        <w:tc>
          <w:tcPr>
            <w:tcW w:w="1294" w:type="dxa"/>
            <w:vAlign w:val="center"/>
          </w:tcPr>
          <w:p w14:paraId="52127E04">
            <w:pPr>
              <w:spacing w:line="360" w:lineRule="auto"/>
              <w:jc w:val="center"/>
              <w:rPr>
                <w:rFonts w:hint="eastAsia" w:ascii="宋体" w:hAnsi="宋体" w:eastAsia="宋体" w:cs="宋体"/>
                <w:color w:val="auto"/>
                <w:sz w:val="22"/>
                <w:highlight w:val="none"/>
              </w:rPr>
            </w:pPr>
          </w:p>
        </w:tc>
        <w:tc>
          <w:tcPr>
            <w:tcW w:w="1281" w:type="dxa"/>
            <w:vAlign w:val="center"/>
          </w:tcPr>
          <w:p w14:paraId="0F86F15F">
            <w:pPr>
              <w:spacing w:line="360" w:lineRule="auto"/>
              <w:jc w:val="center"/>
              <w:rPr>
                <w:rFonts w:hint="eastAsia" w:ascii="宋体" w:hAnsi="宋体" w:eastAsia="宋体" w:cs="宋体"/>
                <w:color w:val="auto"/>
                <w:sz w:val="22"/>
                <w:highlight w:val="none"/>
              </w:rPr>
            </w:pPr>
          </w:p>
        </w:tc>
        <w:tc>
          <w:tcPr>
            <w:tcW w:w="1762" w:type="dxa"/>
          </w:tcPr>
          <w:p w14:paraId="42C4385A">
            <w:pPr>
              <w:spacing w:line="360" w:lineRule="auto"/>
              <w:jc w:val="center"/>
              <w:rPr>
                <w:rFonts w:hint="eastAsia" w:ascii="宋体" w:hAnsi="宋体" w:eastAsia="宋体" w:cs="宋体"/>
                <w:color w:val="auto"/>
                <w:sz w:val="22"/>
                <w:highlight w:val="none"/>
              </w:rPr>
            </w:pPr>
          </w:p>
        </w:tc>
        <w:tc>
          <w:tcPr>
            <w:tcW w:w="1107" w:type="dxa"/>
            <w:vAlign w:val="center"/>
          </w:tcPr>
          <w:p w14:paraId="0CDFD7F2">
            <w:pPr>
              <w:spacing w:line="360" w:lineRule="auto"/>
              <w:jc w:val="center"/>
              <w:rPr>
                <w:rFonts w:hint="eastAsia" w:ascii="宋体" w:hAnsi="宋体" w:eastAsia="宋体" w:cs="宋体"/>
                <w:color w:val="auto"/>
                <w:sz w:val="22"/>
                <w:highlight w:val="none"/>
              </w:rPr>
            </w:pPr>
          </w:p>
        </w:tc>
      </w:tr>
      <w:tr w14:paraId="00B98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44C7DFAC">
            <w:pPr>
              <w:spacing w:line="360" w:lineRule="auto"/>
              <w:jc w:val="center"/>
              <w:rPr>
                <w:rFonts w:hint="eastAsia" w:ascii="宋体" w:hAnsi="宋体" w:eastAsia="宋体" w:cs="宋体"/>
                <w:color w:val="auto"/>
                <w:sz w:val="22"/>
                <w:highlight w:val="none"/>
              </w:rPr>
            </w:pPr>
          </w:p>
        </w:tc>
        <w:tc>
          <w:tcPr>
            <w:tcW w:w="925" w:type="dxa"/>
            <w:vAlign w:val="center"/>
          </w:tcPr>
          <w:p w14:paraId="2C0BBAF6">
            <w:pPr>
              <w:spacing w:line="360" w:lineRule="auto"/>
              <w:jc w:val="center"/>
              <w:rPr>
                <w:rFonts w:hint="eastAsia" w:ascii="宋体" w:hAnsi="宋体" w:eastAsia="宋体" w:cs="宋体"/>
                <w:color w:val="auto"/>
                <w:sz w:val="22"/>
                <w:highlight w:val="none"/>
              </w:rPr>
            </w:pPr>
          </w:p>
        </w:tc>
        <w:tc>
          <w:tcPr>
            <w:tcW w:w="925" w:type="dxa"/>
            <w:vAlign w:val="center"/>
          </w:tcPr>
          <w:p w14:paraId="77DB2885">
            <w:pPr>
              <w:spacing w:line="360" w:lineRule="auto"/>
              <w:jc w:val="center"/>
              <w:rPr>
                <w:rFonts w:hint="eastAsia" w:ascii="宋体" w:hAnsi="宋体" w:eastAsia="宋体" w:cs="宋体"/>
                <w:color w:val="auto"/>
                <w:sz w:val="22"/>
                <w:highlight w:val="none"/>
              </w:rPr>
            </w:pPr>
          </w:p>
        </w:tc>
        <w:tc>
          <w:tcPr>
            <w:tcW w:w="740" w:type="dxa"/>
            <w:vAlign w:val="center"/>
          </w:tcPr>
          <w:p w14:paraId="2821D6E3">
            <w:pPr>
              <w:spacing w:line="360" w:lineRule="auto"/>
              <w:jc w:val="center"/>
              <w:rPr>
                <w:rFonts w:hint="eastAsia" w:ascii="宋体" w:hAnsi="宋体" w:eastAsia="宋体" w:cs="宋体"/>
                <w:color w:val="auto"/>
                <w:sz w:val="22"/>
                <w:highlight w:val="none"/>
              </w:rPr>
            </w:pPr>
          </w:p>
        </w:tc>
        <w:tc>
          <w:tcPr>
            <w:tcW w:w="740" w:type="dxa"/>
            <w:vAlign w:val="center"/>
          </w:tcPr>
          <w:p w14:paraId="05EBB898">
            <w:pPr>
              <w:spacing w:line="360" w:lineRule="auto"/>
              <w:jc w:val="center"/>
              <w:rPr>
                <w:rFonts w:hint="eastAsia" w:ascii="宋体" w:hAnsi="宋体" w:eastAsia="宋体" w:cs="宋体"/>
                <w:color w:val="auto"/>
                <w:sz w:val="22"/>
                <w:highlight w:val="none"/>
              </w:rPr>
            </w:pPr>
          </w:p>
        </w:tc>
        <w:tc>
          <w:tcPr>
            <w:tcW w:w="1294" w:type="dxa"/>
            <w:vAlign w:val="center"/>
          </w:tcPr>
          <w:p w14:paraId="01E076FC">
            <w:pPr>
              <w:spacing w:line="360" w:lineRule="auto"/>
              <w:jc w:val="center"/>
              <w:rPr>
                <w:rFonts w:hint="eastAsia" w:ascii="宋体" w:hAnsi="宋体" w:eastAsia="宋体" w:cs="宋体"/>
                <w:color w:val="auto"/>
                <w:sz w:val="22"/>
                <w:highlight w:val="none"/>
              </w:rPr>
            </w:pPr>
          </w:p>
        </w:tc>
        <w:tc>
          <w:tcPr>
            <w:tcW w:w="1281" w:type="dxa"/>
            <w:vAlign w:val="center"/>
          </w:tcPr>
          <w:p w14:paraId="1F9EE7E4">
            <w:pPr>
              <w:spacing w:line="360" w:lineRule="auto"/>
              <w:jc w:val="center"/>
              <w:rPr>
                <w:rFonts w:hint="eastAsia" w:ascii="宋体" w:hAnsi="宋体" w:eastAsia="宋体" w:cs="宋体"/>
                <w:color w:val="auto"/>
                <w:sz w:val="22"/>
                <w:highlight w:val="none"/>
              </w:rPr>
            </w:pPr>
          </w:p>
        </w:tc>
        <w:tc>
          <w:tcPr>
            <w:tcW w:w="1762" w:type="dxa"/>
          </w:tcPr>
          <w:p w14:paraId="26EC4511">
            <w:pPr>
              <w:spacing w:line="360" w:lineRule="auto"/>
              <w:jc w:val="center"/>
              <w:rPr>
                <w:rFonts w:hint="eastAsia" w:ascii="宋体" w:hAnsi="宋体" w:eastAsia="宋体" w:cs="宋体"/>
                <w:color w:val="auto"/>
                <w:sz w:val="22"/>
                <w:highlight w:val="none"/>
              </w:rPr>
            </w:pPr>
          </w:p>
        </w:tc>
        <w:tc>
          <w:tcPr>
            <w:tcW w:w="1107" w:type="dxa"/>
            <w:vAlign w:val="center"/>
          </w:tcPr>
          <w:p w14:paraId="7F9AD5B9">
            <w:pPr>
              <w:spacing w:line="360" w:lineRule="auto"/>
              <w:jc w:val="center"/>
              <w:rPr>
                <w:rFonts w:hint="eastAsia" w:ascii="宋体" w:hAnsi="宋体" w:eastAsia="宋体" w:cs="宋体"/>
                <w:color w:val="auto"/>
                <w:sz w:val="22"/>
                <w:highlight w:val="none"/>
              </w:rPr>
            </w:pPr>
          </w:p>
        </w:tc>
      </w:tr>
    </w:tbl>
    <w:p w14:paraId="1AA11B7F">
      <w:pPr>
        <w:pStyle w:val="15"/>
        <w:spacing w:before="156" w:after="156" w:line="400" w:lineRule="atLeast"/>
        <w:ind w:left="660" w:hanging="660" w:hangingChars="300"/>
        <w:rPr>
          <w:rFonts w:hint="eastAsia" w:ascii="宋体" w:hAnsi="宋体" w:eastAsia="宋体" w:cs="宋体"/>
          <w:color w:val="auto"/>
          <w:sz w:val="22"/>
          <w:highlight w:val="none"/>
        </w:rPr>
      </w:pPr>
      <w:r>
        <w:rPr>
          <w:rFonts w:hint="eastAsia" w:ascii="宋体" w:hAnsi="宋体" w:eastAsia="宋体" w:cs="宋体"/>
          <w:color w:val="auto"/>
          <w:sz w:val="22"/>
          <w:highlight w:val="none"/>
        </w:rPr>
        <w:t>注：1.此表仅提供了表格形式，投标人可按此表格复制。</w:t>
      </w:r>
    </w:p>
    <w:p w14:paraId="27D5E41D">
      <w:pPr>
        <w:pStyle w:val="15"/>
        <w:spacing w:before="156" w:after="156" w:line="400" w:lineRule="atLeast"/>
        <w:ind w:left="660" w:hanging="660" w:hangingChars="300"/>
        <w:rPr>
          <w:rFonts w:hint="eastAsia" w:ascii="宋体" w:hAnsi="宋体" w:eastAsia="宋体" w:cs="宋体"/>
          <w:color w:val="auto"/>
          <w:sz w:val="22"/>
          <w:highlight w:val="none"/>
        </w:rPr>
      </w:pPr>
      <w:r>
        <w:rPr>
          <w:rFonts w:hint="eastAsia" w:ascii="宋体" w:hAnsi="宋体" w:eastAsia="宋体" w:cs="宋体"/>
          <w:color w:val="auto"/>
          <w:sz w:val="22"/>
          <w:highlight w:val="none"/>
        </w:rPr>
        <w:t>2.附人员证书、类似经验证明材料等。</w:t>
      </w:r>
    </w:p>
    <w:p w14:paraId="6FCA1BC2">
      <w:pPr>
        <w:pStyle w:val="15"/>
        <w:spacing w:before="156" w:after="156" w:line="400" w:lineRule="atLeast"/>
        <w:ind w:left="660" w:hanging="660" w:hangingChars="300"/>
        <w:rPr>
          <w:rFonts w:hint="eastAsia" w:ascii="宋体" w:hAnsi="宋体" w:eastAsia="宋体" w:cs="宋体"/>
          <w:color w:val="auto"/>
          <w:sz w:val="22"/>
          <w:highlight w:val="none"/>
        </w:rPr>
      </w:pPr>
    </w:p>
    <w:p w14:paraId="4CBE4D8F">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7B0D1A1E">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15F98D32">
      <w:pPr>
        <w:spacing w:line="380" w:lineRule="exac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 期：  年  月  日</w:t>
      </w:r>
      <w:r>
        <w:rPr>
          <w:rFonts w:hint="eastAsia" w:ascii="宋体" w:hAnsi="宋体" w:eastAsia="宋体" w:cs="宋体"/>
          <w:b/>
          <w:bCs/>
          <w:color w:val="auto"/>
          <w:sz w:val="22"/>
          <w:szCs w:val="22"/>
          <w:highlight w:val="none"/>
        </w:rPr>
        <w:t xml:space="preserve"> </w:t>
      </w:r>
    </w:p>
    <w:p w14:paraId="519106B9">
      <w:pPr>
        <w:spacing w:line="380" w:lineRule="exact"/>
        <w:ind w:firstLine="4400" w:firstLineChars="2000"/>
        <w:rPr>
          <w:rFonts w:hint="eastAsia" w:ascii="宋体" w:hAnsi="宋体" w:eastAsia="宋体" w:cs="宋体"/>
          <w:color w:val="auto"/>
          <w:sz w:val="22"/>
          <w:highlight w:val="none"/>
        </w:rPr>
      </w:pPr>
    </w:p>
    <w:p w14:paraId="483BF604">
      <w:pPr>
        <w:spacing w:line="380" w:lineRule="exact"/>
        <w:rPr>
          <w:rFonts w:hint="eastAsia" w:ascii="宋体" w:hAnsi="宋体" w:eastAsia="宋体" w:cs="宋体"/>
          <w:color w:val="auto"/>
          <w:highlight w:val="none"/>
        </w:rPr>
      </w:pPr>
      <w:r>
        <w:rPr>
          <w:rFonts w:hint="eastAsia" w:ascii="宋体" w:hAnsi="宋体" w:eastAsia="宋体" w:cs="宋体"/>
          <w:color w:val="auto"/>
          <w:sz w:val="22"/>
          <w:szCs w:val="22"/>
          <w:highlight w:val="none"/>
        </w:rPr>
        <w:br w:type="page"/>
      </w:r>
    </w:p>
    <w:p w14:paraId="139D4BCD">
      <w:pPr>
        <w:pStyle w:val="24"/>
        <w:ind w:firstLine="442"/>
        <w:rPr>
          <w:rFonts w:hint="eastAsia" w:ascii="宋体" w:hAnsi="宋体" w:eastAsia="宋体" w:cs="宋体"/>
          <w:b/>
          <w:color w:val="auto"/>
          <w:sz w:val="22"/>
          <w:szCs w:val="22"/>
          <w:highlight w:val="none"/>
        </w:rPr>
      </w:pPr>
    </w:p>
    <w:p w14:paraId="3CFA5F71">
      <w:pPr>
        <w:pStyle w:val="24"/>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以下内容投标人根据商务技术标评审标准自拟：</w:t>
      </w:r>
    </w:p>
    <w:p w14:paraId="100BA4BE">
      <w:pPr>
        <w:pStyle w:val="24"/>
        <w:ind w:left="0" w:leftChars="0"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投标人的综合实力、投标人监测服务使用器械、监测实施方案、售后服务保障（格式自拟）</w:t>
      </w:r>
    </w:p>
    <w:p w14:paraId="6365C81A">
      <w:pPr>
        <w:rPr>
          <w:rFonts w:hint="eastAsia" w:ascii="宋体" w:hAnsi="宋体" w:eastAsia="宋体" w:cs="宋体"/>
          <w:color w:val="auto"/>
          <w:highlight w:val="none"/>
        </w:rPr>
      </w:pPr>
    </w:p>
    <w:p w14:paraId="0999AAF5">
      <w:pPr>
        <w:pStyle w:val="24"/>
        <w:rPr>
          <w:rFonts w:hint="eastAsia" w:ascii="宋体" w:hAnsi="宋体" w:eastAsia="宋体" w:cs="宋体"/>
          <w:color w:val="auto"/>
          <w:highlight w:val="none"/>
        </w:rPr>
      </w:pPr>
    </w:p>
    <w:p w14:paraId="4DAA4647">
      <w:pPr>
        <w:rPr>
          <w:rFonts w:hint="eastAsia" w:ascii="宋体" w:hAnsi="宋体" w:eastAsia="宋体" w:cs="宋体"/>
          <w:color w:val="auto"/>
          <w:highlight w:val="none"/>
        </w:rPr>
      </w:pPr>
    </w:p>
    <w:p w14:paraId="0D4F9009">
      <w:pPr>
        <w:pStyle w:val="24"/>
        <w:rPr>
          <w:rFonts w:hint="eastAsia" w:ascii="宋体" w:hAnsi="宋体" w:eastAsia="宋体" w:cs="宋体"/>
          <w:color w:val="auto"/>
          <w:highlight w:val="none"/>
        </w:rPr>
      </w:pPr>
    </w:p>
    <w:p w14:paraId="5776C031">
      <w:pPr>
        <w:rPr>
          <w:rFonts w:hint="eastAsia" w:ascii="宋体" w:hAnsi="宋体" w:eastAsia="宋体" w:cs="宋体"/>
          <w:color w:val="auto"/>
          <w:highlight w:val="none"/>
        </w:rPr>
      </w:pPr>
    </w:p>
    <w:p w14:paraId="329FB1F5">
      <w:pPr>
        <w:pStyle w:val="24"/>
        <w:rPr>
          <w:rFonts w:hint="eastAsia" w:ascii="宋体" w:hAnsi="宋体" w:eastAsia="宋体" w:cs="宋体"/>
          <w:color w:val="auto"/>
          <w:highlight w:val="none"/>
        </w:rPr>
      </w:pPr>
    </w:p>
    <w:p w14:paraId="1333AF13">
      <w:pPr>
        <w:rPr>
          <w:rFonts w:hint="eastAsia" w:ascii="宋体" w:hAnsi="宋体" w:eastAsia="宋体" w:cs="宋体"/>
          <w:color w:val="auto"/>
          <w:highlight w:val="none"/>
        </w:rPr>
      </w:pPr>
    </w:p>
    <w:p w14:paraId="6FA1295C">
      <w:pPr>
        <w:pStyle w:val="24"/>
        <w:rPr>
          <w:rFonts w:hint="eastAsia" w:ascii="宋体" w:hAnsi="宋体" w:eastAsia="宋体" w:cs="宋体"/>
          <w:color w:val="auto"/>
          <w:highlight w:val="none"/>
        </w:rPr>
      </w:pPr>
    </w:p>
    <w:p w14:paraId="605E9C04">
      <w:pPr>
        <w:rPr>
          <w:rFonts w:hint="eastAsia" w:ascii="宋体" w:hAnsi="宋体" w:eastAsia="宋体" w:cs="宋体"/>
          <w:color w:val="auto"/>
          <w:highlight w:val="none"/>
        </w:rPr>
      </w:pPr>
    </w:p>
    <w:p w14:paraId="70CB8FAD">
      <w:pPr>
        <w:pStyle w:val="24"/>
        <w:rPr>
          <w:rFonts w:hint="eastAsia" w:ascii="宋体" w:hAnsi="宋体" w:eastAsia="宋体" w:cs="宋体"/>
          <w:color w:val="auto"/>
          <w:highlight w:val="none"/>
        </w:rPr>
      </w:pPr>
    </w:p>
    <w:p w14:paraId="079E6BC9">
      <w:pPr>
        <w:rPr>
          <w:rFonts w:hint="eastAsia" w:ascii="宋体" w:hAnsi="宋体" w:eastAsia="宋体" w:cs="宋体"/>
          <w:color w:val="auto"/>
          <w:highlight w:val="none"/>
        </w:rPr>
      </w:pPr>
    </w:p>
    <w:p w14:paraId="5FD47DED">
      <w:pPr>
        <w:pStyle w:val="24"/>
        <w:rPr>
          <w:rFonts w:hint="eastAsia" w:ascii="宋体" w:hAnsi="宋体" w:eastAsia="宋体" w:cs="宋体"/>
          <w:color w:val="auto"/>
          <w:highlight w:val="none"/>
        </w:rPr>
      </w:pPr>
    </w:p>
    <w:p w14:paraId="1F79D2C5">
      <w:pPr>
        <w:rPr>
          <w:rFonts w:hint="eastAsia" w:ascii="宋体" w:hAnsi="宋体" w:eastAsia="宋体" w:cs="宋体"/>
          <w:color w:val="auto"/>
          <w:highlight w:val="none"/>
        </w:rPr>
      </w:pPr>
    </w:p>
    <w:p w14:paraId="35F667E3">
      <w:pPr>
        <w:pStyle w:val="24"/>
        <w:rPr>
          <w:rFonts w:hint="eastAsia" w:ascii="宋体" w:hAnsi="宋体" w:eastAsia="宋体" w:cs="宋体"/>
          <w:color w:val="auto"/>
          <w:highlight w:val="none"/>
        </w:rPr>
      </w:pPr>
    </w:p>
    <w:p w14:paraId="74E67050">
      <w:pPr>
        <w:rPr>
          <w:rFonts w:hint="eastAsia" w:ascii="宋体" w:hAnsi="宋体" w:eastAsia="宋体" w:cs="宋体"/>
          <w:color w:val="auto"/>
          <w:highlight w:val="none"/>
        </w:rPr>
      </w:pPr>
    </w:p>
    <w:p w14:paraId="3EE1B09F">
      <w:pPr>
        <w:pStyle w:val="24"/>
        <w:rPr>
          <w:rFonts w:hint="eastAsia" w:ascii="宋体" w:hAnsi="宋体" w:eastAsia="宋体" w:cs="宋体"/>
          <w:color w:val="auto"/>
          <w:highlight w:val="none"/>
        </w:rPr>
      </w:pPr>
    </w:p>
    <w:p w14:paraId="2062DF9A">
      <w:pPr>
        <w:rPr>
          <w:rFonts w:hint="eastAsia" w:ascii="宋体" w:hAnsi="宋体" w:eastAsia="宋体" w:cs="宋体"/>
          <w:color w:val="auto"/>
          <w:highlight w:val="none"/>
        </w:rPr>
      </w:pPr>
    </w:p>
    <w:p w14:paraId="7D2724AE">
      <w:pPr>
        <w:pStyle w:val="24"/>
        <w:rPr>
          <w:rFonts w:hint="eastAsia" w:ascii="宋体" w:hAnsi="宋体" w:eastAsia="宋体" w:cs="宋体"/>
          <w:color w:val="auto"/>
          <w:highlight w:val="none"/>
        </w:rPr>
      </w:pPr>
    </w:p>
    <w:p w14:paraId="734F8D33">
      <w:pPr>
        <w:rPr>
          <w:rFonts w:hint="eastAsia" w:ascii="宋体" w:hAnsi="宋体" w:eastAsia="宋体" w:cs="宋体"/>
          <w:color w:val="auto"/>
          <w:highlight w:val="none"/>
        </w:rPr>
      </w:pPr>
    </w:p>
    <w:p w14:paraId="3C72E75E">
      <w:pPr>
        <w:pStyle w:val="24"/>
        <w:rPr>
          <w:rFonts w:hint="eastAsia" w:ascii="宋体" w:hAnsi="宋体" w:eastAsia="宋体" w:cs="宋体"/>
          <w:color w:val="auto"/>
          <w:highlight w:val="none"/>
        </w:rPr>
      </w:pPr>
    </w:p>
    <w:p w14:paraId="1D5E11C0">
      <w:pPr>
        <w:rPr>
          <w:rFonts w:hint="eastAsia" w:ascii="宋体" w:hAnsi="宋体" w:eastAsia="宋体" w:cs="宋体"/>
          <w:color w:val="auto"/>
          <w:highlight w:val="none"/>
        </w:rPr>
      </w:pPr>
    </w:p>
    <w:p w14:paraId="633323B3">
      <w:pPr>
        <w:pStyle w:val="24"/>
        <w:rPr>
          <w:rFonts w:hint="eastAsia" w:ascii="宋体" w:hAnsi="宋体" w:eastAsia="宋体" w:cs="宋体"/>
          <w:color w:val="auto"/>
          <w:highlight w:val="none"/>
        </w:rPr>
      </w:pPr>
    </w:p>
    <w:p w14:paraId="533A26A6">
      <w:pPr>
        <w:rPr>
          <w:rFonts w:hint="eastAsia" w:ascii="宋体" w:hAnsi="宋体" w:eastAsia="宋体" w:cs="宋体"/>
          <w:color w:val="auto"/>
          <w:highlight w:val="none"/>
        </w:rPr>
      </w:pPr>
    </w:p>
    <w:p w14:paraId="715D0807">
      <w:pPr>
        <w:pStyle w:val="24"/>
        <w:rPr>
          <w:rFonts w:hint="eastAsia" w:ascii="宋体" w:hAnsi="宋体" w:eastAsia="宋体" w:cs="宋体"/>
          <w:color w:val="auto"/>
          <w:highlight w:val="none"/>
        </w:rPr>
      </w:pPr>
    </w:p>
    <w:p w14:paraId="6E290F12">
      <w:pPr>
        <w:rPr>
          <w:rFonts w:hint="eastAsia" w:ascii="宋体" w:hAnsi="宋体" w:eastAsia="宋体" w:cs="宋体"/>
          <w:color w:val="auto"/>
          <w:highlight w:val="none"/>
        </w:rPr>
      </w:pPr>
    </w:p>
    <w:p w14:paraId="090903A9">
      <w:pPr>
        <w:pStyle w:val="24"/>
        <w:rPr>
          <w:rFonts w:hint="eastAsia" w:ascii="宋体" w:hAnsi="宋体" w:eastAsia="宋体" w:cs="宋体"/>
          <w:color w:val="auto"/>
          <w:highlight w:val="none"/>
        </w:rPr>
      </w:pPr>
    </w:p>
    <w:p w14:paraId="6EA417F7">
      <w:pPr>
        <w:rPr>
          <w:rFonts w:hint="eastAsia" w:ascii="宋体" w:hAnsi="宋体" w:eastAsia="宋体" w:cs="宋体"/>
          <w:color w:val="auto"/>
          <w:highlight w:val="none"/>
        </w:rPr>
      </w:pPr>
    </w:p>
    <w:p w14:paraId="6DE459E5">
      <w:pPr>
        <w:pStyle w:val="24"/>
        <w:rPr>
          <w:rFonts w:hint="eastAsia" w:ascii="宋体" w:hAnsi="宋体" w:eastAsia="宋体" w:cs="宋体"/>
          <w:color w:val="auto"/>
          <w:highlight w:val="none"/>
        </w:rPr>
      </w:pPr>
    </w:p>
    <w:p w14:paraId="08177638">
      <w:pPr>
        <w:rPr>
          <w:rFonts w:hint="eastAsia" w:ascii="宋体" w:hAnsi="宋体" w:eastAsia="宋体" w:cs="宋体"/>
          <w:color w:val="auto"/>
          <w:highlight w:val="none"/>
        </w:rPr>
      </w:pPr>
    </w:p>
    <w:p w14:paraId="1E1361A7">
      <w:pPr>
        <w:pStyle w:val="24"/>
        <w:rPr>
          <w:rFonts w:hint="eastAsia" w:ascii="宋体" w:hAnsi="宋体" w:eastAsia="宋体" w:cs="宋体"/>
          <w:color w:val="auto"/>
          <w:highlight w:val="none"/>
        </w:rPr>
      </w:pPr>
    </w:p>
    <w:p w14:paraId="4586FDD2">
      <w:pPr>
        <w:rPr>
          <w:rFonts w:hint="eastAsia" w:ascii="宋体" w:hAnsi="宋体" w:eastAsia="宋体" w:cs="宋体"/>
          <w:color w:val="auto"/>
          <w:highlight w:val="none"/>
        </w:rPr>
      </w:pPr>
    </w:p>
    <w:p w14:paraId="6C6700DE">
      <w:pPr>
        <w:pStyle w:val="11"/>
        <w:ind w:firstLine="210"/>
        <w:rPr>
          <w:rFonts w:hint="eastAsia" w:ascii="宋体" w:hAnsi="宋体" w:eastAsia="宋体" w:cs="宋体"/>
          <w:color w:val="auto"/>
          <w:highlight w:val="none"/>
        </w:rPr>
      </w:pPr>
    </w:p>
    <w:p w14:paraId="7772EF83">
      <w:pPr>
        <w:pStyle w:val="24"/>
        <w:rPr>
          <w:rFonts w:hint="eastAsia" w:ascii="宋体" w:hAnsi="宋体" w:eastAsia="宋体" w:cs="宋体"/>
          <w:color w:val="auto"/>
          <w:highlight w:val="none"/>
        </w:rPr>
      </w:pPr>
    </w:p>
    <w:p w14:paraId="3B40C1FF">
      <w:pPr>
        <w:rPr>
          <w:rFonts w:hint="eastAsia" w:ascii="宋体" w:hAnsi="宋体" w:eastAsia="宋体" w:cs="宋体"/>
          <w:color w:val="auto"/>
          <w:highlight w:val="none"/>
        </w:rPr>
      </w:pPr>
    </w:p>
    <w:p w14:paraId="2D122090">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（价格标封面，供参考）</w:t>
      </w:r>
    </w:p>
    <w:p w14:paraId="3E99281C">
      <w:pPr>
        <w:kinsoku w:val="0"/>
        <w:overflowPunct w:val="0"/>
        <w:spacing w:after="156"/>
        <w:ind w:firstLine="482"/>
        <w:rPr>
          <w:rFonts w:hint="eastAsia" w:asciiTheme="minorEastAsia" w:hAnsiTheme="minorEastAsia" w:eastAsiaTheme="minorEastAsia" w:cstheme="minorEastAsia"/>
          <w:b/>
          <w:bCs/>
          <w:color w:val="auto"/>
          <w:kern w:val="0"/>
          <w:sz w:val="36"/>
          <w:highlight w:val="none"/>
        </w:rPr>
      </w:pPr>
    </w:p>
    <w:p w14:paraId="282E426A">
      <w:pPr>
        <w:pStyle w:val="24"/>
        <w:rPr>
          <w:rFonts w:hint="eastAsia" w:asciiTheme="minorEastAsia" w:hAnsiTheme="minorEastAsia" w:eastAsiaTheme="minorEastAsia" w:cstheme="minorEastAsia"/>
          <w:color w:val="auto"/>
          <w:highlight w:val="none"/>
        </w:rPr>
      </w:pPr>
    </w:p>
    <w:p w14:paraId="60207B57">
      <w:pPr>
        <w:kinsoku w:val="0"/>
        <w:overflowPunct w:val="0"/>
        <w:spacing w:after="156"/>
        <w:ind w:firstLine="482"/>
        <w:rPr>
          <w:rFonts w:hint="eastAsia" w:asciiTheme="minorEastAsia" w:hAnsiTheme="minorEastAsia" w:eastAsiaTheme="minorEastAsia" w:cstheme="minorEastAsia"/>
          <w:b/>
          <w:bCs/>
          <w:color w:val="auto"/>
          <w:highlight w:val="none"/>
        </w:rPr>
      </w:pPr>
    </w:p>
    <w:p w14:paraId="28F5A54F">
      <w:pPr>
        <w:kinsoku w:val="0"/>
        <w:overflowPunct w:val="0"/>
        <w:spacing w:before="8" w:after="156"/>
        <w:ind w:firstLine="482"/>
        <w:rPr>
          <w:rFonts w:hint="eastAsia" w:asciiTheme="minorEastAsia" w:hAnsiTheme="minorEastAsia" w:eastAsiaTheme="minorEastAsia" w:cstheme="minorEastAsia"/>
          <w:b/>
          <w:bCs/>
          <w:color w:val="auto"/>
          <w:highlight w:val="none"/>
        </w:rPr>
      </w:pPr>
    </w:p>
    <w:p w14:paraId="4BED0702">
      <w:pPr>
        <w:tabs>
          <w:tab w:val="left" w:pos="4944"/>
        </w:tabs>
        <w:kinsoku w:val="0"/>
        <w:overflowPunct w:val="0"/>
        <w:spacing w:after="156"/>
        <w:ind w:firstLine="480"/>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投标文件（价格标）</w:t>
      </w:r>
    </w:p>
    <w:p w14:paraId="7454CF69">
      <w:pPr>
        <w:kinsoku w:val="0"/>
        <w:overflowPunct w:val="0"/>
        <w:spacing w:before="554" w:after="156"/>
        <w:ind w:left="376" w:right="1073" w:firstLine="482"/>
        <w:jc w:val="center"/>
        <w:rPr>
          <w:rFonts w:hint="eastAsia" w:asciiTheme="minorEastAsia" w:hAnsiTheme="minorEastAsia" w:eastAsiaTheme="minorEastAsia" w:cstheme="minorEastAsia"/>
          <w:b/>
          <w:bCs/>
          <w:color w:val="auto"/>
          <w:highlight w:val="none"/>
        </w:rPr>
      </w:pPr>
    </w:p>
    <w:p w14:paraId="1B597EAA">
      <w:pPr>
        <w:kinsoku w:val="0"/>
        <w:overflowPunct w:val="0"/>
        <w:spacing w:after="156"/>
        <w:rPr>
          <w:rFonts w:hint="eastAsia" w:asciiTheme="minorEastAsia" w:hAnsiTheme="minorEastAsia" w:eastAsiaTheme="minorEastAsia" w:cstheme="minorEastAsia"/>
          <w:b/>
          <w:bCs/>
          <w:color w:val="auto"/>
          <w:highlight w:val="none"/>
        </w:rPr>
      </w:pPr>
    </w:p>
    <w:p w14:paraId="48801110">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6800EAE7">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项目编号：</w:t>
      </w:r>
    </w:p>
    <w:p w14:paraId="7150B4B3">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项目名称：</w:t>
      </w:r>
    </w:p>
    <w:p w14:paraId="044F0F20">
      <w:pPr>
        <w:kinsoku w:val="0"/>
        <w:overflowPunct w:val="0"/>
        <w:spacing w:after="156"/>
        <w:rPr>
          <w:rFonts w:hint="eastAsia" w:asciiTheme="minorEastAsia" w:hAnsiTheme="minorEastAsia" w:eastAsiaTheme="minorEastAsia" w:cstheme="minorEastAsia"/>
          <w:b/>
          <w:bCs/>
          <w:color w:val="auto"/>
          <w:sz w:val="28"/>
          <w:highlight w:val="none"/>
        </w:rPr>
      </w:pPr>
    </w:p>
    <w:p w14:paraId="018E5B4A">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28CFCB48">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362E92E5">
      <w:pPr>
        <w:tabs>
          <w:tab w:val="left" w:pos="5830"/>
        </w:tabs>
        <w:kinsoku w:val="0"/>
        <w:overflowPunct w:val="0"/>
        <w:spacing w:before="223" w:after="156"/>
        <w:ind w:right="521"/>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投标人：（盖单位章）</w:t>
      </w:r>
      <w:r>
        <w:rPr>
          <w:rFonts w:hint="eastAsia" w:asciiTheme="minorEastAsia" w:hAnsiTheme="minorEastAsia" w:eastAsiaTheme="minorEastAsia" w:cstheme="minorEastAsia"/>
          <w:color w:val="auto"/>
          <w:sz w:val="28"/>
          <w:highlight w:val="none"/>
          <w:u w:val="single"/>
        </w:rPr>
        <w:t xml:space="preserve">                  </w:t>
      </w:r>
    </w:p>
    <w:p w14:paraId="6CAF2C78">
      <w:pPr>
        <w:tabs>
          <w:tab w:val="left" w:pos="9313"/>
        </w:tabs>
        <w:kinsoku w:val="0"/>
        <w:overflowPunct w:val="0"/>
        <w:spacing w:before="186" w:after="156"/>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法定代表人或授权代表：（盖章或签字）</w:t>
      </w:r>
      <w:r>
        <w:rPr>
          <w:rFonts w:hint="eastAsia" w:asciiTheme="minorEastAsia" w:hAnsiTheme="minorEastAsia" w:eastAsiaTheme="minorEastAsia" w:cstheme="minorEastAsia"/>
          <w:color w:val="auto"/>
          <w:sz w:val="28"/>
          <w:highlight w:val="none"/>
          <w:u w:val="single"/>
        </w:rPr>
        <w:t xml:space="preserve">                </w:t>
      </w:r>
    </w:p>
    <w:p w14:paraId="634B0D4F">
      <w:pPr>
        <w:kinsoku w:val="0"/>
        <w:overflowPunct w:val="0"/>
        <w:spacing w:after="156"/>
        <w:ind w:firstLine="482"/>
        <w:rPr>
          <w:rFonts w:hint="eastAsia" w:asciiTheme="minorEastAsia" w:hAnsiTheme="minorEastAsia" w:eastAsiaTheme="minorEastAsia" w:cstheme="minorEastAsia"/>
          <w:b/>
          <w:bCs/>
          <w:color w:val="auto"/>
          <w:highlight w:val="none"/>
        </w:rPr>
      </w:pPr>
    </w:p>
    <w:p w14:paraId="31295CD8">
      <w:pPr>
        <w:tabs>
          <w:tab w:val="left" w:pos="9313"/>
        </w:tabs>
        <w:kinsoku w:val="0"/>
        <w:overflowPunct w:val="0"/>
        <w:spacing w:before="186" w:after="156"/>
        <w:jc w:val="center"/>
        <w:rPr>
          <w:rFonts w:hint="eastAsia" w:asciiTheme="minorEastAsia" w:hAnsiTheme="minorEastAsia" w:eastAsiaTheme="minorEastAsia" w:cstheme="minorEastAsia"/>
          <w:b/>
          <w:bCs/>
          <w:color w:val="auto"/>
          <w:w w:val="95"/>
          <w:sz w:val="28"/>
          <w:highlight w:val="none"/>
        </w:rPr>
      </w:pPr>
      <w:r>
        <w:rPr>
          <w:rFonts w:hint="eastAsia" w:asciiTheme="minorEastAsia" w:hAnsiTheme="minorEastAsia" w:eastAsiaTheme="minorEastAsia" w:cstheme="minorEastAsia"/>
          <w:b/>
          <w:bCs/>
          <w:color w:val="auto"/>
          <w:w w:val="95"/>
          <w:sz w:val="28"/>
          <w:highlight w:val="none"/>
        </w:rPr>
        <w:t>年  月  日</w:t>
      </w:r>
    </w:p>
    <w:p w14:paraId="09A0745D">
      <w:pPr>
        <w:kinsoku w:val="0"/>
        <w:overflowPunct w:val="0"/>
        <w:spacing w:after="156"/>
        <w:ind w:firstLine="482"/>
        <w:rPr>
          <w:rFonts w:hint="eastAsia" w:ascii="宋体" w:hAnsi="宋体" w:eastAsia="宋体" w:cs="宋体"/>
          <w:b/>
          <w:bCs/>
          <w:color w:val="auto"/>
          <w:highlight w:val="none"/>
        </w:rPr>
      </w:pPr>
    </w:p>
    <w:p w14:paraId="36AA917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A1F73DC">
      <w:pPr>
        <w:autoSpaceDE w:val="0"/>
        <w:autoSpaceDN w:val="0"/>
        <w:adjustRightIn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附件八-1</w:t>
      </w:r>
    </w:p>
    <w:p w14:paraId="7FCECA1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开标一览表</w:t>
      </w:r>
    </w:p>
    <w:p w14:paraId="28F3C66F">
      <w:pPr>
        <w:autoSpaceDE w:val="0"/>
        <w:autoSpaceDN w:val="0"/>
        <w:adjustRightInd w:val="0"/>
        <w:spacing w:line="440" w:lineRule="atLeas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w:t>
      </w:r>
    </w:p>
    <w:tbl>
      <w:tblPr>
        <w:tblStyle w:val="25"/>
        <w:tblW w:w="98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8"/>
        <w:gridCol w:w="5064"/>
      </w:tblGrid>
      <w:tr w14:paraId="40A3A8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4768" w:type="dxa"/>
            <w:vAlign w:val="center"/>
          </w:tcPr>
          <w:p w14:paraId="419C1590">
            <w:pPr>
              <w:pStyle w:val="15"/>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投标内容</w:t>
            </w:r>
          </w:p>
        </w:tc>
        <w:tc>
          <w:tcPr>
            <w:tcW w:w="5064" w:type="dxa"/>
            <w:vAlign w:val="center"/>
          </w:tcPr>
          <w:p w14:paraId="7432ADA9">
            <w:pPr>
              <w:pStyle w:val="15"/>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服务期限</w:t>
            </w:r>
          </w:p>
        </w:tc>
      </w:tr>
      <w:tr w14:paraId="199C3A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4768" w:type="dxa"/>
            <w:vAlign w:val="center"/>
          </w:tcPr>
          <w:p w14:paraId="3BD8CB1A">
            <w:pPr>
              <w:pStyle w:val="15"/>
              <w:spacing w:before="156" w:after="156" w:line="460" w:lineRule="atLeast"/>
              <w:jc w:val="center"/>
              <w:rPr>
                <w:rFonts w:hint="eastAsia" w:ascii="宋体" w:hAnsi="宋体" w:eastAsia="宋体" w:cs="宋体"/>
                <w:b/>
                <w:color w:val="auto"/>
                <w:sz w:val="21"/>
                <w:szCs w:val="21"/>
                <w:highlight w:val="none"/>
              </w:rPr>
            </w:pPr>
            <w:r>
              <w:rPr>
                <w:rFonts w:hint="eastAsia" w:hAnsi="宋体" w:cs="宋体"/>
                <w:color w:val="auto"/>
                <w:sz w:val="21"/>
                <w:szCs w:val="21"/>
                <w:highlight w:val="none"/>
                <w:lang w:eastAsia="zh-CN"/>
              </w:rPr>
              <w:t>温州港南岳港务有限公司、温州港益嘉港务有限公司医学媒介生物本底调查服务项目</w:t>
            </w:r>
          </w:p>
        </w:tc>
        <w:tc>
          <w:tcPr>
            <w:tcW w:w="5064" w:type="dxa"/>
            <w:vAlign w:val="center"/>
          </w:tcPr>
          <w:p w14:paraId="4FD4437D">
            <w:pPr>
              <w:pStyle w:val="15"/>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两年</w:t>
            </w:r>
          </w:p>
        </w:tc>
      </w:tr>
      <w:tr w14:paraId="1A90F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4768" w:type="dxa"/>
            <w:vAlign w:val="center"/>
          </w:tcPr>
          <w:p w14:paraId="63D7BB14">
            <w:pPr>
              <w:pStyle w:val="15"/>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r>
              <w:rPr>
                <w:rFonts w:hint="eastAsia" w:hAnsi="宋体" w:cs="宋体"/>
                <w:b/>
                <w:color w:val="auto"/>
                <w:sz w:val="21"/>
                <w:szCs w:val="21"/>
                <w:highlight w:val="none"/>
                <w:lang w:eastAsia="zh-CN"/>
              </w:rPr>
              <w:t>（</w:t>
            </w:r>
            <w:r>
              <w:rPr>
                <w:rFonts w:hint="eastAsia" w:hAnsi="宋体" w:cs="宋体"/>
                <w:b/>
                <w:color w:val="auto"/>
                <w:sz w:val="21"/>
                <w:szCs w:val="21"/>
                <w:highlight w:val="none"/>
                <w:lang w:val="en-US" w:eastAsia="zh-CN"/>
              </w:rPr>
              <w:t>本表按两年服务费进行报价</w:t>
            </w:r>
            <w:r>
              <w:rPr>
                <w:rFonts w:hint="eastAsia" w:hAnsi="宋体" w:cs="宋体"/>
                <w:b/>
                <w:color w:val="auto"/>
                <w:sz w:val="21"/>
                <w:szCs w:val="21"/>
                <w:highlight w:val="none"/>
                <w:lang w:eastAsia="zh-CN"/>
              </w:rPr>
              <w:t>）</w:t>
            </w:r>
          </w:p>
          <w:p w14:paraId="0E7E5C11">
            <w:pPr>
              <w:pStyle w:val="15"/>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（总价）</w:t>
            </w:r>
          </w:p>
        </w:tc>
        <w:tc>
          <w:tcPr>
            <w:tcW w:w="5064" w:type="dxa"/>
            <w:vAlign w:val="center"/>
          </w:tcPr>
          <w:p w14:paraId="267BA1C9">
            <w:pPr>
              <w:pStyle w:val="15"/>
              <w:spacing w:before="156" w:after="156" w:line="460" w:lineRule="atLeas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（大写）：人民币</w:t>
            </w:r>
            <w:r>
              <w:rPr>
                <w:rFonts w:hint="eastAsia" w:ascii="宋体" w:hAnsi="宋体" w:eastAsia="宋体" w:cs="宋体"/>
                <w:b/>
                <w:color w:val="auto"/>
                <w:sz w:val="21"/>
                <w:szCs w:val="21"/>
                <w:highlight w:val="none"/>
                <w:u w:val="single"/>
              </w:rPr>
              <w:t xml:space="preserve">            </w:t>
            </w:r>
          </w:p>
          <w:p w14:paraId="353FC6C4">
            <w:pPr>
              <w:pStyle w:val="15"/>
              <w:spacing w:before="156" w:after="156" w:line="460" w:lineRule="atLeas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rPr>
              <w:t xml:space="preserve">          </w:t>
            </w:r>
          </w:p>
        </w:tc>
      </w:tr>
    </w:tbl>
    <w:p w14:paraId="155D984C">
      <w:pPr>
        <w:overflowPunct w:val="0"/>
        <w:spacing w:line="460" w:lineRule="exac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说明：</w:t>
      </w:r>
      <w:r>
        <w:rPr>
          <w:rFonts w:hint="eastAsia" w:ascii="宋体" w:hAnsi="宋体" w:eastAsia="宋体" w:cs="宋体"/>
          <w:b/>
          <w:color w:val="auto"/>
          <w:sz w:val="21"/>
          <w:szCs w:val="21"/>
          <w:highlight w:val="none"/>
        </w:rPr>
        <w:t xml:space="preserve"> </w:t>
      </w:r>
    </w:p>
    <w:p w14:paraId="0E4FD842">
      <w:pPr>
        <w:pStyle w:val="5"/>
        <w:numPr>
          <w:ilvl w:val="0"/>
          <w:numId w:val="2"/>
        </w:numPr>
        <w:adjustRightInd w:val="0"/>
        <w:spacing w:before="0" w:after="0" w:line="360" w:lineRule="auto"/>
        <w:textAlignment w:val="baseline"/>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投标报价（总价）包含本项目的</w:t>
      </w:r>
      <w:r>
        <w:rPr>
          <w:rFonts w:hint="eastAsia" w:ascii="宋体" w:hAnsi="宋体" w:eastAsia="宋体" w:cs="宋体"/>
          <w:color w:val="auto"/>
          <w:sz w:val="21"/>
          <w:szCs w:val="21"/>
          <w:highlight w:val="none"/>
        </w:rPr>
        <w:t>人力成本、设备成本、管理费、资料费用、调查费用、专家考察、咨询及审查费、正式报告印刷费、交通费、保险费、税费等完成本项目的所有费用</w:t>
      </w:r>
      <w:r>
        <w:rPr>
          <w:rFonts w:hint="eastAsia" w:ascii="宋体" w:hAnsi="宋体" w:eastAsia="宋体" w:cs="宋体"/>
          <w:b w:val="0"/>
          <w:color w:val="auto"/>
          <w:sz w:val="21"/>
          <w:szCs w:val="21"/>
          <w:highlight w:val="none"/>
        </w:rPr>
        <w:t>，以及合同实施过程中的应预见和不可预见费用等完成合同规定责任和义务、达到合同目的的一切费用及企业利润。</w:t>
      </w:r>
    </w:p>
    <w:p w14:paraId="098EF6A1">
      <w:pPr>
        <w:overflowPunct w:val="0"/>
        <w:spacing w:line="460" w:lineRule="exac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、不提供开标一览表的投标文件将被视为未实质性响应招标文件。</w:t>
      </w:r>
    </w:p>
    <w:p w14:paraId="4793104E">
      <w:pPr>
        <w:spacing w:line="4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3、最高限价2</w:t>
      </w:r>
      <w:r>
        <w:rPr>
          <w:rFonts w:hint="eastAsia" w:ascii="宋体" w:hAnsi="宋体" w:eastAsia="宋体" w:cs="宋体"/>
          <w:color w:val="auto"/>
          <w:sz w:val="21"/>
          <w:szCs w:val="21"/>
          <w:highlight w:val="none"/>
        </w:rPr>
        <w:t>0万元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其中</w:t>
      </w:r>
      <w:r>
        <w:rPr>
          <w:rFonts w:hint="default" w:asciiTheme="minorEastAsia" w:hAnsiTheme="minorEastAsia" w:eastAsiaTheme="minorEastAsia" w:cstheme="minorEastAsia"/>
          <w:color w:val="auto"/>
          <w:szCs w:val="21"/>
          <w:highlight w:val="none"/>
          <w:lang w:val="en-US" w:eastAsia="zh-CN"/>
        </w:rPr>
        <w:t>温州港南岳港务有限公司</w:t>
      </w:r>
      <w:r>
        <w:rPr>
          <w:rFonts w:hint="eastAsia" w:asciiTheme="minorEastAsia" w:hAnsiTheme="minorEastAsia" w:eastAsiaTheme="minorEastAsia" w:cstheme="minorEastAsia"/>
          <w:color w:val="auto"/>
          <w:szCs w:val="21"/>
          <w:highlight w:val="none"/>
          <w:lang w:val="en-US" w:eastAsia="zh-CN"/>
        </w:rPr>
        <w:t>10万元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10万元）</w:t>
      </w:r>
      <w:r>
        <w:rPr>
          <w:rFonts w:hint="eastAsia" w:ascii="宋体" w:hAnsi="宋体" w:eastAsia="宋体" w:cs="宋体"/>
          <w:color w:val="auto"/>
          <w:sz w:val="21"/>
          <w:szCs w:val="21"/>
          <w:highlight w:val="none"/>
        </w:rPr>
        <w:t>。</w:t>
      </w:r>
      <w:r>
        <w:rPr>
          <w:rFonts w:hint="eastAsia"/>
          <w:color w:val="auto"/>
          <w:highlight w:val="none"/>
          <w:lang w:val="en-US" w:eastAsia="zh-CN"/>
        </w:rPr>
        <w:t>投标人</w:t>
      </w:r>
      <w:r>
        <w:rPr>
          <w:rFonts w:hint="eastAsia" w:asciiTheme="minorEastAsia" w:hAnsiTheme="minorEastAsia" w:eastAsiaTheme="minorEastAsia" w:cstheme="minorEastAsia"/>
          <w:color w:val="auto"/>
          <w:szCs w:val="21"/>
          <w:highlight w:val="none"/>
          <w:lang w:eastAsia="zh-CN"/>
        </w:rPr>
        <w:t>中标后</w:t>
      </w:r>
      <w:r>
        <w:rPr>
          <w:rFonts w:hint="eastAsia" w:asciiTheme="minorEastAsia" w:hAnsiTheme="minorEastAsia" w:eastAsiaTheme="minorEastAsia" w:cstheme="minorEastAsia"/>
          <w:color w:val="auto"/>
          <w:szCs w:val="21"/>
          <w:highlight w:val="none"/>
          <w:lang w:val="en-US" w:eastAsia="zh-CN"/>
        </w:rPr>
        <w:t>将与</w:t>
      </w:r>
      <w:r>
        <w:rPr>
          <w:rFonts w:hint="eastAsia" w:asciiTheme="minorEastAsia" w:hAnsiTheme="minorEastAsia" w:eastAsiaTheme="minorEastAsia" w:cstheme="minorEastAsia"/>
          <w:color w:val="auto"/>
          <w:szCs w:val="21"/>
          <w:highlight w:val="none"/>
          <w:lang w:eastAsia="zh-CN"/>
        </w:rPr>
        <w:t>温州港南岳港务有限公司、温州港益嘉港务有限公司分别签订合同，</w:t>
      </w:r>
      <w:r>
        <w:rPr>
          <w:rFonts w:hint="eastAsia" w:asciiTheme="minorEastAsia" w:hAnsiTheme="minorEastAsia" w:eastAsiaTheme="minorEastAsia" w:cstheme="minorEastAsia"/>
          <w:color w:val="auto"/>
          <w:szCs w:val="21"/>
          <w:highlight w:val="none"/>
          <w:lang w:val="en-US" w:eastAsia="zh-CN"/>
        </w:rPr>
        <w:t>合同价款均按中标价的二分之一计取</w:t>
      </w:r>
      <w:r>
        <w:rPr>
          <w:rFonts w:hint="eastAsia" w:asciiTheme="minorEastAsia" w:hAnsiTheme="minorEastAsia" w:eastAsiaTheme="minorEastAsia" w:cstheme="minorEastAsia"/>
          <w:color w:val="auto"/>
          <w:szCs w:val="21"/>
          <w:highlight w:val="none"/>
          <w:lang w:eastAsia="zh-CN"/>
        </w:rPr>
        <w:t>。</w:t>
      </w:r>
    </w:p>
    <w:p w14:paraId="7058D6E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投标人全称（盖章）：</w:t>
      </w:r>
    </w:p>
    <w:p w14:paraId="23A4543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p>
    <w:p w14:paraId="7428EC29">
      <w:pPr>
        <w:spacing w:line="3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日 期：  年  月  日</w:t>
      </w:r>
      <w:r>
        <w:rPr>
          <w:rFonts w:hint="eastAsia" w:ascii="宋体" w:hAnsi="宋体" w:eastAsia="宋体" w:cs="宋体"/>
          <w:b/>
          <w:bCs/>
          <w:color w:val="auto"/>
          <w:sz w:val="21"/>
          <w:szCs w:val="21"/>
          <w:highlight w:val="none"/>
        </w:rPr>
        <w:t xml:space="preserve"> </w:t>
      </w:r>
    </w:p>
    <w:p w14:paraId="28D6B346">
      <w:pPr>
        <w:pStyle w:val="24"/>
        <w:ind w:firstLine="442"/>
        <w:rPr>
          <w:rFonts w:hint="eastAsia" w:ascii="宋体" w:hAnsi="宋体" w:eastAsia="宋体" w:cs="宋体"/>
          <w:b/>
          <w:bCs/>
          <w:color w:val="auto"/>
          <w:sz w:val="22"/>
          <w:szCs w:val="22"/>
          <w:highlight w:val="none"/>
        </w:rPr>
      </w:pPr>
    </w:p>
    <w:p w14:paraId="23338021">
      <w:pPr>
        <w:rPr>
          <w:rFonts w:hint="eastAsia" w:ascii="宋体" w:hAnsi="宋体" w:eastAsia="宋体" w:cs="宋体"/>
          <w:b/>
          <w:bCs/>
          <w:color w:val="auto"/>
          <w:sz w:val="22"/>
          <w:szCs w:val="22"/>
          <w:highlight w:val="none"/>
        </w:rPr>
      </w:pPr>
    </w:p>
    <w:p w14:paraId="6851640E">
      <w:pPr>
        <w:pStyle w:val="24"/>
        <w:ind w:firstLine="442"/>
        <w:rPr>
          <w:rFonts w:hint="eastAsia" w:ascii="宋体" w:hAnsi="宋体" w:eastAsia="宋体" w:cs="宋体"/>
          <w:b/>
          <w:bCs/>
          <w:color w:val="auto"/>
          <w:sz w:val="22"/>
          <w:szCs w:val="22"/>
          <w:highlight w:val="none"/>
        </w:rPr>
      </w:pPr>
    </w:p>
    <w:p w14:paraId="7A4925D8">
      <w:pPr>
        <w:rPr>
          <w:rFonts w:hint="eastAsia" w:ascii="宋体" w:hAnsi="宋体" w:eastAsia="宋体" w:cs="宋体"/>
          <w:b/>
          <w:bCs/>
          <w:color w:val="auto"/>
          <w:sz w:val="22"/>
          <w:szCs w:val="22"/>
          <w:highlight w:val="none"/>
        </w:rPr>
      </w:pPr>
    </w:p>
    <w:p w14:paraId="24BB5B38">
      <w:pPr>
        <w:ind w:firstLine="442"/>
        <w:rPr>
          <w:rFonts w:hint="eastAsia" w:ascii="宋体" w:hAnsi="宋体" w:eastAsia="宋体" w:cs="宋体"/>
          <w:b/>
          <w:bCs/>
          <w:color w:val="auto"/>
          <w:sz w:val="22"/>
          <w:szCs w:val="22"/>
          <w:highlight w:val="none"/>
        </w:rPr>
      </w:pPr>
    </w:p>
    <w:p w14:paraId="39652802">
      <w:pPr>
        <w:rPr>
          <w:rFonts w:hint="eastAsia" w:ascii="宋体" w:hAnsi="宋体" w:eastAsia="宋体" w:cs="宋体"/>
          <w:b/>
          <w:bCs/>
          <w:color w:val="auto"/>
          <w:sz w:val="22"/>
          <w:szCs w:val="22"/>
          <w:highlight w:val="none"/>
        </w:rPr>
      </w:pPr>
    </w:p>
    <w:p w14:paraId="7B74D834">
      <w:pPr>
        <w:rPr>
          <w:rFonts w:hint="eastAsia" w:ascii="宋体" w:hAnsi="宋体" w:eastAsia="宋体" w:cs="宋体"/>
          <w:b/>
          <w:bCs/>
          <w:color w:val="auto"/>
          <w:sz w:val="22"/>
          <w:szCs w:val="22"/>
          <w:highlight w:val="none"/>
        </w:rPr>
      </w:pPr>
    </w:p>
    <w:p w14:paraId="67348E66">
      <w:pPr>
        <w:rPr>
          <w:rFonts w:hint="eastAsia" w:ascii="宋体" w:hAnsi="宋体" w:eastAsia="宋体" w:cs="宋体"/>
          <w:b/>
          <w:bCs/>
          <w:color w:val="auto"/>
          <w:sz w:val="22"/>
          <w:szCs w:val="22"/>
          <w:highlight w:val="none"/>
        </w:rPr>
      </w:pPr>
    </w:p>
    <w:sectPr>
      <w:footerReference r:id="rId4" w:type="default"/>
      <w:pgSz w:w="11906" w:h="16838"/>
      <w:pgMar w:top="1418" w:right="124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DDC4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3D34F">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73D34F">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FDBF">
    <w:pPr>
      <w:pStyle w:val="1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8E12F5"/>
    <w:multiLevelType w:val="singleLevel"/>
    <w:tmpl w:val="E38E12F5"/>
    <w:lvl w:ilvl="0" w:tentative="0">
      <w:start w:val="1"/>
      <w:numFmt w:val="decimal"/>
      <w:suff w:val="nothing"/>
      <w:lvlText w:val="%1、"/>
      <w:lvlJc w:val="left"/>
    </w:lvl>
  </w:abstractNum>
  <w:abstractNum w:abstractNumId="1">
    <w:nsid w:val="3C1D9027"/>
    <w:multiLevelType w:val="singleLevel"/>
    <w:tmpl w:val="3C1D9027"/>
    <w:lvl w:ilvl="0" w:tentative="0">
      <w:start w:val="1"/>
      <w:numFmt w:val="decimal"/>
      <w:pStyle w:val="6"/>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NDI1YmRiMWYyZjk3MmVjMjUzZmNkM2ZlZWJhMzUifQ=="/>
    <w:docVar w:name="KSO_WPS_MARK_KEY" w:val="79fd4c4d-c2d8-4bf3-a592-36a1de59f83b"/>
  </w:docVars>
  <w:rsids>
    <w:rsidRoot w:val="00DA64EB"/>
    <w:rsid w:val="00000DFC"/>
    <w:rsid w:val="0000128B"/>
    <w:rsid w:val="00002850"/>
    <w:rsid w:val="00003005"/>
    <w:rsid w:val="000031D1"/>
    <w:rsid w:val="00006E1D"/>
    <w:rsid w:val="000074F0"/>
    <w:rsid w:val="00011AD2"/>
    <w:rsid w:val="00012516"/>
    <w:rsid w:val="0001302F"/>
    <w:rsid w:val="000132CE"/>
    <w:rsid w:val="0001363A"/>
    <w:rsid w:val="00017303"/>
    <w:rsid w:val="000201F5"/>
    <w:rsid w:val="0002071F"/>
    <w:rsid w:val="000208F1"/>
    <w:rsid w:val="000213DC"/>
    <w:rsid w:val="00021702"/>
    <w:rsid w:val="000219CB"/>
    <w:rsid w:val="00031CCF"/>
    <w:rsid w:val="00031ED7"/>
    <w:rsid w:val="00034DE9"/>
    <w:rsid w:val="00035AC3"/>
    <w:rsid w:val="0003661E"/>
    <w:rsid w:val="00044B91"/>
    <w:rsid w:val="000459A6"/>
    <w:rsid w:val="000465F6"/>
    <w:rsid w:val="000468F2"/>
    <w:rsid w:val="00046A68"/>
    <w:rsid w:val="0004707E"/>
    <w:rsid w:val="00047718"/>
    <w:rsid w:val="00051547"/>
    <w:rsid w:val="00052C80"/>
    <w:rsid w:val="000541F9"/>
    <w:rsid w:val="00054404"/>
    <w:rsid w:val="00055E17"/>
    <w:rsid w:val="00056549"/>
    <w:rsid w:val="000621B1"/>
    <w:rsid w:val="0006221D"/>
    <w:rsid w:val="0006469D"/>
    <w:rsid w:val="00065CBC"/>
    <w:rsid w:val="00065F49"/>
    <w:rsid w:val="000666A3"/>
    <w:rsid w:val="00067060"/>
    <w:rsid w:val="000674D5"/>
    <w:rsid w:val="00067579"/>
    <w:rsid w:val="00070669"/>
    <w:rsid w:val="0007150F"/>
    <w:rsid w:val="000730C0"/>
    <w:rsid w:val="00075618"/>
    <w:rsid w:val="00075E2D"/>
    <w:rsid w:val="000807FF"/>
    <w:rsid w:val="00082A61"/>
    <w:rsid w:val="000939D5"/>
    <w:rsid w:val="0009485D"/>
    <w:rsid w:val="0009519A"/>
    <w:rsid w:val="000A00F5"/>
    <w:rsid w:val="000A05EC"/>
    <w:rsid w:val="000A150F"/>
    <w:rsid w:val="000A20A0"/>
    <w:rsid w:val="000A2880"/>
    <w:rsid w:val="000A3052"/>
    <w:rsid w:val="000A40AF"/>
    <w:rsid w:val="000A4F7B"/>
    <w:rsid w:val="000A7037"/>
    <w:rsid w:val="000B08B5"/>
    <w:rsid w:val="000B1EC6"/>
    <w:rsid w:val="000B24C8"/>
    <w:rsid w:val="000B45F9"/>
    <w:rsid w:val="000B51FC"/>
    <w:rsid w:val="000B5ED6"/>
    <w:rsid w:val="000C005F"/>
    <w:rsid w:val="000C6C14"/>
    <w:rsid w:val="000C7008"/>
    <w:rsid w:val="000C7CD3"/>
    <w:rsid w:val="000D0A2D"/>
    <w:rsid w:val="000D4FA9"/>
    <w:rsid w:val="000D59A2"/>
    <w:rsid w:val="000D6D4C"/>
    <w:rsid w:val="000D71C2"/>
    <w:rsid w:val="000D760A"/>
    <w:rsid w:val="000E13A9"/>
    <w:rsid w:val="000E1D26"/>
    <w:rsid w:val="000E24FE"/>
    <w:rsid w:val="000E30BF"/>
    <w:rsid w:val="000E3F04"/>
    <w:rsid w:val="000E5F1E"/>
    <w:rsid w:val="000E62C6"/>
    <w:rsid w:val="000E7578"/>
    <w:rsid w:val="000F1A17"/>
    <w:rsid w:val="000F203A"/>
    <w:rsid w:val="000F209B"/>
    <w:rsid w:val="000F239E"/>
    <w:rsid w:val="000F27B5"/>
    <w:rsid w:val="000F2E57"/>
    <w:rsid w:val="000F3DA0"/>
    <w:rsid w:val="000F4B48"/>
    <w:rsid w:val="000F6EED"/>
    <w:rsid w:val="00100F43"/>
    <w:rsid w:val="001042E4"/>
    <w:rsid w:val="0011206A"/>
    <w:rsid w:val="0011208B"/>
    <w:rsid w:val="00112451"/>
    <w:rsid w:val="00112D50"/>
    <w:rsid w:val="00114912"/>
    <w:rsid w:val="00116545"/>
    <w:rsid w:val="001165B1"/>
    <w:rsid w:val="00122A6D"/>
    <w:rsid w:val="00122AA2"/>
    <w:rsid w:val="00124D16"/>
    <w:rsid w:val="0012536F"/>
    <w:rsid w:val="00133CDB"/>
    <w:rsid w:val="00134775"/>
    <w:rsid w:val="00140791"/>
    <w:rsid w:val="001416D2"/>
    <w:rsid w:val="00142EA2"/>
    <w:rsid w:val="001472F9"/>
    <w:rsid w:val="00147361"/>
    <w:rsid w:val="00147878"/>
    <w:rsid w:val="00150C76"/>
    <w:rsid w:val="00151079"/>
    <w:rsid w:val="001524C4"/>
    <w:rsid w:val="0015374A"/>
    <w:rsid w:val="0015416F"/>
    <w:rsid w:val="00155821"/>
    <w:rsid w:val="00156638"/>
    <w:rsid w:val="00160466"/>
    <w:rsid w:val="00160EEC"/>
    <w:rsid w:val="00162085"/>
    <w:rsid w:val="001630C1"/>
    <w:rsid w:val="00163B2D"/>
    <w:rsid w:val="00163D1D"/>
    <w:rsid w:val="00165067"/>
    <w:rsid w:val="001662CE"/>
    <w:rsid w:val="00166359"/>
    <w:rsid w:val="00166460"/>
    <w:rsid w:val="00166966"/>
    <w:rsid w:val="00167832"/>
    <w:rsid w:val="00170053"/>
    <w:rsid w:val="00173409"/>
    <w:rsid w:val="001755AD"/>
    <w:rsid w:val="00176D01"/>
    <w:rsid w:val="001809C5"/>
    <w:rsid w:val="00181A0B"/>
    <w:rsid w:val="00186AF8"/>
    <w:rsid w:val="00191564"/>
    <w:rsid w:val="00192B69"/>
    <w:rsid w:val="00196FEC"/>
    <w:rsid w:val="00197784"/>
    <w:rsid w:val="001A11D2"/>
    <w:rsid w:val="001A437E"/>
    <w:rsid w:val="001A49A2"/>
    <w:rsid w:val="001A671F"/>
    <w:rsid w:val="001A68AD"/>
    <w:rsid w:val="001B0DFE"/>
    <w:rsid w:val="001B1E66"/>
    <w:rsid w:val="001B5701"/>
    <w:rsid w:val="001B71EA"/>
    <w:rsid w:val="001B76DB"/>
    <w:rsid w:val="001B7B93"/>
    <w:rsid w:val="001B7BA2"/>
    <w:rsid w:val="001C05A5"/>
    <w:rsid w:val="001C27AD"/>
    <w:rsid w:val="001D2647"/>
    <w:rsid w:val="001D2E82"/>
    <w:rsid w:val="001D3E8D"/>
    <w:rsid w:val="001D411A"/>
    <w:rsid w:val="001D45B9"/>
    <w:rsid w:val="001D57F0"/>
    <w:rsid w:val="001E0867"/>
    <w:rsid w:val="001E09C6"/>
    <w:rsid w:val="001E3287"/>
    <w:rsid w:val="001E5CFC"/>
    <w:rsid w:val="001F21D6"/>
    <w:rsid w:val="001F25F6"/>
    <w:rsid w:val="001F3013"/>
    <w:rsid w:val="001F3124"/>
    <w:rsid w:val="001F3D9F"/>
    <w:rsid w:val="001F458D"/>
    <w:rsid w:val="001F65AD"/>
    <w:rsid w:val="0020048A"/>
    <w:rsid w:val="00201EE0"/>
    <w:rsid w:val="002021F4"/>
    <w:rsid w:val="00203563"/>
    <w:rsid w:val="00203F36"/>
    <w:rsid w:val="00204A87"/>
    <w:rsid w:val="0020551B"/>
    <w:rsid w:val="002058D0"/>
    <w:rsid w:val="00207D2E"/>
    <w:rsid w:val="00210304"/>
    <w:rsid w:val="00210519"/>
    <w:rsid w:val="002109A5"/>
    <w:rsid w:val="00210B8F"/>
    <w:rsid w:val="0021224C"/>
    <w:rsid w:val="002176C2"/>
    <w:rsid w:val="00220F4F"/>
    <w:rsid w:val="00220FA0"/>
    <w:rsid w:val="00222F26"/>
    <w:rsid w:val="00223811"/>
    <w:rsid w:val="00224430"/>
    <w:rsid w:val="00225B35"/>
    <w:rsid w:val="00226D84"/>
    <w:rsid w:val="00226D9D"/>
    <w:rsid w:val="00231429"/>
    <w:rsid w:val="00232379"/>
    <w:rsid w:val="002349EF"/>
    <w:rsid w:val="00234A22"/>
    <w:rsid w:val="00236C92"/>
    <w:rsid w:val="00237053"/>
    <w:rsid w:val="00237784"/>
    <w:rsid w:val="00237A63"/>
    <w:rsid w:val="00241470"/>
    <w:rsid w:val="00246A2D"/>
    <w:rsid w:val="002516D5"/>
    <w:rsid w:val="0025184C"/>
    <w:rsid w:val="0025280F"/>
    <w:rsid w:val="002530F0"/>
    <w:rsid w:val="00253534"/>
    <w:rsid w:val="0025371D"/>
    <w:rsid w:val="00253D02"/>
    <w:rsid w:val="0025536A"/>
    <w:rsid w:val="00256B0A"/>
    <w:rsid w:val="002602AC"/>
    <w:rsid w:val="00261CAD"/>
    <w:rsid w:val="0026362E"/>
    <w:rsid w:val="00263752"/>
    <w:rsid w:val="00264C2F"/>
    <w:rsid w:val="002667B5"/>
    <w:rsid w:val="00267458"/>
    <w:rsid w:val="002674A4"/>
    <w:rsid w:val="0027321F"/>
    <w:rsid w:val="00273684"/>
    <w:rsid w:val="00273747"/>
    <w:rsid w:val="00273F11"/>
    <w:rsid w:val="00274C7B"/>
    <w:rsid w:val="00275894"/>
    <w:rsid w:val="0027703F"/>
    <w:rsid w:val="00280F45"/>
    <w:rsid w:val="0028129D"/>
    <w:rsid w:val="00282B7B"/>
    <w:rsid w:val="00282D76"/>
    <w:rsid w:val="00284C58"/>
    <w:rsid w:val="002910BF"/>
    <w:rsid w:val="002919C2"/>
    <w:rsid w:val="00291C95"/>
    <w:rsid w:val="002939CB"/>
    <w:rsid w:val="00295AFA"/>
    <w:rsid w:val="002A58AC"/>
    <w:rsid w:val="002A7292"/>
    <w:rsid w:val="002A7320"/>
    <w:rsid w:val="002A7A76"/>
    <w:rsid w:val="002B271F"/>
    <w:rsid w:val="002B32F5"/>
    <w:rsid w:val="002B6E19"/>
    <w:rsid w:val="002C0954"/>
    <w:rsid w:val="002C16E7"/>
    <w:rsid w:val="002C1AD6"/>
    <w:rsid w:val="002C3410"/>
    <w:rsid w:val="002C3480"/>
    <w:rsid w:val="002C3FFC"/>
    <w:rsid w:val="002C4E1E"/>
    <w:rsid w:val="002C7313"/>
    <w:rsid w:val="002D093E"/>
    <w:rsid w:val="002D0988"/>
    <w:rsid w:val="002D0E37"/>
    <w:rsid w:val="002D1418"/>
    <w:rsid w:val="002D268B"/>
    <w:rsid w:val="002D46E6"/>
    <w:rsid w:val="002D47F6"/>
    <w:rsid w:val="002D5793"/>
    <w:rsid w:val="002D6234"/>
    <w:rsid w:val="002D6371"/>
    <w:rsid w:val="002D6539"/>
    <w:rsid w:val="002D7C4B"/>
    <w:rsid w:val="002E0377"/>
    <w:rsid w:val="002E0FE2"/>
    <w:rsid w:val="002E565C"/>
    <w:rsid w:val="002E6910"/>
    <w:rsid w:val="002E6A13"/>
    <w:rsid w:val="002E7F89"/>
    <w:rsid w:val="002F2A42"/>
    <w:rsid w:val="002F2EDA"/>
    <w:rsid w:val="002F315B"/>
    <w:rsid w:val="002F4FC0"/>
    <w:rsid w:val="002F5D7D"/>
    <w:rsid w:val="00300F31"/>
    <w:rsid w:val="00300FA9"/>
    <w:rsid w:val="00302C22"/>
    <w:rsid w:val="003053B9"/>
    <w:rsid w:val="00305ABA"/>
    <w:rsid w:val="0030790C"/>
    <w:rsid w:val="0031037A"/>
    <w:rsid w:val="003135A1"/>
    <w:rsid w:val="0031373C"/>
    <w:rsid w:val="003150CB"/>
    <w:rsid w:val="00316E75"/>
    <w:rsid w:val="00321030"/>
    <w:rsid w:val="0032258E"/>
    <w:rsid w:val="003240F4"/>
    <w:rsid w:val="00325B78"/>
    <w:rsid w:val="00331B2A"/>
    <w:rsid w:val="00332B39"/>
    <w:rsid w:val="003330CE"/>
    <w:rsid w:val="003372C4"/>
    <w:rsid w:val="003375DC"/>
    <w:rsid w:val="0034294E"/>
    <w:rsid w:val="00344299"/>
    <w:rsid w:val="00344C06"/>
    <w:rsid w:val="00345F2B"/>
    <w:rsid w:val="00346452"/>
    <w:rsid w:val="00346CE0"/>
    <w:rsid w:val="00350088"/>
    <w:rsid w:val="00351B81"/>
    <w:rsid w:val="003520E4"/>
    <w:rsid w:val="00352D12"/>
    <w:rsid w:val="00353194"/>
    <w:rsid w:val="00353BC9"/>
    <w:rsid w:val="00354A70"/>
    <w:rsid w:val="00354F5F"/>
    <w:rsid w:val="00355A19"/>
    <w:rsid w:val="00355F62"/>
    <w:rsid w:val="00361501"/>
    <w:rsid w:val="00361B55"/>
    <w:rsid w:val="00363094"/>
    <w:rsid w:val="00365958"/>
    <w:rsid w:val="00366DBA"/>
    <w:rsid w:val="003721CB"/>
    <w:rsid w:val="00373631"/>
    <w:rsid w:val="00373A4E"/>
    <w:rsid w:val="0037421E"/>
    <w:rsid w:val="003748BA"/>
    <w:rsid w:val="00375929"/>
    <w:rsid w:val="00375F56"/>
    <w:rsid w:val="003805DD"/>
    <w:rsid w:val="003811EE"/>
    <w:rsid w:val="00381253"/>
    <w:rsid w:val="00382DE9"/>
    <w:rsid w:val="003830F8"/>
    <w:rsid w:val="003838C3"/>
    <w:rsid w:val="00383F9A"/>
    <w:rsid w:val="003846FC"/>
    <w:rsid w:val="00387A8D"/>
    <w:rsid w:val="00390645"/>
    <w:rsid w:val="00391D94"/>
    <w:rsid w:val="00393786"/>
    <w:rsid w:val="00393CC4"/>
    <w:rsid w:val="0039505D"/>
    <w:rsid w:val="00396094"/>
    <w:rsid w:val="00396298"/>
    <w:rsid w:val="00396DBC"/>
    <w:rsid w:val="00397FD3"/>
    <w:rsid w:val="003A06F0"/>
    <w:rsid w:val="003A2E71"/>
    <w:rsid w:val="003A37A7"/>
    <w:rsid w:val="003A4B2A"/>
    <w:rsid w:val="003A629F"/>
    <w:rsid w:val="003A6A11"/>
    <w:rsid w:val="003A7AC3"/>
    <w:rsid w:val="003A7DC2"/>
    <w:rsid w:val="003B02F1"/>
    <w:rsid w:val="003B03C9"/>
    <w:rsid w:val="003B1580"/>
    <w:rsid w:val="003B2906"/>
    <w:rsid w:val="003B304B"/>
    <w:rsid w:val="003B55D5"/>
    <w:rsid w:val="003B681C"/>
    <w:rsid w:val="003C1563"/>
    <w:rsid w:val="003C20DF"/>
    <w:rsid w:val="003C2EE3"/>
    <w:rsid w:val="003C3D0E"/>
    <w:rsid w:val="003C4934"/>
    <w:rsid w:val="003C4D81"/>
    <w:rsid w:val="003C4FF9"/>
    <w:rsid w:val="003D186B"/>
    <w:rsid w:val="003D2752"/>
    <w:rsid w:val="003D3DBB"/>
    <w:rsid w:val="003D67B8"/>
    <w:rsid w:val="003D6E48"/>
    <w:rsid w:val="003E043F"/>
    <w:rsid w:val="003E0B38"/>
    <w:rsid w:val="003E2F18"/>
    <w:rsid w:val="003E39C1"/>
    <w:rsid w:val="003E6547"/>
    <w:rsid w:val="003E700C"/>
    <w:rsid w:val="003E7B93"/>
    <w:rsid w:val="003F2216"/>
    <w:rsid w:val="003F3EB8"/>
    <w:rsid w:val="003F606C"/>
    <w:rsid w:val="003F7E2B"/>
    <w:rsid w:val="00400965"/>
    <w:rsid w:val="0040295B"/>
    <w:rsid w:val="00403121"/>
    <w:rsid w:val="0040461A"/>
    <w:rsid w:val="00406609"/>
    <w:rsid w:val="004079CE"/>
    <w:rsid w:val="00410426"/>
    <w:rsid w:val="00410AAD"/>
    <w:rsid w:val="00410C36"/>
    <w:rsid w:val="0041453E"/>
    <w:rsid w:val="00414DB4"/>
    <w:rsid w:val="004161B5"/>
    <w:rsid w:val="004167AD"/>
    <w:rsid w:val="00416E31"/>
    <w:rsid w:val="0042103E"/>
    <w:rsid w:val="00421089"/>
    <w:rsid w:val="00426088"/>
    <w:rsid w:val="004261A6"/>
    <w:rsid w:val="004272A0"/>
    <w:rsid w:val="00430104"/>
    <w:rsid w:val="00430295"/>
    <w:rsid w:val="004308DC"/>
    <w:rsid w:val="00430E9F"/>
    <w:rsid w:val="00431758"/>
    <w:rsid w:val="004326EF"/>
    <w:rsid w:val="0043577E"/>
    <w:rsid w:val="004414C1"/>
    <w:rsid w:val="00443A43"/>
    <w:rsid w:val="00444136"/>
    <w:rsid w:val="004452EF"/>
    <w:rsid w:val="0044782D"/>
    <w:rsid w:val="00447D50"/>
    <w:rsid w:val="00452B85"/>
    <w:rsid w:val="00452D8B"/>
    <w:rsid w:val="0045541B"/>
    <w:rsid w:val="00455D9C"/>
    <w:rsid w:val="00455DB0"/>
    <w:rsid w:val="0046201B"/>
    <w:rsid w:val="00462538"/>
    <w:rsid w:val="00462BBB"/>
    <w:rsid w:val="00464ABC"/>
    <w:rsid w:val="00465F14"/>
    <w:rsid w:val="00467B77"/>
    <w:rsid w:val="00467E9C"/>
    <w:rsid w:val="004706FE"/>
    <w:rsid w:val="004714BA"/>
    <w:rsid w:val="00475DEF"/>
    <w:rsid w:val="004763DD"/>
    <w:rsid w:val="00480241"/>
    <w:rsid w:val="00481642"/>
    <w:rsid w:val="00481A8F"/>
    <w:rsid w:val="0048252E"/>
    <w:rsid w:val="004827D4"/>
    <w:rsid w:val="004840E1"/>
    <w:rsid w:val="00484EB6"/>
    <w:rsid w:val="00486A35"/>
    <w:rsid w:val="00486CA6"/>
    <w:rsid w:val="00487534"/>
    <w:rsid w:val="00490F02"/>
    <w:rsid w:val="0049160B"/>
    <w:rsid w:val="00491CF0"/>
    <w:rsid w:val="00495F01"/>
    <w:rsid w:val="004A1D6B"/>
    <w:rsid w:val="004A2970"/>
    <w:rsid w:val="004A41FA"/>
    <w:rsid w:val="004A5843"/>
    <w:rsid w:val="004A727F"/>
    <w:rsid w:val="004A7C69"/>
    <w:rsid w:val="004B15C3"/>
    <w:rsid w:val="004B3E17"/>
    <w:rsid w:val="004B5BA8"/>
    <w:rsid w:val="004B64B0"/>
    <w:rsid w:val="004B6D45"/>
    <w:rsid w:val="004B79F0"/>
    <w:rsid w:val="004B7ABB"/>
    <w:rsid w:val="004C36FC"/>
    <w:rsid w:val="004C3BD9"/>
    <w:rsid w:val="004C445A"/>
    <w:rsid w:val="004C452D"/>
    <w:rsid w:val="004C541A"/>
    <w:rsid w:val="004C5AF4"/>
    <w:rsid w:val="004D0895"/>
    <w:rsid w:val="004D109A"/>
    <w:rsid w:val="004D1924"/>
    <w:rsid w:val="004D2004"/>
    <w:rsid w:val="004D2EAA"/>
    <w:rsid w:val="004D3AAD"/>
    <w:rsid w:val="004D4D7A"/>
    <w:rsid w:val="004D5082"/>
    <w:rsid w:val="004E07E1"/>
    <w:rsid w:val="004E089E"/>
    <w:rsid w:val="004E2F4F"/>
    <w:rsid w:val="004E38D1"/>
    <w:rsid w:val="004E412B"/>
    <w:rsid w:val="004E56C2"/>
    <w:rsid w:val="004E5B95"/>
    <w:rsid w:val="004E62E4"/>
    <w:rsid w:val="004F1002"/>
    <w:rsid w:val="004F1F19"/>
    <w:rsid w:val="004F378A"/>
    <w:rsid w:val="004F4E95"/>
    <w:rsid w:val="004F7E50"/>
    <w:rsid w:val="004F7E91"/>
    <w:rsid w:val="00500659"/>
    <w:rsid w:val="00500AE5"/>
    <w:rsid w:val="005010CC"/>
    <w:rsid w:val="0050121F"/>
    <w:rsid w:val="005015FB"/>
    <w:rsid w:val="0050358F"/>
    <w:rsid w:val="00503AF5"/>
    <w:rsid w:val="00503CBC"/>
    <w:rsid w:val="005101F7"/>
    <w:rsid w:val="00510256"/>
    <w:rsid w:val="00513459"/>
    <w:rsid w:val="005170BE"/>
    <w:rsid w:val="005230FF"/>
    <w:rsid w:val="00524D8D"/>
    <w:rsid w:val="0052501B"/>
    <w:rsid w:val="00525788"/>
    <w:rsid w:val="00526B77"/>
    <w:rsid w:val="00526FDD"/>
    <w:rsid w:val="00535347"/>
    <w:rsid w:val="00535F67"/>
    <w:rsid w:val="005379E9"/>
    <w:rsid w:val="00541731"/>
    <w:rsid w:val="00541EAF"/>
    <w:rsid w:val="00543288"/>
    <w:rsid w:val="00551F95"/>
    <w:rsid w:val="00553A8A"/>
    <w:rsid w:val="00555692"/>
    <w:rsid w:val="0055574E"/>
    <w:rsid w:val="00555E6C"/>
    <w:rsid w:val="00561131"/>
    <w:rsid w:val="00564378"/>
    <w:rsid w:val="00565FBE"/>
    <w:rsid w:val="0056744B"/>
    <w:rsid w:val="0057045C"/>
    <w:rsid w:val="0057456B"/>
    <w:rsid w:val="005753C6"/>
    <w:rsid w:val="00576035"/>
    <w:rsid w:val="00577455"/>
    <w:rsid w:val="00577DC7"/>
    <w:rsid w:val="00581F45"/>
    <w:rsid w:val="005842B4"/>
    <w:rsid w:val="00586246"/>
    <w:rsid w:val="005866EB"/>
    <w:rsid w:val="00587D49"/>
    <w:rsid w:val="00587D7B"/>
    <w:rsid w:val="00590990"/>
    <w:rsid w:val="00591780"/>
    <w:rsid w:val="00592ABF"/>
    <w:rsid w:val="00593F1A"/>
    <w:rsid w:val="00594CAC"/>
    <w:rsid w:val="0059551A"/>
    <w:rsid w:val="005955A4"/>
    <w:rsid w:val="00595AD3"/>
    <w:rsid w:val="005A1650"/>
    <w:rsid w:val="005A174F"/>
    <w:rsid w:val="005A3694"/>
    <w:rsid w:val="005A4BF4"/>
    <w:rsid w:val="005A526E"/>
    <w:rsid w:val="005A5468"/>
    <w:rsid w:val="005A5872"/>
    <w:rsid w:val="005B0090"/>
    <w:rsid w:val="005B0909"/>
    <w:rsid w:val="005B0F93"/>
    <w:rsid w:val="005B16F7"/>
    <w:rsid w:val="005B1B90"/>
    <w:rsid w:val="005B2B2D"/>
    <w:rsid w:val="005B4371"/>
    <w:rsid w:val="005B6418"/>
    <w:rsid w:val="005B727E"/>
    <w:rsid w:val="005C02BF"/>
    <w:rsid w:val="005C1123"/>
    <w:rsid w:val="005C2DDB"/>
    <w:rsid w:val="005C2F5D"/>
    <w:rsid w:val="005C317A"/>
    <w:rsid w:val="005C50B3"/>
    <w:rsid w:val="005C758D"/>
    <w:rsid w:val="005C774D"/>
    <w:rsid w:val="005D03E7"/>
    <w:rsid w:val="005D07AD"/>
    <w:rsid w:val="005D0FF8"/>
    <w:rsid w:val="005D3279"/>
    <w:rsid w:val="005D559C"/>
    <w:rsid w:val="005D5D52"/>
    <w:rsid w:val="005D5FAF"/>
    <w:rsid w:val="005D6FC0"/>
    <w:rsid w:val="005D782E"/>
    <w:rsid w:val="005D79B2"/>
    <w:rsid w:val="005E1997"/>
    <w:rsid w:val="005E3CF4"/>
    <w:rsid w:val="005E7DE1"/>
    <w:rsid w:val="005F0970"/>
    <w:rsid w:val="005F0C51"/>
    <w:rsid w:val="005F0CDB"/>
    <w:rsid w:val="005F2CEA"/>
    <w:rsid w:val="005F5A8C"/>
    <w:rsid w:val="005F5D37"/>
    <w:rsid w:val="005F6CCF"/>
    <w:rsid w:val="006002F3"/>
    <w:rsid w:val="006021CD"/>
    <w:rsid w:val="00603D24"/>
    <w:rsid w:val="0060446D"/>
    <w:rsid w:val="006054F6"/>
    <w:rsid w:val="00605623"/>
    <w:rsid w:val="00611678"/>
    <w:rsid w:val="00611D25"/>
    <w:rsid w:val="00612BB6"/>
    <w:rsid w:val="00612EB4"/>
    <w:rsid w:val="006134C6"/>
    <w:rsid w:val="006157FB"/>
    <w:rsid w:val="00615E7C"/>
    <w:rsid w:val="00616090"/>
    <w:rsid w:val="00616F17"/>
    <w:rsid w:val="00620481"/>
    <w:rsid w:val="00621031"/>
    <w:rsid w:val="00621421"/>
    <w:rsid w:val="00621862"/>
    <w:rsid w:val="0062195C"/>
    <w:rsid w:val="00622A42"/>
    <w:rsid w:val="00624303"/>
    <w:rsid w:val="006249B5"/>
    <w:rsid w:val="00626EB5"/>
    <w:rsid w:val="00631DD8"/>
    <w:rsid w:val="006334F1"/>
    <w:rsid w:val="00633E43"/>
    <w:rsid w:val="00634DD1"/>
    <w:rsid w:val="006353FA"/>
    <w:rsid w:val="006359FF"/>
    <w:rsid w:val="006404D8"/>
    <w:rsid w:val="006409F0"/>
    <w:rsid w:val="00640ECA"/>
    <w:rsid w:val="00642227"/>
    <w:rsid w:val="006435E8"/>
    <w:rsid w:val="006442A8"/>
    <w:rsid w:val="00644BA7"/>
    <w:rsid w:val="006465AE"/>
    <w:rsid w:val="00646C43"/>
    <w:rsid w:val="006501D0"/>
    <w:rsid w:val="00651D97"/>
    <w:rsid w:val="006522E0"/>
    <w:rsid w:val="006523CA"/>
    <w:rsid w:val="006523EB"/>
    <w:rsid w:val="00652F3C"/>
    <w:rsid w:val="00656D18"/>
    <w:rsid w:val="00657AB4"/>
    <w:rsid w:val="00657C0D"/>
    <w:rsid w:val="00660588"/>
    <w:rsid w:val="006611C2"/>
    <w:rsid w:val="0066160D"/>
    <w:rsid w:val="00661E8B"/>
    <w:rsid w:val="00662461"/>
    <w:rsid w:val="006656A9"/>
    <w:rsid w:val="00666386"/>
    <w:rsid w:val="00667FE5"/>
    <w:rsid w:val="00670137"/>
    <w:rsid w:val="006715F3"/>
    <w:rsid w:val="00671A73"/>
    <w:rsid w:val="00672E05"/>
    <w:rsid w:val="00673733"/>
    <w:rsid w:val="00674E12"/>
    <w:rsid w:val="00675F2F"/>
    <w:rsid w:val="00677C05"/>
    <w:rsid w:val="006805BF"/>
    <w:rsid w:val="00680BD9"/>
    <w:rsid w:val="00683905"/>
    <w:rsid w:val="00683D47"/>
    <w:rsid w:val="00684C54"/>
    <w:rsid w:val="00686014"/>
    <w:rsid w:val="006867A0"/>
    <w:rsid w:val="00694AB3"/>
    <w:rsid w:val="006961CB"/>
    <w:rsid w:val="006A0F8B"/>
    <w:rsid w:val="006A16D0"/>
    <w:rsid w:val="006A2136"/>
    <w:rsid w:val="006A2670"/>
    <w:rsid w:val="006A2F8B"/>
    <w:rsid w:val="006A4537"/>
    <w:rsid w:val="006A4B2D"/>
    <w:rsid w:val="006A62E1"/>
    <w:rsid w:val="006A6892"/>
    <w:rsid w:val="006A6D24"/>
    <w:rsid w:val="006B48E0"/>
    <w:rsid w:val="006B5001"/>
    <w:rsid w:val="006B5931"/>
    <w:rsid w:val="006B76AE"/>
    <w:rsid w:val="006C02F2"/>
    <w:rsid w:val="006C30D5"/>
    <w:rsid w:val="006C4C45"/>
    <w:rsid w:val="006C4E24"/>
    <w:rsid w:val="006C529D"/>
    <w:rsid w:val="006C52DB"/>
    <w:rsid w:val="006C59BC"/>
    <w:rsid w:val="006C67C3"/>
    <w:rsid w:val="006C6D01"/>
    <w:rsid w:val="006D0CEC"/>
    <w:rsid w:val="006D1DE2"/>
    <w:rsid w:val="006D2497"/>
    <w:rsid w:val="006D32A3"/>
    <w:rsid w:val="006D40A5"/>
    <w:rsid w:val="006D504D"/>
    <w:rsid w:val="006D78F8"/>
    <w:rsid w:val="006E14BC"/>
    <w:rsid w:val="006E1A4F"/>
    <w:rsid w:val="006E1C03"/>
    <w:rsid w:val="006E3E8D"/>
    <w:rsid w:val="006E50CC"/>
    <w:rsid w:val="006E6277"/>
    <w:rsid w:val="006E7C2D"/>
    <w:rsid w:val="006F1C93"/>
    <w:rsid w:val="006F2252"/>
    <w:rsid w:val="006F2389"/>
    <w:rsid w:val="006F3445"/>
    <w:rsid w:val="006F346B"/>
    <w:rsid w:val="006F3CA7"/>
    <w:rsid w:val="006F4BCD"/>
    <w:rsid w:val="006F5179"/>
    <w:rsid w:val="006F5872"/>
    <w:rsid w:val="007004AE"/>
    <w:rsid w:val="00700D8A"/>
    <w:rsid w:val="00703780"/>
    <w:rsid w:val="007052E6"/>
    <w:rsid w:val="00707F07"/>
    <w:rsid w:val="00717484"/>
    <w:rsid w:val="00722D29"/>
    <w:rsid w:val="00723D55"/>
    <w:rsid w:val="00723EB9"/>
    <w:rsid w:val="0072591D"/>
    <w:rsid w:val="00726811"/>
    <w:rsid w:val="00727441"/>
    <w:rsid w:val="00730FF2"/>
    <w:rsid w:val="00731488"/>
    <w:rsid w:val="0073386A"/>
    <w:rsid w:val="00734F78"/>
    <w:rsid w:val="00735B8D"/>
    <w:rsid w:val="00741442"/>
    <w:rsid w:val="007414F2"/>
    <w:rsid w:val="00742367"/>
    <w:rsid w:val="007443F6"/>
    <w:rsid w:val="00746EAB"/>
    <w:rsid w:val="00747176"/>
    <w:rsid w:val="007547D7"/>
    <w:rsid w:val="00754FEC"/>
    <w:rsid w:val="00755665"/>
    <w:rsid w:val="007569A1"/>
    <w:rsid w:val="0076000F"/>
    <w:rsid w:val="00762933"/>
    <w:rsid w:val="007629A3"/>
    <w:rsid w:val="00767325"/>
    <w:rsid w:val="00772A09"/>
    <w:rsid w:val="00780C2E"/>
    <w:rsid w:val="00781A5E"/>
    <w:rsid w:val="00781E41"/>
    <w:rsid w:val="0078278A"/>
    <w:rsid w:val="007835FD"/>
    <w:rsid w:val="0078361B"/>
    <w:rsid w:val="00785096"/>
    <w:rsid w:val="00790D24"/>
    <w:rsid w:val="00791EDA"/>
    <w:rsid w:val="007922A1"/>
    <w:rsid w:val="007925A0"/>
    <w:rsid w:val="00793451"/>
    <w:rsid w:val="007943C4"/>
    <w:rsid w:val="007945BC"/>
    <w:rsid w:val="007954C3"/>
    <w:rsid w:val="00795573"/>
    <w:rsid w:val="007959B4"/>
    <w:rsid w:val="00795EEC"/>
    <w:rsid w:val="00796EF1"/>
    <w:rsid w:val="00797D5D"/>
    <w:rsid w:val="007A02DA"/>
    <w:rsid w:val="007A07E6"/>
    <w:rsid w:val="007A6170"/>
    <w:rsid w:val="007A6B35"/>
    <w:rsid w:val="007B0399"/>
    <w:rsid w:val="007B05ED"/>
    <w:rsid w:val="007B21AF"/>
    <w:rsid w:val="007B3774"/>
    <w:rsid w:val="007B3EA2"/>
    <w:rsid w:val="007B4AD7"/>
    <w:rsid w:val="007B67CF"/>
    <w:rsid w:val="007C21E1"/>
    <w:rsid w:val="007C6A96"/>
    <w:rsid w:val="007C6B3C"/>
    <w:rsid w:val="007D01A5"/>
    <w:rsid w:val="007D2445"/>
    <w:rsid w:val="007D4FC4"/>
    <w:rsid w:val="007D5929"/>
    <w:rsid w:val="007D674B"/>
    <w:rsid w:val="007E0C8B"/>
    <w:rsid w:val="007E1FE6"/>
    <w:rsid w:val="007E2A78"/>
    <w:rsid w:val="007E47ED"/>
    <w:rsid w:val="007E65FE"/>
    <w:rsid w:val="007F19A7"/>
    <w:rsid w:val="007F32DD"/>
    <w:rsid w:val="007F3A8C"/>
    <w:rsid w:val="007F4751"/>
    <w:rsid w:val="007F4E9D"/>
    <w:rsid w:val="007F5CFD"/>
    <w:rsid w:val="007F63B7"/>
    <w:rsid w:val="007F660B"/>
    <w:rsid w:val="007F67BE"/>
    <w:rsid w:val="007F7587"/>
    <w:rsid w:val="0080035A"/>
    <w:rsid w:val="008015B2"/>
    <w:rsid w:val="008124D4"/>
    <w:rsid w:val="008125ED"/>
    <w:rsid w:val="008132BF"/>
    <w:rsid w:val="008140FA"/>
    <w:rsid w:val="00814FD4"/>
    <w:rsid w:val="008219D0"/>
    <w:rsid w:val="00821B34"/>
    <w:rsid w:val="00822CD6"/>
    <w:rsid w:val="0082316E"/>
    <w:rsid w:val="00823C12"/>
    <w:rsid w:val="00823EB8"/>
    <w:rsid w:val="00824C65"/>
    <w:rsid w:val="00825EE6"/>
    <w:rsid w:val="008268FA"/>
    <w:rsid w:val="008277AB"/>
    <w:rsid w:val="008315AB"/>
    <w:rsid w:val="00834BCF"/>
    <w:rsid w:val="00837E35"/>
    <w:rsid w:val="00842094"/>
    <w:rsid w:val="00842FBE"/>
    <w:rsid w:val="00843B05"/>
    <w:rsid w:val="00845257"/>
    <w:rsid w:val="008459B5"/>
    <w:rsid w:val="00846710"/>
    <w:rsid w:val="00847E4E"/>
    <w:rsid w:val="0085074E"/>
    <w:rsid w:val="0085079C"/>
    <w:rsid w:val="008529F0"/>
    <w:rsid w:val="008540C1"/>
    <w:rsid w:val="00854B35"/>
    <w:rsid w:val="0085596C"/>
    <w:rsid w:val="008562A5"/>
    <w:rsid w:val="008575C0"/>
    <w:rsid w:val="0086076E"/>
    <w:rsid w:val="00860A10"/>
    <w:rsid w:val="008630CF"/>
    <w:rsid w:val="0086374F"/>
    <w:rsid w:val="00866087"/>
    <w:rsid w:val="0086739B"/>
    <w:rsid w:val="00867924"/>
    <w:rsid w:val="00867AA5"/>
    <w:rsid w:val="00867B0C"/>
    <w:rsid w:val="0087140C"/>
    <w:rsid w:val="00872F5C"/>
    <w:rsid w:val="0087471C"/>
    <w:rsid w:val="00875271"/>
    <w:rsid w:val="00876440"/>
    <w:rsid w:val="008765C7"/>
    <w:rsid w:val="0087684D"/>
    <w:rsid w:val="008775B8"/>
    <w:rsid w:val="00883C59"/>
    <w:rsid w:val="00885AEB"/>
    <w:rsid w:val="00887D5B"/>
    <w:rsid w:val="0089095C"/>
    <w:rsid w:val="008925AE"/>
    <w:rsid w:val="008938AE"/>
    <w:rsid w:val="008941D0"/>
    <w:rsid w:val="0089542E"/>
    <w:rsid w:val="00895722"/>
    <w:rsid w:val="00897C6C"/>
    <w:rsid w:val="008A0618"/>
    <w:rsid w:val="008A1B13"/>
    <w:rsid w:val="008A2C4D"/>
    <w:rsid w:val="008A3177"/>
    <w:rsid w:val="008A5583"/>
    <w:rsid w:val="008A5D00"/>
    <w:rsid w:val="008A623F"/>
    <w:rsid w:val="008B307A"/>
    <w:rsid w:val="008B382E"/>
    <w:rsid w:val="008B3C9B"/>
    <w:rsid w:val="008B6237"/>
    <w:rsid w:val="008B6792"/>
    <w:rsid w:val="008C0D23"/>
    <w:rsid w:val="008C11D7"/>
    <w:rsid w:val="008C1341"/>
    <w:rsid w:val="008C16AC"/>
    <w:rsid w:val="008C775B"/>
    <w:rsid w:val="008D0326"/>
    <w:rsid w:val="008D0B0E"/>
    <w:rsid w:val="008D38D3"/>
    <w:rsid w:val="008D4BFA"/>
    <w:rsid w:val="008D4C7D"/>
    <w:rsid w:val="008D5C94"/>
    <w:rsid w:val="008D6974"/>
    <w:rsid w:val="008D6C32"/>
    <w:rsid w:val="008E01C8"/>
    <w:rsid w:val="008E28C3"/>
    <w:rsid w:val="008E5222"/>
    <w:rsid w:val="008E5BD5"/>
    <w:rsid w:val="008E62FA"/>
    <w:rsid w:val="008E6B02"/>
    <w:rsid w:val="008F097F"/>
    <w:rsid w:val="008F177C"/>
    <w:rsid w:val="008F28A7"/>
    <w:rsid w:val="008F72D7"/>
    <w:rsid w:val="00900833"/>
    <w:rsid w:val="00900D21"/>
    <w:rsid w:val="00901AA6"/>
    <w:rsid w:val="00901FCB"/>
    <w:rsid w:val="00903761"/>
    <w:rsid w:val="00903D49"/>
    <w:rsid w:val="009069CB"/>
    <w:rsid w:val="009105D4"/>
    <w:rsid w:val="00911CFA"/>
    <w:rsid w:val="00912DB3"/>
    <w:rsid w:val="00914C8E"/>
    <w:rsid w:val="00914F68"/>
    <w:rsid w:val="0091542E"/>
    <w:rsid w:val="00915516"/>
    <w:rsid w:val="00915B72"/>
    <w:rsid w:val="00917095"/>
    <w:rsid w:val="009208E4"/>
    <w:rsid w:val="00922017"/>
    <w:rsid w:val="009222B4"/>
    <w:rsid w:val="009250DA"/>
    <w:rsid w:val="00925D31"/>
    <w:rsid w:val="009302AD"/>
    <w:rsid w:val="00930703"/>
    <w:rsid w:val="0093074D"/>
    <w:rsid w:val="00931F5A"/>
    <w:rsid w:val="00932E4A"/>
    <w:rsid w:val="00933A0A"/>
    <w:rsid w:val="00934790"/>
    <w:rsid w:val="00936745"/>
    <w:rsid w:val="00937240"/>
    <w:rsid w:val="009418DB"/>
    <w:rsid w:val="009424BB"/>
    <w:rsid w:val="00942A51"/>
    <w:rsid w:val="00943980"/>
    <w:rsid w:val="00944F17"/>
    <w:rsid w:val="00946C91"/>
    <w:rsid w:val="00952580"/>
    <w:rsid w:val="00954ADD"/>
    <w:rsid w:val="0096057B"/>
    <w:rsid w:val="00963160"/>
    <w:rsid w:val="00966B2B"/>
    <w:rsid w:val="00972EA5"/>
    <w:rsid w:val="009750FB"/>
    <w:rsid w:val="00975293"/>
    <w:rsid w:val="0097541D"/>
    <w:rsid w:val="009756C1"/>
    <w:rsid w:val="00977238"/>
    <w:rsid w:val="00977B9B"/>
    <w:rsid w:val="009813A4"/>
    <w:rsid w:val="00982914"/>
    <w:rsid w:val="00984F05"/>
    <w:rsid w:val="00985EC9"/>
    <w:rsid w:val="009920DD"/>
    <w:rsid w:val="0099215C"/>
    <w:rsid w:val="009941FD"/>
    <w:rsid w:val="009957C4"/>
    <w:rsid w:val="009968D9"/>
    <w:rsid w:val="009A2043"/>
    <w:rsid w:val="009A2521"/>
    <w:rsid w:val="009A3226"/>
    <w:rsid w:val="009A384E"/>
    <w:rsid w:val="009A75C2"/>
    <w:rsid w:val="009A7786"/>
    <w:rsid w:val="009B3F1B"/>
    <w:rsid w:val="009C16BB"/>
    <w:rsid w:val="009C2218"/>
    <w:rsid w:val="009C2611"/>
    <w:rsid w:val="009C2EF3"/>
    <w:rsid w:val="009C37C8"/>
    <w:rsid w:val="009C4F96"/>
    <w:rsid w:val="009C54DF"/>
    <w:rsid w:val="009C5600"/>
    <w:rsid w:val="009C5A47"/>
    <w:rsid w:val="009C6495"/>
    <w:rsid w:val="009C677E"/>
    <w:rsid w:val="009C7D54"/>
    <w:rsid w:val="009E327F"/>
    <w:rsid w:val="009E3D60"/>
    <w:rsid w:val="009E549D"/>
    <w:rsid w:val="009E722C"/>
    <w:rsid w:val="009E7F68"/>
    <w:rsid w:val="009F0712"/>
    <w:rsid w:val="009F1AC6"/>
    <w:rsid w:val="009F2BFA"/>
    <w:rsid w:val="009F3041"/>
    <w:rsid w:val="009F3D36"/>
    <w:rsid w:val="009F47E7"/>
    <w:rsid w:val="009F5444"/>
    <w:rsid w:val="009F6DB3"/>
    <w:rsid w:val="009F7C57"/>
    <w:rsid w:val="009F7E47"/>
    <w:rsid w:val="00A01775"/>
    <w:rsid w:val="00A02E82"/>
    <w:rsid w:val="00A05A58"/>
    <w:rsid w:val="00A06B7A"/>
    <w:rsid w:val="00A06DB3"/>
    <w:rsid w:val="00A10A64"/>
    <w:rsid w:val="00A10BFC"/>
    <w:rsid w:val="00A1296C"/>
    <w:rsid w:val="00A17749"/>
    <w:rsid w:val="00A17EC6"/>
    <w:rsid w:val="00A2173E"/>
    <w:rsid w:val="00A25C06"/>
    <w:rsid w:val="00A26DBF"/>
    <w:rsid w:val="00A2717D"/>
    <w:rsid w:val="00A2791F"/>
    <w:rsid w:val="00A30A44"/>
    <w:rsid w:val="00A31694"/>
    <w:rsid w:val="00A339B3"/>
    <w:rsid w:val="00A34C1A"/>
    <w:rsid w:val="00A359E0"/>
    <w:rsid w:val="00A35C48"/>
    <w:rsid w:val="00A365A3"/>
    <w:rsid w:val="00A36DD0"/>
    <w:rsid w:val="00A36E9F"/>
    <w:rsid w:val="00A376F8"/>
    <w:rsid w:val="00A37B76"/>
    <w:rsid w:val="00A37F2C"/>
    <w:rsid w:val="00A41611"/>
    <w:rsid w:val="00A41E78"/>
    <w:rsid w:val="00A42579"/>
    <w:rsid w:val="00A44F7C"/>
    <w:rsid w:val="00A45217"/>
    <w:rsid w:val="00A512B7"/>
    <w:rsid w:val="00A51EF1"/>
    <w:rsid w:val="00A52503"/>
    <w:rsid w:val="00A52850"/>
    <w:rsid w:val="00A556C1"/>
    <w:rsid w:val="00A56920"/>
    <w:rsid w:val="00A56923"/>
    <w:rsid w:val="00A56DC3"/>
    <w:rsid w:val="00A65003"/>
    <w:rsid w:val="00A70646"/>
    <w:rsid w:val="00A71050"/>
    <w:rsid w:val="00A74F29"/>
    <w:rsid w:val="00A76231"/>
    <w:rsid w:val="00A807C9"/>
    <w:rsid w:val="00A82406"/>
    <w:rsid w:val="00A839AF"/>
    <w:rsid w:val="00A84C1C"/>
    <w:rsid w:val="00A84FB2"/>
    <w:rsid w:val="00A8604F"/>
    <w:rsid w:val="00A90AEF"/>
    <w:rsid w:val="00A90B26"/>
    <w:rsid w:val="00A93FEB"/>
    <w:rsid w:val="00A960E2"/>
    <w:rsid w:val="00A97EA5"/>
    <w:rsid w:val="00AA09D0"/>
    <w:rsid w:val="00AA16B5"/>
    <w:rsid w:val="00AA3087"/>
    <w:rsid w:val="00AA3A12"/>
    <w:rsid w:val="00AA5EB0"/>
    <w:rsid w:val="00AA614A"/>
    <w:rsid w:val="00AA629C"/>
    <w:rsid w:val="00AB0651"/>
    <w:rsid w:val="00AB09AE"/>
    <w:rsid w:val="00AB0F42"/>
    <w:rsid w:val="00AB23FF"/>
    <w:rsid w:val="00AB2918"/>
    <w:rsid w:val="00AB419F"/>
    <w:rsid w:val="00AB5057"/>
    <w:rsid w:val="00AB5808"/>
    <w:rsid w:val="00AB5E52"/>
    <w:rsid w:val="00AB71C6"/>
    <w:rsid w:val="00AC36FC"/>
    <w:rsid w:val="00AD0105"/>
    <w:rsid w:val="00AD02A3"/>
    <w:rsid w:val="00AD1BF3"/>
    <w:rsid w:val="00AD25A1"/>
    <w:rsid w:val="00AD43C5"/>
    <w:rsid w:val="00AD5253"/>
    <w:rsid w:val="00AE1C85"/>
    <w:rsid w:val="00AE3649"/>
    <w:rsid w:val="00AE4CC6"/>
    <w:rsid w:val="00AE7E04"/>
    <w:rsid w:val="00AF0203"/>
    <w:rsid w:val="00AF5388"/>
    <w:rsid w:val="00AF5D7E"/>
    <w:rsid w:val="00AF742B"/>
    <w:rsid w:val="00AF7767"/>
    <w:rsid w:val="00B0140B"/>
    <w:rsid w:val="00B01755"/>
    <w:rsid w:val="00B01FA2"/>
    <w:rsid w:val="00B02557"/>
    <w:rsid w:val="00B06706"/>
    <w:rsid w:val="00B074BE"/>
    <w:rsid w:val="00B07BA6"/>
    <w:rsid w:val="00B10602"/>
    <w:rsid w:val="00B11F8B"/>
    <w:rsid w:val="00B123D1"/>
    <w:rsid w:val="00B125F4"/>
    <w:rsid w:val="00B135BC"/>
    <w:rsid w:val="00B14F39"/>
    <w:rsid w:val="00B1566A"/>
    <w:rsid w:val="00B15781"/>
    <w:rsid w:val="00B2089E"/>
    <w:rsid w:val="00B20C95"/>
    <w:rsid w:val="00B2200F"/>
    <w:rsid w:val="00B227B3"/>
    <w:rsid w:val="00B24977"/>
    <w:rsid w:val="00B24E54"/>
    <w:rsid w:val="00B2560B"/>
    <w:rsid w:val="00B268DB"/>
    <w:rsid w:val="00B3006F"/>
    <w:rsid w:val="00B310DD"/>
    <w:rsid w:val="00B339C9"/>
    <w:rsid w:val="00B352F7"/>
    <w:rsid w:val="00B354FB"/>
    <w:rsid w:val="00B439F6"/>
    <w:rsid w:val="00B46F3E"/>
    <w:rsid w:val="00B47CD7"/>
    <w:rsid w:val="00B50620"/>
    <w:rsid w:val="00B5182A"/>
    <w:rsid w:val="00B52034"/>
    <w:rsid w:val="00B5472F"/>
    <w:rsid w:val="00B62ADE"/>
    <w:rsid w:val="00B672A0"/>
    <w:rsid w:val="00B70D4E"/>
    <w:rsid w:val="00B714C9"/>
    <w:rsid w:val="00B736EF"/>
    <w:rsid w:val="00B73FF0"/>
    <w:rsid w:val="00B75774"/>
    <w:rsid w:val="00B75AB9"/>
    <w:rsid w:val="00B76AC8"/>
    <w:rsid w:val="00B82563"/>
    <w:rsid w:val="00B83714"/>
    <w:rsid w:val="00B8425A"/>
    <w:rsid w:val="00B849E6"/>
    <w:rsid w:val="00B86779"/>
    <w:rsid w:val="00B87E66"/>
    <w:rsid w:val="00B87E82"/>
    <w:rsid w:val="00B9012A"/>
    <w:rsid w:val="00B910A0"/>
    <w:rsid w:val="00B914F0"/>
    <w:rsid w:val="00B92168"/>
    <w:rsid w:val="00B945C2"/>
    <w:rsid w:val="00B95CAF"/>
    <w:rsid w:val="00B95FEB"/>
    <w:rsid w:val="00BA3350"/>
    <w:rsid w:val="00BA363C"/>
    <w:rsid w:val="00BA4038"/>
    <w:rsid w:val="00BA4620"/>
    <w:rsid w:val="00BA4654"/>
    <w:rsid w:val="00BA482A"/>
    <w:rsid w:val="00BA4E82"/>
    <w:rsid w:val="00BA54F7"/>
    <w:rsid w:val="00BA5DEA"/>
    <w:rsid w:val="00BA668F"/>
    <w:rsid w:val="00BA6698"/>
    <w:rsid w:val="00BA7FE6"/>
    <w:rsid w:val="00BB09D5"/>
    <w:rsid w:val="00BB1645"/>
    <w:rsid w:val="00BB4879"/>
    <w:rsid w:val="00BB5A1D"/>
    <w:rsid w:val="00BB68E3"/>
    <w:rsid w:val="00BB6E72"/>
    <w:rsid w:val="00BB7F34"/>
    <w:rsid w:val="00BC396B"/>
    <w:rsid w:val="00BC5095"/>
    <w:rsid w:val="00BC559B"/>
    <w:rsid w:val="00BC5AA6"/>
    <w:rsid w:val="00BC5FC3"/>
    <w:rsid w:val="00BC6218"/>
    <w:rsid w:val="00BC6444"/>
    <w:rsid w:val="00BC78BD"/>
    <w:rsid w:val="00BD081D"/>
    <w:rsid w:val="00BD1524"/>
    <w:rsid w:val="00BD1F0E"/>
    <w:rsid w:val="00BD5001"/>
    <w:rsid w:val="00BD5DB9"/>
    <w:rsid w:val="00BD6CA2"/>
    <w:rsid w:val="00BE080D"/>
    <w:rsid w:val="00BE1783"/>
    <w:rsid w:val="00BE182F"/>
    <w:rsid w:val="00BE3A70"/>
    <w:rsid w:val="00BE3B5F"/>
    <w:rsid w:val="00BE4ECE"/>
    <w:rsid w:val="00BE5AA6"/>
    <w:rsid w:val="00BE783B"/>
    <w:rsid w:val="00BE7B32"/>
    <w:rsid w:val="00BF0696"/>
    <w:rsid w:val="00BF1DFD"/>
    <w:rsid w:val="00BF516D"/>
    <w:rsid w:val="00BF533A"/>
    <w:rsid w:val="00BF62D9"/>
    <w:rsid w:val="00BF6588"/>
    <w:rsid w:val="00BF6C31"/>
    <w:rsid w:val="00BF7351"/>
    <w:rsid w:val="00BF755C"/>
    <w:rsid w:val="00C032BD"/>
    <w:rsid w:val="00C0444A"/>
    <w:rsid w:val="00C04727"/>
    <w:rsid w:val="00C04DDF"/>
    <w:rsid w:val="00C10EAE"/>
    <w:rsid w:val="00C11AEC"/>
    <w:rsid w:val="00C12C1B"/>
    <w:rsid w:val="00C1390E"/>
    <w:rsid w:val="00C14149"/>
    <w:rsid w:val="00C1621E"/>
    <w:rsid w:val="00C1635C"/>
    <w:rsid w:val="00C210A6"/>
    <w:rsid w:val="00C211BA"/>
    <w:rsid w:val="00C21F79"/>
    <w:rsid w:val="00C23974"/>
    <w:rsid w:val="00C3318C"/>
    <w:rsid w:val="00C37A00"/>
    <w:rsid w:val="00C40AB7"/>
    <w:rsid w:val="00C41511"/>
    <w:rsid w:val="00C41FD8"/>
    <w:rsid w:val="00C443E6"/>
    <w:rsid w:val="00C44F46"/>
    <w:rsid w:val="00C45136"/>
    <w:rsid w:val="00C45FBD"/>
    <w:rsid w:val="00C4676E"/>
    <w:rsid w:val="00C47684"/>
    <w:rsid w:val="00C47E81"/>
    <w:rsid w:val="00C502A6"/>
    <w:rsid w:val="00C514D2"/>
    <w:rsid w:val="00C514DF"/>
    <w:rsid w:val="00C53E2C"/>
    <w:rsid w:val="00C55CDA"/>
    <w:rsid w:val="00C618AB"/>
    <w:rsid w:val="00C62691"/>
    <w:rsid w:val="00C6670D"/>
    <w:rsid w:val="00C679F2"/>
    <w:rsid w:val="00C77A82"/>
    <w:rsid w:val="00C80B1B"/>
    <w:rsid w:val="00C80CD2"/>
    <w:rsid w:val="00C8272A"/>
    <w:rsid w:val="00C83744"/>
    <w:rsid w:val="00C854F9"/>
    <w:rsid w:val="00C9090C"/>
    <w:rsid w:val="00C90C69"/>
    <w:rsid w:val="00C90D37"/>
    <w:rsid w:val="00C925EF"/>
    <w:rsid w:val="00C92A47"/>
    <w:rsid w:val="00C93F24"/>
    <w:rsid w:val="00C940F4"/>
    <w:rsid w:val="00C94634"/>
    <w:rsid w:val="00C94EB2"/>
    <w:rsid w:val="00C96071"/>
    <w:rsid w:val="00C9626C"/>
    <w:rsid w:val="00C97241"/>
    <w:rsid w:val="00C97466"/>
    <w:rsid w:val="00CA1653"/>
    <w:rsid w:val="00CA35D0"/>
    <w:rsid w:val="00CA7030"/>
    <w:rsid w:val="00CB38BA"/>
    <w:rsid w:val="00CB3C1C"/>
    <w:rsid w:val="00CB59D9"/>
    <w:rsid w:val="00CB7480"/>
    <w:rsid w:val="00CC0285"/>
    <w:rsid w:val="00CC103E"/>
    <w:rsid w:val="00CC1452"/>
    <w:rsid w:val="00CC16B6"/>
    <w:rsid w:val="00CC173F"/>
    <w:rsid w:val="00CC2309"/>
    <w:rsid w:val="00CC236E"/>
    <w:rsid w:val="00CC2A09"/>
    <w:rsid w:val="00CC4ECD"/>
    <w:rsid w:val="00CD016F"/>
    <w:rsid w:val="00CD2991"/>
    <w:rsid w:val="00CD2F81"/>
    <w:rsid w:val="00CD49E8"/>
    <w:rsid w:val="00CD6429"/>
    <w:rsid w:val="00CD705E"/>
    <w:rsid w:val="00CD7E39"/>
    <w:rsid w:val="00CE051A"/>
    <w:rsid w:val="00CE178D"/>
    <w:rsid w:val="00CE5C32"/>
    <w:rsid w:val="00CE6BAD"/>
    <w:rsid w:val="00CF0C52"/>
    <w:rsid w:val="00CF0D47"/>
    <w:rsid w:val="00CF1F77"/>
    <w:rsid w:val="00CF2B16"/>
    <w:rsid w:val="00CF4CC4"/>
    <w:rsid w:val="00CF59C2"/>
    <w:rsid w:val="00CF5F44"/>
    <w:rsid w:val="00CF60C7"/>
    <w:rsid w:val="00D001D2"/>
    <w:rsid w:val="00D023DE"/>
    <w:rsid w:val="00D02FE2"/>
    <w:rsid w:val="00D03C81"/>
    <w:rsid w:val="00D06C73"/>
    <w:rsid w:val="00D07999"/>
    <w:rsid w:val="00D100BF"/>
    <w:rsid w:val="00D12033"/>
    <w:rsid w:val="00D13039"/>
    <w:rsid w:val="00D131F7"/>
    <w:rsid w:val="00D13CD5"/>
    <w:rsid w:val="00D14DD4"/>
    <w:rsid w:val="00D15D2D"/>
    <w:rsid w:val="00D15DE1"/>
    <w:rsid w:val="00D2197D"/>
    <w:rsid w:val="00D23442"/>
    <w:rsid w:val="00D2446F"/>
    <w:rsid w:val="00D24CAF"/>
    <w:rsid w:val="00D250D6"/>
    <w:rsid w:val="00D2572F"/>
    <w:rsid w:val="00D2582A"/>
    <w:rsid w:val="00D262F5"/>
    <w:rsid w:val="00D26DC5"/>
    <w:rsid w:val="00D2737E"/>
    <w:rsid w:val="00D31287"/>
    <w:rsid w:val="00D315AA"/>
    <w:rsid w:val="00D33D43"/>
    <w:rsid w:val="00D35379"/>
    <w:rsid w:val="00D355CD"/>
    <w:rsid w:val="00D356BE"/>
    <w:rsid w:val="00D36B4D"/>
    <w:rsid w:val="00D37D96"/>
    <w:rsid w:val="00D4468F"/>
    <w:rsid w:val="00D46553"/>
    <w:rsid w:val="00D52A35"/>
    <w:rsid w:val="00D55BE2"/>
    <w:rsid w:val="00D56CAF"/>
    <w:rsid w:val="00D5734C"/>
    <w:rsid w:val="00D57D47"/>
    <w:rsid w:val="00D62F64"/>
    <w:rsid w:val="00D64580"/>
    <w:rsid w:val="00D64CB7"/>
    <w:rsid w:val="00D64E4C"/>
    <w:rsid w:val="00D66C87"/>
    <w:rsid w:val="00D71134"/>
    <w:rsid w:val="00D72925"/>
    <w:rsid w:val="00D73A6C"/>
    <w:rsid w:val="00D7407B"/>
    <w:rsid w:val="00D74406"/>
    <w:rsid w:val="00D74FB8"/>
    <w:rsid w:val="00D7585D"/>
    <w:rsid w:val="00D77ECC"/>
    <w:rsid w:val="00D80C38"/>
    <w:rsid w:val="00D811E3"/>
    <w:rsid w:val="00D81A73"/>
    <w:rsid w:val="00D81D72"/>
    <w:rsid w:val="00D82727"/>
    <w:rsid w:val="00D848DE"/>
    <w:rsid w:val="00D84F64"/>
    <w:rsid w:val="00D855D1"/>
    <w:rsid w:val="00D91346"/>
    <w:rsid w:val="00D934A3"/>
    <w:rsid w:val="00D95C16"/>
    <w:rsid w:val="00D96BE6"/>
    <w:rsid w:val="00D97043"/>
    <w:rsid w:val="00DA0F74"/>
    <w:rsid w:val="00DA2F0D"/>
    <w:rsid w:val="00DA37D7"/>
    <w:rsid w:val="00DA393D"/>
    <w:rsid w:val="00DA42CF"/>
    <w:rsid w:val="00DA4842"/>
    <w:rsid w:val="00DA64EB"/>
    <w:rsid w:val="00DA6955"/>
    <w:rsid w:val="00DB1FE3"/>
    <w:rsid w:val="00DB23C4"/>
    <w:rsid w:val="00DB24F4"/>
    <w:rsid w:val="00DB3D62"/>
    <w:rsid w:val="00DB4724"/>
    <w:rsid w:val="00DB561B"/>
    <w:rsid w:val="00DB5C23"/>
    <w:rsid w:val="00DB69FC"/>
    <w:rsid w:val="00DB6EE9"/>
    <w:rsid w:val="00DC0CE1"/>
    <w:rsid w:val="00DC25CD"/>
    <w:rsid w:val="00DC3E7E"/>
    <w:rsid w:val="00DC45E1"/>
    <w:rsid w:val="00DC5875"/>
    <w:rsid w:val="00DC77B0"/>
    <w:rsid w:val="00DD19D5"/>
    <w:rsid w:val="00DD3CEE"/>
    <w:rsid w:val="00DD51F5"/>
    <w:rsid w:val="00DD5A03"/>
    <w:rsid w:val="00DD7303"/>
    <w:rsid w:val="00DE17D8"/>
    <w:rsid w:val="00DE2215"/>
    <w:rsid w:val="00DE485C"/>
    <w:rsid w:val="00DE62F2"/>
    <w:rsid w:val="00DF06EA"/>
    <w:rsid w:val="00DF19F0"/>
    <w:rsid w:val="00DF2B34"/>
    <w:rsid w:val="00DF37C8"/>
    <w:rsid w:val="00DF4752"/>
    <w:rsid w:val="00DF5DDB"/>
    <w:rsid w:val="00E004AA"/>
    <w:rsid w:val="00E00EBF"/>
    <w:rsid w:val="00E02D8F"/>
    <w:rsid w:val="00E03AF8"/>
    <w:rsid w:val="00E04BE2"/>
    <w:rsid w:val="00E053B4"/>
    <w:rsid w:val="00E05EE5"/>
    <w:rsid w:val="00E05F1C"/>
    <w:rsid w:val="00E06EBB"/>
    <w:rsid w:val="00E07F64"/>
    <w:rsid w:val="00E10F07"/>
    <w:rsid w:val="00E14592"/>
    <w:rsid w:val="00E25932"/>
    <w:rsid w:val="00E269D3"/>
    <w:rsid w:val="00E30179"/>
    <w:rsid w:val="00E30500"/>
    <w:rsid w:val="00E31652"/>
    <w:rsid w:val="00E31D11"/>
    <w:rsid w:val="00E31DF8"/>
    <w:rsid w:val="00E32E73"/>
    <w:rsid w:val="00E334A6"/>
    <w:rsid w:val="00E33CEB"/>
    <w:rsid w:val="00E36289"/>
    <w:rsid w:val="00E36DA0"/>
    <w:rsid w:val="00E4080F"/>
    <w:rsid w:val="00E41597"/>
    <w:rsid w:val="00E41FC2"/>
    <w:rsid w:val="00E4273F"/>
    <w:rsid w:val="00E4373D"/>
    <w:rsid w:val="00E43FE4"/>
    <w:rsid w:val="00E46378"/>
    <w:rsid w:val="00E5034F"/>
    <w:rsid w:val="00E509EB"/>
    <w:rsid w:val="00E52357"/>
    <w:rsid w:val="00E62B4F"/>
    <w:rsid w:val="00E62D6B"/>
    <w:rsid w:val="00E6325E"/>
    <w:rsid w:val="00E63446"/>
    <w:rsid w:val="00E67BE0"/>
    <w:rsid w:val="00E7046F"/>
    <w:rsid w:val="00E70D5A"/>
    <w:rsid w:val="00E72F33"/>
    <w:rsid w:val="00E735D7"/>
    <w:rsid w:val="00E74DDB"/>
    <w:rsid w:val="00E76464"/>
    <w:rsid w:val="00E82AE4"/>
    <w:rsid w:val="00E84455"/>
    <w:rsid w:val="00E86366"/>
    <w:rsid w:val="00E86691"/>
    <w:rsid w:val="00E93914"/>
    <w:rsid w:val="00E9422A"/>
    <w:rsid w:val="00E94B8B"/>
    <w:rsid w:val="00E97330"/>
    <w:rsid w:val="00E97DE9"/>
    <w:rsid w:val="00EA0253"/>
    <w:rsid w:val="00EA12F0"/>
    <w:rsid w:val="00EA4001"/>
    <w:rsid w:val="00EA4239"/>
    <w:rsid w:val="00EA51C0"/>
    <w:rsid w:val="00EA63BB"/>
    <w:rsid w:val="00EA6FD2"/>
    <w:rsid w:val="00EA77EF"/>
    <w:rsid w:val="00EB13BD"/>
    <w:rsid w:val="00EB1DCD"/>
    <w:rsid w:val="00EB4652"/>
    <w:rsid w:val="00EB4FDE"/>
    <w:rsid w:val="00EB5DB9"/>
    <w:rsid w:val="00EC209F"/>
    <w:rsid w:val="00EC4ECD"/>
    <w:rsid w:val="00EC518A"/>
    <w:rsid w:val="00EC65B4"/>
    <w:rsid w:val="00EC6EFC"/>
    <w:rsid w:val="00ED02D3"/>
    <w:rsid w:val="00ED12CE"/>
    <w:rsid w:val="00ED1A4E"/>
    <w:rsid w:val="00ED2527"/>
    <w:rsid w:val="00ED2D5A"/>
    <w:rsid w:val="00ED2D61"/>
    <w:rsid w:val="00ED3E97"/>
    <w:rsid w:val="00ED7284"/>
    <w:rsid w:val="00EE34E7"/>
    <w:rsid w:val="00EE3622"/>
    <w:rsid w:val="00EE4F26"/>
    <w:rsid w:val="00EE5559"/>
    <w:rsid w:val="00EE61F0"/>
    <w:rsid w:val="00EE7C6D"/>
    <w:rsid w:val="00EF0092"/>
    <w:rsid w:val="00EF06BD"/>
    <w:rsid w:val="00EF160A"/>
    <w:rsid w:val="00EF20C3"/>
    <w:rsid w:val="00EF405A"/>
    <w:rsid w:val="00EF4891"/>
    <w:rsid w:val="00EF559C"/>
    <w:rsid w:val="00EF56CA"/>
    <w:rsid w:val="00EF7DFF"/>
    <w:rsid w:val="00F0010D"/>
    <w:rsid w:val="00F00982"/>
    <w:rsid w:val="00F02CA7"/>
    <w:rsid w:val="00F02FB8"/>
    <w:rsid w:val="00F04936"/>
    <w:rsid w:val="00F06EAA"/>
    <w:rsid w:val="00F06EE8"/>
    <w:rsid w:val="00F07F3B"/>
    <w:rsid w:val="00F1031B"/>
    <w:rsid w:val="00F10716"/>
    <w:rsid w:val="00F15ACE"/>
    <w:rsid w:val="00F17DF9"/>
    <w:rsid w:val="00F206AF"/>
    <w:rsid w:val="00F225C0"/>
    <w:rsid w:val="00F22BE1"/>
    <w:rsid w:val="00F22C3B"/>
    <w:rsid w:val="00F2465B"/>
    <w:rsid w:val="00F26477"/>
    <w:rsid w:val="00F307F9"/>
    <w:rsid w:val="00F30B29"/>
    <w:rsid w:val="00F30FF0"/>
    <w:rsid w:val="00F32959"/>
    <w:rsid w:val="00F33397"/>
    <w:rsid w:val="00F34476"/>
    <w:rsid w:val="00F35A38"/>
    <w:rsid w:val="00F35D38"/>
    <w:rsid w:val="00F35E3B"/>
    <w:rsid w:val="00F40689"/>
    <w:rsid w:val="00F424CA"/>
    <w:rsid w:val="00F43996"/>
    <w:rsid w:val="00F452EB"/>
    <w:rsid w:val="00F454F4"/>
    <w:rsid w:val="00F45CD3"/>
    <w:rsid w:val="00F46DD5"/>
    <w:rsid w:val="00F47C8E"/>
    <w:rsid w:val="00F53DCB"/>
    <w:rsid w:val="00F54E21"/>
    <w:rsid w:val="00F57E32"/>
    <w:rsid w:val="00F57FD4"/>
    <w:rsid w:val="00F6219F"/>
    <w:rsid w:val="00F670FA"/>
    <w:rsid w:val="00F67B30"/>
    <w:rsid w:val="00F7192C"/>
    <w:rsid w:val="00F71A8B"/>
    <w:rsid w:val="00F75871"/>
    <w:rsid w:val="00F76EBF"/>
    <w:rsid w:val="00F76F7F"/>
    <w:rsid w:val="00F80F91"/>
    <w:rsid w:val="00F81F16"/>
    <w:rsid w:val="00F822C8"/>
    <w:rsid w:val="00F831F1"/>
    <w:rsid w:val="00F843D4"/>
    <w:rsid w:val="00F856B1"/>
    <w:rsid w:val="00F86E52"/>
    <w:rsid w:val="00F87AAC"/>
    <w:rsid w:val="00F93166"/>
    <w:rsid w:val="00F9371A"/>
    <w:rsid w:val="00F95E8A"/>
    <w:rsid w:val="00F96D8A"/>
    <w:rsid w:val="00FA122D"/>
    <w:rsid w:val="00FA1517"/>
    <w:rsid w:val="00FA2BFD"/>
    <w:rsid w:val="00FA351A"/>
    <w:rsid w:val="00FA65DD"/>
    <w:rsid w:val="00FA6F3C"/>
    <w:rsid w:val="00FB15EF"/>
    <w:rsid w:val="00FB17FE"/>
    <w:rsid w:val="00FB20EE"/>
    <w:rsid w:val="00FB3699"/>
    <w:rsid w:val="00FB423A"/>
    <w:rsid w:val="00FB6BE3"/>
    <w:rsid w:val="00FC18C5"/>
    <w:rsid w:val="00FC2F9E"/>
    <w:rsid w:val="00FC4506"/>
    <w:rsid w:val="00FC63CB"/>
    <w:rsid w:val="00FC63F3"/>
    <w:rsid w:val="00FD14BC"/>
    <w:rsid w:val="00FD2051"/>
    <w:rsid w:val="00FD33E3"/>
    <w:rsid w:val="00FD458F"/>
    <w:rsid w:val="00FD6B89"/>
    <w:rsid w:val="00FD73D9"/>
    <w:rsid w:val="00FD75A7"/>
    <w:rsid w:val="00FD7A46"/>
    <w:rsid w:val="00FD7EF0"/>
    <w:rsid w:val="00FE0D19"/>
    <w:rsid w:val="00FE1C75"/>
    <w:rsid w:val="00FE32CD"/>
    <w:rsid w:val="00FE34E4"/>
    <w:rsid w:val="00FE3E06"/>
    <w:rsid w:val="00FE43C1"/>
    <w:rsid w:val="00FE570A"/>
    <w:rsid w:val="00FE5C49"/>
    <w:rsid w:val="00FE6B7F"/>
    <w:rsid w:val="00FF103F"/>
    <w:rsid w:val="00FF2636"/>
    <w:rsid w:val="014C6B51"/>
    <w:rsid w:val="015E6884"/>
    <w:rsid w:val="01DD6A30"/>
    <w:rsid w:val="01ED6439"/>
    <w:rsid w:val="01F8353E"/>
    <w:rsid w:val="021C18F7"/>
    <w:rsid w:val="03E16931"/>
    <w:rsid w:val="04A06271"/>
    <w:rsid w:val="054F2DA5"/>
    <w:rsid w:val="05874FAF"/>
    <w:rsid w:val="058A7C48"/>
    <w:rsid w:val="06176F90"/>
    <w:rsid w:val="062E296D"/>
    <w:rsid w:val="06B354E2"/>
    <w:rsid w:val="06E025D8"/>
    <w:rsid w:val="073F0511"/>
    <w:rsid w:val="08002F4D"/>
    <w:rsid w:val="081319C1"/>
    <w:rsid w:val="0851119B"/>
    <w:rsid w:val="08F012E6"/>
    <w:rsid w:val="09407F85"/>
    <w:rsid w:val="09B40D69"/>
    <w:rsid w:val="0A180033"/>
    <w:rsid w:val="0A3B33A5"/>
    <w:rsid w:val="0A5F541F"/>
    <w:rsid w:val="0A8A4C6E"/>
    <w:rsid w:val="0B9612FF"/>
    <w:rsid w:val="0BA503AE"/>
    <w:rsid w:val="0CCA14A1"/>
    <w:rsid w:val="0CEC7E17"/>
    <w:rsid w:val="0D241976"/>
    <w:rsid w:val="0D3E04B1"/>
    <w:rsid w:val="0D4975BD"/>
    <w:rsid w:val="0DE176B8"/>
    <w:rsid w:val="0E1E1875"/>
    <w:rsid w:val="0E2B422F"/>
    <w:rsid w:val="0EF3685E"/>
    <w:rsid w:val="0F8F183D"/>
    <w:rsid w:val="11784F7E"/>
    <w:rsid w:val="11E64458"/>
    <w:rsid w:val="121865DB"/>
    <w:rsid w:val="130065D0"/>
    <w:rsid w:val="134158EE"/>
    <w:rsid w:val="13950723"/>
    <w:rsid w:val="13BD743A"/>
    <w:rsid w:val="14703FDD"/>
    <w:rsid w:val="14E53B8B"/>
    <w:rsid w:val="153E550D"/>
    <w:rsid w:val="156F6440"/>
    <w:rsid w:val="167A1EDE"/>
    <w:rsid w:val="179C0E60"/>
    <w:rsid w:val="17A357C8"/>
    <w:rsid w:val="18012E12"/>
    <w:rsid w:val="186360E8"/>
    <w:rsid w:val="188C2C79"/>
    <w:rsid w:val="18AD39E3"/>
    <w:rsid w:val="1AC7726A"/>
    <w:rsid w:val="1B283DAC"/>
    <w:rsid w:val="1C647A98"/>
    <w:rsid w:val="1C7E23D2"/>
    <w:rsid w:val="1C897E07"/>
    <w:rsid w:val="1C9B2080"/>
    <w:rsid w:val="1CDF77C3"/>
    <w:rsid w:val="1CE55FE2"/>
    <w:rsid w:val="1CF35D13"/>
    <w:rsid w:val="1D7D771D"/>
    <w:rsid w:val="1D7E730A"/>
    <w:rsid w:val="1E103476"/>
    <w:rsid w:val="1E5F438D"/>
    <w:rsid w:val="1EE7384A"/>
    <w:rsid w:val="1FC9333C"/>
    <w:rsid w:val="21A41C3A"/>
    <w:rsid w:val="21E87157"/>
    <w:rsid w:val="22816C88"/>
    <w:rsid w:val="22A16053"/>
    <w:rsid w:val="23AE46AF"/>
    <w:rsid w:val="244D0366"/>
    <w:rsid w:val="246F22D4"/>
    <w:rsid w:val="26102F02"/>
    <w:rsid w:val="274F2689"/>
    <w:rsid w:val="27B34984"/>
    <w:rsid w:val="27EE33F6"/>
    <w:rsid w:val="298C7B83"/>
    <w:rsid w:val="29B53131"/>
    <w:rsid w:val="29B80978"/>
    <w:rsid w:val="2A8252C3"/>
    <w:rsid w:val="2B307516"/>
    <w:rsid w:val="2B77433A"/>
    <w:rsid w:val="2BED68A1"/>
    <w:rsid w:val="2C3A1B18"/>
    <w:rsid w:val="2D236108"/>
    <w:rsid w:val="2D5409B8"/>
    <w:rsid w:val="2D6053DE"/>
    <w:rsid w:val="2D9358D2"/>
    <w:rsid w:val="2D970D3C"/>
    <w:rsid w:val="2EC9746A"/>
    <w:rsid w:val="2F4A69DD"/>
    <w:rsid w:val="2F6278A1"/>
    <w:rsid w:val="2FAB6E3C"/>
    <w:rsid w:val="301852D9"/>
    <w:rsid w:val="306453B6"/>
    <w:rsid w:val="30E45D71"/>
    <w:rsid w:val="31286732"/>
    <w:rsid w:val="32727C95"/>
    <w:rsid w:val="32A007AA"/>
    <w:rsid w:val="32F56799"/>
    <w:rsid w:val="333F5C66"/>
    <w:rsid w:val="33926EA5"/>
    <w:rsid w:val="33B83428"/>
    <w:rsid w:val="33E65EC1"/>
    <w:rsid w:val="340A02BD"/>
    <w:rsid w:val="34771A07"/>
    <w:rsid w:val="34C94C0A"/>
    <w:rsid w:val="36176245"/>
    <w:rsid w:val="36C95CEF"/>
    <w:rsid w:val="37BC39F1"/>
    <w:rsid w:val="37D3571B"/>
    <w:rsid w:val="381D7640"/>
    <w:rsid w:val="384A073D"/>
    <w:rsid w:val="39557DD6"/>
    <w:rsid w:val="39AC74E1"/>
    <w:rsid w:val="3A6979D4"/>
    <w:rsid w:val="3BB65E57"/>
    <w:rsid w:val="3BE6206D"/>
    <w:rsid w:val="3C0030E1"/>
    <w:rsid w:val="3C2D6455"/>
    <w:rsid w:val="3C7F0E81"/>
    <w:rsid w:val="3C8D241B"/>
    <w:rsid w:val="3D420603"/>
    <w:rsid w:val="3D4709D9"/>
    <w:rsid w:val="3D7D35A5"/>
    <w:rsid w:val="3DF21D98"/>
    <w:rsid w:val="3E751AA6"/>
    <w:rsid w:val="3F0C56D5"/>
    <w:rsid w:val="3F0E0673"/>
    <w:rsid w:val="403113B5"/>
    <w:rsid w:val="4062090E"/>
    <w:rsid w:val="412E0703"/>
    <w:rsid w:val="41AB6C1D"/>
    <w:rsid w:val="41B53E68"/>
    <w:rsid w:val="42462384"/>
    <w:rsid w:val="44015DC8"/>
    <w:rsid w:val="44FC1414"/>
    <w:rsid w:val="45526B57"/>
    <w:rsid w:val="456F454F"/>
    <w:rsid w:val="46F42025"/>
    <w:rsid w:val="47294407"/>
    <w:rsid w:val="474F12C5"/>
    <w:rsid w:val="47D563D4"/>
    <w:rsid w:val="48F52BF7"/>
    <w:rsid w:val="490C6E6F"/>
    <w:rsid w:val="496F45F8"/>
    <w:rsid w:val="497850F1"/>
    <w:rsid w:val="4A3D5602"/>
    <w:rsid w:val="4B4F7D7B"/>
    <w:rsid w:val="4B740831"/>
    <w:rsid w:val="4B9200C3"/>
    <w:rsid w:val="4C1A4723"/>
    <w:rsid w:val="4CC03A86"/>
    <w:rsid w:val="4D2401A2"/>
    <w:rsid w:val="4D5C218E"/>
    <w:rsid w:val="4DF76D31"/>
    <w:rsid w:val="4E743458"/>
    <w:rsid w:val="4E772D8A"/>
    <w:rsid w:val="4F1870FC"/>
    <w:rsid w:val="4F6E6C4D"/>
    <w:rsid w:val="4FAE4A52"/>
    <w:rsid w:val="50083210"/>
    <w:rsid w:val="500F04B9"/>
    <w:rsid w:val="51DC173E"/>
    <w:rsid w:val="52CE08BA"/>
    <w:rsid w:val="53331B5C"/>
    <w:rsid w:val="539C7ADF"/>
    <w:rsid w:val="53DB2C14"/>
    <w:rsid w:val="54D9255B"/>
    <w:rsid w:val="554C5006"/>
    <w:rsid w:val="55523029"/>
    <w:rsid w:val="55570796"/>
    <w:rsid w:val="55883034"/>
    <w:rsid w:val="55A34512"/>
    <w:rsid w:val="55AB53CF"/>
    <w:rsid w:val="55EE386E"/>
    <w:rsid w:val="569533E6"/>
    <w:rsid w:val="5766317D"/>
    <w:rsid w:val="578F297E"/>
    <w:rsid w:val="57F2702C"/>
    <w:rsid w:val="582A1ACB"/>
    <w:rsid w:val="582B56AC"/>
    <w:rsid w:val="59422CE7"/>
    <w:rsid w:val="594E53B1"/>
    <w:rsid w:val="599364EA"/>
    <w:rsid w:val="59B51F84"/>
    <w:rsid w:val="5A026B82"/>
    <w:rsid w:val="5AFD5152"/>
    <w:rsid w:val="5B104E07"/>
    <w:rsid w:val="5B23512B"/>
    <w:rsid w:val="5B6A2FD1"/>
    <w:rsid w:val="5B8C4F88"/>
    <w:rsid w:val="5BF5247D"/>
    <w:rsid w:val="5C302B4E"/>
    <w:rsid w:val="5C773608"/>
    <w:rsid w:val="5D354A0E"/>
    <w:rsid w:val="5DFC4FE8"/>
    <w:rsid w:val="5F0E3BFB"/>
    <w:rsid w:val="5F9A6EAF"/>
    <w:rsid w:val="6101482B"/>
    <w:rsid w:val="61114B64"/>
    <w:rsid w:val="61FD6AEA"/>
    <w:rsid w:val="62425155"/>
    <w:rsid w:val="626B2044"/>
    <w:rsid w:val="62E93960"/>
    <w:rsid w:val="630E2DDB"/>
    <w:rsid w:val="63331083"/>
    <w:rsid w:val="64460813"/>
    <w:rsid w:val="64BB492F"/>
    <w:rsid w:val="65331A76"/>
    <w:rsid w:val="654C7BEB"/>
    <w:rsid w:val="657F62D1"/>
    <w:rsid w:val="65871711"/>
    <w:rsid w:val="65987EBF"/>
    <w:rsid w:val="65B05703"/>
    <w:rsid w:val="65D86631"/>
    <w:rsid w:val="66610ADE"/>
    <w:rsid w:val="66631110"/>
    <w:rsid w:val="669807A6"/>
    <w:rsid w:val="670E50F0"/>
    <w:rsid w:val="67A17DB9"/>
    <w:rsid w:val="67DD2D7C"/>
    <w:rsid w:val="67F51E74"/>
    <w:rsid w:val="6974345D"/>
    <w:rsid w:val="6987277C"/>
    <w:rsid w:val="69C2222A"/>
    <w:rsid w:val="69CF06C5"/>
    <w:rsid w:val="6AAD2B25"/>
    <w:rsid w:val="6B1A3639"/>
    <w:rsid w:val="6B4B12D4"/>
    <w:rsid w:val="6BE10B7C"/>
    <w:rsid w:val="6C1F12B2"/>
    <w:rsid w:val="6DA464FD"/>
    <w:rsid w:val="6DD62748"/>
    <w:rsid w:val="6E0E70E0"/>
    <w:rsid w:val="6E2B4F98"/>
    <w:rsid w:val="6EA5398C"/>
    <w:rsid w:val="6F832D93"/>
    <w:rsid w:val="6F8662E6"/>
    <w:rsid w:val="704D0227"/>
    <w:rsid w:val="715A0FE5"/>
    <w:rsid w:val="71D86573"/>
    <w:rsid w:val="724957B7"/>
    <w:rsid w:val="72640322"/>
    <w:rsid w:val="728167F6"/>
    <w:rsid w:val="729778CD"/>
    <w:rsid w:val="72A45140"/>
    <w:rsid w:val="72C279AA"/>
    <w:rsid w:val="731D27F4"/>
    <w:rsid w:val="739939DD"/>
    <w:rsid w:val="73C33B9A"/>
    <w:rsid w:val="73E30488"/>
    <w:rsid w:val="74372A51"/>
    <w:rsid w:val="746E65F2"/>
    <w:rsid w:val="74914070"/>
    <w:rsid w:val="74AF1419"/>
    <w:rsid w:val="752135A2"/>
    <w:rsid w:val="75450B7B"/>
    <w:rsid w:val="76161E8F"/>
    <w:rsid w:val="76465F91"/>
    <w:rsid w:val="76A86674"/>
    <w:rsid w:val="76F40241"/>
    <w:rsid w:val="77D17820"/>
    <w:rsid w:val="78743F0C"/>
    <w:rsid w:val="78A91184"/>
    <w:rsid w:val="790D4512"/>
    <w:rsid w:val="79704F0D"/>
    <w:rsid w:val="79E033A0"/>
    <w:rsid w:val="7A2C7387"/>
    <w:rsid w:val="7A9E45ED"/>
    <w:rsid w:val="7C6A0195"/>
    <w:rsid w:val="7C9D6C43"/>
    <w:rsid w:val="7D564AC3"/>
    <w:rsid w:val="7D834662"/>
    <w:rsid w:val="7E0A4050"/>
    <w:rsid w:val="7EA92B8F"/>
    <w:rsid w:val="7F08297D"/>
    <w:rsid w:val="7F1C462C"/>
    <w:rsid w:val="7F9C6F28"/>
    <w:rsid w:val="7FC561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kern w:val="0"/>
      <w:sz w:val="28"/>
      <w:szCs w:val="28"/>
    </w:rPr>
  </w:style>
  <w:style w:type="paragraph" w:styleId="5">
    <w:name w:val="heading 5"/>
    <w:basedOn w:val="1"/>
    <w:next w:val="1"/>
    <w:link w:val="66"/>
    <w:unhideWhenUsed/>
    <w:qFormat/>
    <w:uiPriority w:val="0"/>
    <w:pPr>
      <w:keepNext/>
      <w:keepLines/>
      <w:spacing w:before="280" w:after="290" w:line="376" w:lineRule="auto"/>
      <w:outlineLvl w:val="4"/>
    </w:pPr>
    <w:rPr>
      <w:b/>
      <w:bCs/>
      <w:sz w:val="28"/>
      <w:szCs w:val="28"/>
      <w:lang w:val="zh-CN"/>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link w:val="39"/>
    <w:qFormat/>
    <w:uiPriority w:val="0"/>
    <w:pPr>
      <w:adjustRightInd w:val="0"/>
      <w:spacing w:line="312" w:lineRule="atLeast"/>
      <w:ind w:firstLine="420"/>
      <w:textAlignment w:val="baseline"/>
    </w:pPr>
    <w:rPr>
      <w:kern w:val="0"/>
      <w:szCs w:val="20"/>
    </w:rPr>
  </w:style>
  <w:style w:type="paragraph" w:styleId="8">
    <w:name w:val="caption"/>
    <w:basedOn w:val="1"/>
    <w:next w:val="1"/>
    <w:qFormat/>
    <w:uiPriority w:val="0"/>
    <w:rPr>
      <w:rFonts w:ascii="Calibri Light" w:hAnsi="Calibri Light" w:eastAsia="黑体"/>
      <w:sz w:val="20"/>
      <w:szCs w:val="20"/>
    </w:rPr>
  </w:style>
  <w:style w:type="paragraph" w:styleId="9">
    <w:name w:val="annotation text"/>
    <w:basedOn w:val="1"/>
    <w:link w:val="42"/>
    <w:unhideWhenUsed/>
    <w:qFormat/>
    <w:uiPriority w:val="0"/>
    <w:pPr>
      <w:jc w:val="left"/>
    </w:pPr>
  </w:style>
  <w:style w:type="paragraph" w:styleId="10">
    <w:name w:val="Body Text"/>
    <w:basedOn w:val="1"/>
    <w:next w:val="11"/>
    <w:link w:val="36"/>
    <w:unhideWhenUsed/>
    <w:qFormat/>
    <w:uiPriority w:val="0"/>
    <w:pPr>
      <w:spacing w:after="120"/>
    </w:pPr>
  </w:style>
  <w:style w:type="paragraph" w:styleId="11">
    <w:name w:val="Body Text First Indent"/>
    <w:basedOn w:val="1"/>
    <w:next w:val="12"/>
    <w:link w:val="37"/>
    <w:qFormat/>
    <w:uiPriority w:val="0"/>
    <w:pPr>
      <w:ind w:firstLine="420" w:firstLineChars="100"/>
    </w:pPr>
  </w:style>
  <w:style w:type="paragraph" w:styleId="12">
    <w:name w:val="toc 6"/>
    <w:basedOn w:val="1"/>
    <w:next w:val="1"/>
    <w:qFormat/>
    <w:uiPriority w:val="39"/>
    <w:pPr>
      <w:ind w:left="2100" w:leftChars="1000"/>
    </w:pPr>
  </w:style>
  <w:style w:type="paragraph" w:styleId="13">
    <w:name w:val="Body Text Indent"/>
    <w:basedOn w:val="1"/>
    <w:link w:val="40"/>
    <w:semiHidden/>
    <w:unhideWhenUsed/>
    <w:qFormat/>
    <w:uiPriority w:val="99"/>
    <w:pPr>
      <w:spacing w:after="120"/>
      <w:ind w:left="420" w:leftChars="200"/>
    </w:pPr>
  </w:style>
  <w:style w:type="paragraph" w:styleId="14">
    <w:name w:val="List 2"/>
    <w:basedOn w:val="1"/>
    <w:semiHidden/>
    <w:unhideWhenUsed/>
    <w:qFormat/>
    <w:uiPriority w:val="99"/>
    <w:pPr>
      <w:ind w:left="100" w:leftChars="200" w:hanging="200" w:hangingChars="200"/>
      <w:contextualSpacing/>
    </w:pPr>
  </w:style>
  <w:style w:type="paragraph" w:styleId="15">
    <w:name w:val="Plain Text"/>
    <w:basedOn w:val="1"/>
    <w:link w:val="34"/>
    <w:qFormat/>
    <w:uiPriority w:val="0"/>
    <w:pPr>
      <w:spacing w:beforeLines="50" w:afterLines="50" w:line="400" w:lineRule="exact"/>
    </w:pPr>
    <w:rPr>
      <w:rFonts w:ascii="宋体" w:hAnsi="Courier New"/>
      <w:kern w:val="0"/>
      <w:sz w:val="24"/>
    </w:rPr>
  </w:style>
  <w:style w:type="paragraph" w:styleId="16">
    <w:name w:val="Balloon Text"/>
    <w:basedOn w:val="1"/>
    <w:link w:val="43"/>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3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qFormat/>
    <w:uiPriority w:val="39"/>
  </w:style>
  <w:style w:type="paragraph" w:styleId="20">
    <w:name w:val="Body Text Indent 3"/>
    <w:basedOn w:val="1"/>
    <w:link w:val="41"/>
    <w:semiHidden/>
    <w:unhideWhenUsed/>
    <w:qFormat/>
    <w:uiPriority w:val="99"/>
    <w:pPr>
      <w:spacing w:after="120"/>
      <w:ind w:left="420" w:leftChars="200"/>
    </w:pPr>
    <w:rPr>
      <w:sz w:val="16"/>
      <w:szCs w:val="16"/>
    </w:r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9"/>
    <w:next w:val="9"/>
    <w:link w:val="51"/>
    <w:semiHidden/>
    <w:unhideWhenUsed/>
    <w:qFormat/>
    <w:uiPriority w:val="99"/>
    <w:rPr>
      <w:b/>
      <w:bCs/>
    </w:rPr>
  </w:style>
  <w:style w:type="paragraph" w:styleId="24">
    <w:name w:val="Body Text First Indent 2"/>
    <w:basedOn w:val="13"/>
    <w:link w:val="58"/>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qFormat/>
    <w:uiPriority w:val="99"/>
    <w:rPr>
      <w:color w:val="000000"/>
      <w:sz w:val="20"/>
      <w:szCs w:val="20"/>
      <w:u w:val="none"/>
    </w:rPr>
  </w:style>
  <w:style w:type="character" w:styleId="30">
    <w:name w:val="annotation reference"/>
    <w:basedOn w:val="27"/>
    <w:unhideWhenUsed/>
    <w:qFormat/>
    <w:uiPriority w:val="0"/>
    <w:rPr>
      <w:sz w:val="21"/>
      <w:szCs w:val="21"/>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页眉 Char"/>
    <w:basedOn w:val="27"/>
    <w:link w:val="18"/>
    <w:qFormat/>
    <w:uiPriority w:val="99"/>
    <w:rPr>
      <w:sz w:val="18"/>
      <w:szCs w:val="18"/>
    </w:rPr>
  </w:style>
  <w:style w:type="character" w:customStyle="1" w:styleId="33">
    <w:name w:val="页脚 Char"/>
    <w:basedOn w:val="27"/>
    <w:link w:val="17"/>
    <w:qFormat/>
    <w:uiPriority w:val="99"/>
    <w:rPr>
      <w:sz w:val="18"/>
      <w:szCs w:val="18"/>
    </w:rPr>
  </w:style>
  <w:style w:type="character" w:customStyle="1" w:styleId="34">
    <w:name w:val="纯文本 Char1"/>
    <w:basedOn w:val="27"/>
    <w:link w:val="15"/>
    <w:qFormat/>
    <w:uiPriority w:val="0"/>
    <w:rPr>
      <w:rFonts w:ascii="宋体" w:hAnsi="Courier New" w:eastAsia="宋体" w:cs="Times New Roman"/>
      <w:kern w:val="0"/>
      <w:sz w:val="24"/>
      <w:szCs w:val="24"/>
    </w:rPr>
  </w:style>
  <w:style w:type="paragraph" w:customStyle="1" w:styleId="35">
    <w:name w:val="正文段"/>
    <w:basedOn w:val="1"/>
    <w:qFormat/>
    <w:uiPriority w:val="0"/>
    <w:pPr>
      <w:widowControl/>
      <w:snapToGrid w:val="0"/>
      <w:spacing w:afterLines="50"/>
      <w:ind w:firstLine="200" w:firstLineChars="200"/>
    </w:pPr>
    <w:rPr>
      <w:kern w:val="0"/>
      <w:sz w:val="24"/>
      <w:szCs w:val="20"/>
    </w:rPr>
  </w:style>
  <w:style w:type="character" w:customStyle="1" w:styleId="36">
    <w:name w:val="正文文本 Char"/>
    <w:basedOn w:val="27"/>
    <w:link w:val="10"/>
    <w:qFormat/>
    <w:uiPriority w:val="0"/>
    <w:rPr>
      <w:rFonts w:ascii="Times New Roman" w:hAnsi="Times New Roman" w:eastAsia="宋体" w:cs="Times New Roman"/>
      <w:szCs w:val="24"/>
    </w:rPr>
  </w:style>
  <w:style w:type="character" w:customStyle="1" w:styleId="37">
    <w:name w:val="正文首行缩进 Char"/>
    <w:basedOn w:val="36"/>
    <w:link w:val="11"/>
    <w:qFormat/>
    <w:uiPriority w:val="0"/>
    <w:rPr>
      <w:rFonts w:ascii="Times New Roman" w:hAnsi="Times New Roman" w:eastAsia="宋体" w:cs="Times New Roman"/>
      <w:szCs w:val="24"/>
    </w:rPr>
  </w:style>
  <w:style w:type="paragraph" w:styleId="38">
    <w:name w:val="List Paragraph"/>
    <w:basedOn w:val="1"/>
    <w:qFormat/>
    <w:uiPriority w:val="34"/>
    <w:pPr>
      <w:ind w:firstLine="420" w:firstLineChars="200"/>
    </w:pPr>
  </w:style>
  <w:style w:type="character" w:customStyle="1" w:styleId="39">
    <w:name w:val="正文缩进 Char"/>
    <w:link w:val="7"/>
    <w:qFormat/>
    <w:uiPriority w:val="0"/>
    <w:rPr>
      <w:rFonts w:ascii="Times New Roman" w:hAnsi="Times New Roman" w:eastAsia="宋体" w:cs="Times New Roman"/>
      <w:kern w:val="0"/>
      <w:szCs w:val="20"/>
    </w:rPr>
  </w:style>
  <w:style w:type="character" w:customStyle="1" w:styleId="40">
    <w:name w:val="正文文本缩进 Char"/>
    <w:basedOn w:val="27"/>
    <w:link w:val="13"/>
    <w:semiHidden/>
    <w:qFormat/>
    <w:uiPriority w:val="99"/>
    <w:rPr>
      <w:rFonts w:ascii="Times New Roman" w:hAnsi="Times New Roman" w:eastAsia="宋体" w:cs="Times New Roman"/>
      <w:szCs w:val="24"/>
    </w:rPr>
  </w:style>
  <w:style w:type="character" w:customStyle="1" w:styleId="41">
    <w:name w:val="正文文本缩进 3 Char"/>
    <w:basedOn w:val="27"/>
    <w:link w:val="20"/>
    <w:semiHidden/>
    <w:qFormat/>
    <w:uiPriority w:val="99"/>
    <w:rPr>
      <w:rFonts w:ascii="Times New Roman" w:hAnsi="Times New Roman" w:eastAsia="宋体" w:cs="Times New Roman"/>
      <w:sz w:val="16"/>
      <w:szCs w:val="16"/>
    </w:rPr>
  </w:style>
  <w:style w:type="character" w:customStyle="1" w:styleId="42">
    <w:name w:val="批注文字 Char1"/>
    <w:basedOn w:val="27"/>
    <w:link w:val="9"/>
    <w:qFormat/>
    <w:uiPriority w:val="0"/>
    <w:rPr>
      <w:rFonts w:ascii="Times New Roman" w:hAnsi="Times New Roman" w:eastAsia="宋体" w:cs="Times New Roman"/>
      <w:szCs w:val="24"/>
    </w:rPr>
  </w:style>
  <w:style w:type="character" w:customStyle="1" w:styleId="43">
    <w:name w:val="批注框文本 Char"/>
    <w:basedOn w:val="27"/>
    <w:link w:val="16"/>
    <w:semiHidden/>
    <w:qFormat/>
    <w:uiPriority w:val="99"/>
    <w:rPr>
      <w:rFonts w:ascii="Times New Roman" w:hAnsi="Times New Roman" w:eastAsia="宋体" w:cs="Times New Roman"/>
      <w:sz w:val="18"/>
      <w:szCs w:val="18"/>
    </w:rPr>
  </w:style>
  <w:style w:type="paragraph" w:customStyle="1" w:styleId="44">
    <w:name w:val="Table Paragraph"/>
    <w:basedOn w:val="1"/>
    <w:qFormat/>
    <w:uiPriority w:val="1"/>
    <w:pPr>
      <w:autoSpaceDE w:val="0"/>
      <w:autoSpaceDN w:val="0"/>
      <w:adjustRightInd w:val="0"/>
      <w:jc w:val="left"/>
    </w:pPr>
    <w:rPr>
      <w:rFonts w:ascii="黑体" w:hAnsi="黑体" w:cs="黑体"/>
      <w:kern w:val="0"/>
      <w:sz w:val="24"/>
    </w:rPr>
  </w:style>
  <w:style w:type="paragraph" w:customStyle="1" w:styleId="45">
    <w:name w:val="默认段落字体 Para Char Char Char Char Char Char Char Char Char1 Char Char Char Char"/>
    <w:basedOn w:val="1"/>
    <w:qFormat/>
    <w:uiPriority w:val="0"/>
    <w:rPr>
      <w:rFonts w:ascii="Tahoma" w:hAnsi="Tahoma"/>
      <w:sz w:val="24"/>
      <w:szCs w:val="20"/>
    </w:rPr>
  </w:style>
  <w:style w:type="paragraph" w:customStyle="1" w:styleId="46">
    <w:name w:val="纯文本1"/>
    <w:basedOn w:val="1"/>
    <w:link w:val="48"/>
    <w:qFormat/>
    <w:uiPriority w:val="0"/>
    <w:pPr>
      <w:spacing w:beforeLines="50" w:afterLines="50" w:line="400" w:lineRule="exact"/>
    </w:pPr>
    <w:rPr>
      <w:rFonts w:ascii="宋体" w:hAnsi="Courier New"/>
      <w:kern w:val="0"/>
      <w:sz w:val="24"/>
    </w:rPr>
  </w:style>
  <w:style w:type="paragraph" w:customStyle="1" w:styleId="47">
    <w:name w:val="列出段落1"/>
    <w:basedOn w:val="1"/>
    <w:qFormat/>
    <w:uiPriority w:val="0"/>
    <w:pPr>
      <w:ind w:firstLine="420" w:firstLineChars="200"/>
    </w:pPr>
    <w:rPr>
      <w:rFonts w:ascii="Calibri" w:hAnsi="Calibri"/>
      <w:szCs w:val="22"/>
    </w:rPr>
  </w:style>
  <w:style w:type="character" w:customStyle="1" w:styleId="48">
    <w:name w:val="纯文本 字符"/>
    <w:basedOn w:val="27"/>
    <w:link w:val="46"/>
    <w:qFormat/>
    <w:uiPriority w:val="0"/>
    <w:rPr>
      <w:rFonts w:ascii="宋体" w:hAnsi="Courier New" w:eastAsia="宋体" w:cs="Times New Roman"/>
      <w:kern w:val="0"/>
      <w:sz w:val="24"/>
      <w:szCs w:val="24"/>
    </w:rPr>
  </w:style>
  <w:style w:type="character" w:customStyle="1" w:styleId="49">
    <w:name w:val="标题 1 Char"/>
    <w:basedOn w:val="27"/>
    <w:link w:val="2"/>
    <w:qFormat/>
    <w:uiPriority w:val="9"/>
    <w:rPr>
      <w:rFonts w:ascii="Times New Roman" w:hAnsi="Times New Roman" w:eastAsia="宋体" w:cs="Times New Roman"/>
      <w:b/>
      <w:bCs/>
      <w:kern w:val="44"/>
      <w:sz w:val="44"/>
      <w:szCs w:val="44"/>
    </w:rPr>
  </w:style>
  <w:style w:type="paragraph" w:customStyle="1" w:styleId="5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批注主题 Char"/>
    <w:basedOn w:val="42"/>
    <w:link w:val="23"/>
    <w:semiHidden/>
    <w:qFormat/>
    <w:uiPriority w:val="99"/>
    <w:rPr>
      <w:rFonts w:ascii="Times New Roman" w:hAnsi="Times New Roman" w:eastAsia="宋体" w:cs="Times New Roman"/>
      <w:b/>
      <w:bCs/>
      <w:szCs w:val="24"/>
    </w:rPr>
  </w:style>
  <w:style w:type="paragraph" w:customStyle="1" w:styleId="5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保留正文"/>
    <w:basedOn w:val="10"/>
    <w:qFormat/>
    <w:uiPriority w:val="0"/>
    <w:pPr>
      <w:keepNext/>
      <w:spacing w:after="160"/>
    </w:pPr>
  </w:style>
  <w:style w:type="character" w:customStyle="1" w:styleId="54">
    <w:name w:val="Char Char72"/>
    <w:qFormat/>
    <w:uiPriority w:val="99"/>
    <w:rPr>
      <w:rFonts w:ascii="宋体" w:hAnsi="Courier New" w:cs="Times New Roman"/>
      <w:kern w:val="2"/>
      <w:sz w:val="21"/>
    </w:rPr>
  </w:style>
  <w:style w:type="paragraph" w:customStyle="1" w:styleId="55">
    <w:name w:val="正文_1"/>
    <w:basedOn w:val="1"/>
    <w:qFormat/>
    <w:uiPriority w:val="0"/>
    <w:rPr>
      <w:rFonts w:ascii="Calibri" w:hAnsi="Calibri" w:cs="Calibri"/>
      <w:szCs w:val="21"/>
    </w:rPr>
  </w:style>
  <w:style w:type="character" w:customStyle="1" w:styleId="56">
    <w:name w:val="标题 2 Char"/>
    <w:basedOn w:val="27"/>
    <w:link w:val="3"/>
    <w:qFormat/>
    <w:uiPriority w:val="9"/>
    <w:rPr>
      <w:rFonts w:asciiTheme="majorHAnsi" w:hAnsiTheme="majorHAnsi" w:eastAsiaTheme="majorEastAsia" w:cstheme="majorBidi"/>
      <w:b/>
      <w:bCs/>
      <w:kern w:val="2"/>
      <w:sz w:val="32"/>
      <w:szCs w:val="32"/>
    </w:rPr>
  </w:style>
  <w:style w:type="paragraph" w:customStyle="1" w:styleId="5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正文首行缩进 2 Char"/>
    <w:basedOn w:val="40"/>
    <w:link w:val="24"/>
    <w:qFormat/>
    <w:uiPriority w:val="99"/>
    <w:rPr>
      <w:rFonts w:ascii="Times New Roman" w:hAnsi="Times New Roman" w:eastAsia="宋体" w:cs="Times New Roman"/>
      <w:kern w:val="2"/>
      <w:sz w:val="21"/>
      <w:szCs w:val="24"/>
    </w:rPr>
  </w:style>
  <w:style w:type="paragraph" w:customStyle="1" w:styleId="59">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未处理的提及1"/>
    <w:basedOn w:val="27"/>
    <w:semiHidden/>
    <w:unhideWhenUsed/>
    <w:qFormat/>
    <w:uiPriority w:val="99"/>
    <w:rPr>
      <w:color w:val="605E5C"/>
      <w:shd w:val="clear" w:color="auto" w:fill="E1DFDD"/>
    </w:rPr>
  </w:style>
  <w:style w:type="paragraph" w:customStyle="1" w:styleId="61">
    <w:name w:val="样式2"/>
    <w:basedOn w:val="1"/>
    <w:qFormat/>
    <w:uiPriority w:val="0"/>
    <w:pPr>
      <w:adjustRightInd w:val="0"/>
      <w:spacing w:line="410" w:lineRule="atLeast"/>
      <w:jc w:val="left"/>
      <w:textAlignment w:val="baseline"/>
    </w:pPr>
    <w:rPr>
      <w:kern w:val="0"/>
      <w:sz w:val="24"/>
      <w:szCs w:val="20"/>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3">
    <w:name w:val="纯文本 Char"/>
    <w:qFormat/>
    <w:uiPriority w:val="0"/>
    <w:rPr>
      <w:rFonts w:ascii="宋体" w:hAnsi="Courier New" w:eastAsia="宋体"/>
      <w:sz w:val="21"/>
      <w:szCs w:val="21"/>
      <w:lang w:val="en-US" w:eastAsia="zh-CN" w:bidi="ar-SA"/>
    </w:rPr>
  </w:style>
  <w:style w:type="character" w:customStyle="1" w:styleId="64">
    <w:name w:val="批注文字 Char"/>
    <w:semiHidden/>
    <w:qFormat/>
    <w:uiPriority w:val="0"/>
    <w:rPr>
      <w:kern w:val="2"/>
      <w:sz w:val="21"/>
      <w:szCs w:val="24"/>
    </w:rPr>
  </w:style>
  <w:style w:type="character" w:customStyle="1" w:styleId="65">
    <w:name w:val="标题 5 字符"/>
    <w:basedOn w:val="27"/>
    <w:semiHidden/>
    <w:qFormat/>
    <w:uiPriority w:val="9"/>
    <w:rPr>
      <w:b/>
      <w:bCs/>
      <w:kern w:val="2"/>
      <w:sz w:val="28"/>
      <w:szCs w:val="28"/>
    </w:rPr>
  </w:style>
  <w:style w:type="character" w:customStyle="1" w:styleId="66">
    <w:name w:val="标题 5 Char"/>
    <w:link w:val="5"/>
    <w:qFormat/>
    <w:uiPriority w:val="0"/>
    <w:rPr>
      <w:b/>
      <w:bCs/>
      <w:kern w:val="2"/>
      <w:sz w:val="28"/>
      <w:szCs w:val="28"/>
      <w:lang w:val="zh-CN" w:eastAsia="zh-CN"/>
    </w:rPr>
  </w:style>
  <w:style w:type="paragraph" w:customStyle="1" w:styleId="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biaoge"/>
    <w:basedOn w:val="1"/>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3AF3D5-7E95-4645-A9B1-87C4FD60786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59</Pages>
  <Words>3050</Words>
  <Characters>3465</Characters>
  <Lines>196</Lines>
  <Paragraphs>55</Paragraphs>
  <TotalTime>1</TotalTime>
  <ScaleCrop>false</ScaleCrop>
  <LinksUpToDate>false</LinksUpToDate>
  <CharactersWithSpaces>3614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2024-04-19T07:28:00Z</dcterms:created>
  <dc:creator>徐沅本</dc:creator>
  <cp:lastModifiedBy>飞赤</cp:lastModifiedBy>
  <cp:lastPrinted>2025-11-12T02:23:00Z</cp:lastPrinted>
  <dcterms:modified xsi:type="dcterms:W3CDTF">2026-01-22T07:14:09Z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E408ED31BA2749E5A53BD10438E3D505_13</vt:lpwstr>
  </property>
  <property fmtid="{D5CDD505-2E9C-101B-9397-08002B2CF9AE}" pid="4" name="KSOTemplateDocerSaveRecord">
    <vt:lpwstr>eyJoZGlkIjoiMGE1YzRjY2RlNjMzNzRhYmI4OWZhZTllZjQ2MjlmN2QiLCJ1c2VySWQiOiI3NTgxNDA2NDkifQ==</vt:lpwstr>
  </property>
</Properties>
</file>