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1C34">
      <w:pPr>
        <w:spacing w:line="240" w:lineRule="auto"/>
        <w:ind w:firstLine="1767"/>
        <w:jc w:val="left"/>
        <w:rPr>
          <w:rFonts w:hint="eastAsia" w:ascii="宋体" w:hAnsi="宋体" w:eastAsia="宋体" w:cs="宋体"/>
          <w:b/>
          <w:bCs/>
          <w:caps/>
          <w:color w:val="auto"/>
          <w:spacing w:val="20"/>
          <w:sz w:val="84"/>
          <w:szCs w:val="84"/>
          <w:highlight w:val="none"/>
        </w:rPr>
      </w:pPr>
    </w:p>
    <w:p w14:paraId="4BD49467">
      <w:pPr>
        <w:spacing w:line="240" w:lineRule="auto"/>
        <w:rPr>
          <w:rFonts w:hint="eastAsia" w:ascii="宋体" w:hAnsi="宋体" w:eastAsia="宋体" w:cs="宋体"/>
          <w:color w:val="auto"/>
          <w:highlight w:val="none"/>
        </w:rPr>
      </w:pPr>
    </w:p>
    <w:p w14:paraId="45536FCC">
      <w:pPr>
        <w:spacing w:line="240" w:lineRule="auto"/>
        <w:jc w:val="distribute"/>
        <w:rPr>
          <w:rFonts w:hint="eastAsia" w:ascii="宋体" w:hAnsi="宋体" w:eastAsia="宋体" w:cs="宋体"/>
          <w:b/>
          <w:bCs/>
          <w:caps/>
          <w:color w:val="auto"/>
          <w:spacing w:val="20"/>
          <w:sz w:val="72"/>
          <w:szCs w:val="72"/>
          <w:highlight w:val="none"/>
          <w:lang w:eastAsia="zh-CN"/>
        </w:rPr>
      </w:pPr>
      <w:r>
        <w:rPr>
          <w:rFonts w:hint="eastAsia" w:ascii="宋体" w:hAnsi="宋体" w:eastAsia="宋体" w:cs="Times New Roman"/>
          <w:b/>
          <w:color w:val="auto"/>
          <w:sz w:val="36"/>
          <w:szCs w:val="36"/>
          <w:highlight w:val="none"/>
          <w:lang w:eastAsia="zh-CN"/>
        </w:rPr>
        <w:t>温州港南岳港务有限公司</w:t>
      </w:r>
    </w:p>
    <w:p w14:paraId="2BFFF509">
      <w:pPr>
        <w:spacing w:line="240" w:lineRule="auto"/>
        <w:rPr>
          <w:rFonts w:hint="eastAsia" w:ascii="宋体" w:hAnsi="宋体" w:eastAsia="宋体" w:cs="宋体"/>
          <w:b/>
          <w:bCs/>
          <w:color w:val="auto"/>
          <w:spacing w:val="26"/>
          <w:sz w:val="52"/>
          <w:highlight w:val="none"/>
        </w:rPr>
      </w:pPr>
    </w:p>
    <w:p w14:paraId="0FBED60A">
      <w:pPr>
        <w:spacing w:line="240" w:lineRule="auto"/>
        <w:rPr>
          <w:rFonts w:hint="eastAsia" w:ascii="宋体" w:hAnsi="宋体" w:eastAsia="宋体" w:cs="宋体"/>
          <w:b/>
          <w:bCs/>
          <w:color w:val="auto"/>
          <w:spacing w:val="26"/>
          <w:sz w:val="52"/>
          <w:highlight w:val="none"/>
        </w:rPr>
      </w:pPr>
    </w:p>
    <w:p w14:paraId="183A0B54">
      <w:pPr>
        <w:adjustRightInd w:val="0"/>
        <w:snapToGrid w:val="0"/>
        <w:spacing w:line="480" w:lineRule="auto"/>
        <w:ind w:right="361"/>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招 标 文 件</w:t>
      </w:r>
    </w:p>
    <w:p w14:paraId="5F3557ED">
      <w:pPr>
        <w:rPr>
          <w:rFonts w:hint="eastAsia" w:ascii="宋体" w:hAnsi="宋体" w:eastAsia="宋体" w:cs="宋体"/>
          <w:color w:val="auto"/>
          <w:highlight w:val="none"/>
        </w:rPr>
      </w:pPr>
    </w:p>
    <w:p w14:paraId="5C3B3192">
      <w:pPr>
        <w:tabs>
          <w:tab w:val="left" w:pos="1985"/>
          <w:tab w:val="left" w:pos="4860"/>
        </w:tabs>
        <w:spacing w:line="600" w:lineRule="exact"/>
        <w:ind w:left="2618" w:leftChars="450" w:right="-142" w:hanging="1673" w:hangingChars="417"/>
        <w:jc w:val="left"/>
        <w:rPr>
          <w:rFonts w:hint="eastAsia" w:ascii="宋体" w:hAnsi="宋体" w:eastAsia="宋体" w:cs="宋体"/>
          <w:b/>
          <w:color w:val="auto"/>
          <w:spacing w:val="40"/>
          <w:sz w:val="32"/>
          <w:szCs w:val="32"/>
          <w:highlight w:val="none"/>
          <w:lang w:eastAsia="zh-CN"/>
        </w:rPr>
      </w:pPr>
      <w:r>
        <w:rPr>
          <w:rFonts w:hint="eastAsia" w:ascii="宋体" w:hAnsi="宋体" w:eastAsia="宋体" w:cs="宋体"/>
          <w:b/>
          <w:color w:val="auto"/>
          <w:spacing w:val="40"/>
          <w:sz w:val="32"/>
          <w:szCs w:val="32"/>
          <w:highlight w:val="none"/>
          <w:lang w:eastAsia="zh-CN"/>
        </w:rPr>
        <w:t>项目编号：WYJZHFW2026006</w:t>
      </w:r>
      <w:r>
        <w:rPr>
          <w:rFonts w:hint="eastAsia" w:ascii="宋体" w:hAnsi="宋体" w:cs="宋体"/>
          <w:b/>
          <w:color w:val="auto"/>
          <w:spacing w:val="40"/>
          <w:sz w:val="32"/>
          <w:szCs w:val="32"/>
          <w:highlight w:val="none"/>
          <w:lang w:eastAsia="zh-CN"/>
        </w:rPr>
        <w:t>、NYZHFW2026028</w:t>
      </w:r>
    </w:p>
    <w:p w14:paraId="1ED1DD5B">
      <w:pPr>
        <w:tabs>
          <w:tab w:val="left" w:pos="1985"/>
          <w:tab w:val="left" w:pos="4860"/>
        </w:tabs>
        <w:spacing w:line="600" w:lineRule="exact"/>
        <w:ind w:left="2618" w:leftChars="450" w:right="-142" w:hanging="1673" w:hangingChars="417"/>
        <w:jc w:val="left"/>
        <w:rPr>
          <w:rFonts w:hint="eastAsia" w:ascii="宋体" w:hAnsi="宋体" w:eastAsia="宋体" w:cs="宋体"/>
          <w:b/>
          <w:color w:val="auto"/>
          <w:spacing w:val="40"/>
          <w:sz w:val="32"/>
          <w:szCs w:val="32"/>
          <w:highlight w:val="none"/>
          <w:lang w:eastAsia="zh-CN"/>
        </w:rPr>
      </w:pPr>
      <w:r>
        <w:rPr>
          <w:rFonts w:hint="eastAsia" w:ascii="宋体" w:hAnsi="宋体" w:eastAsia="宋体" w:cs="宋体"/>
          <w:b/>
          <w:color w:val="auto"/>
          <w:spacing w:val="40"/>
          <w:sz w:val="32"/>
          <w:szCs w:val="32"/>
          <w:highlight w:val="none"/>
          <w:lang w:eastAsia="zh-CN"/>
        </w:rPr>
        <w:t>项目名称：</w:t>
      </w:r>
      <w:r>
        <w:rPr>
          <w:rFonts w:hint="eastAsia" w:ascii="宋体" w:hAnsi="宋体" w:cs="宋体"/>
          <w:b/>
          <w:color w:val="auto"/>
          <w:spacing w:val="40"/>
          <w:sz w:val="32"/>
          <w:szCs w:val="32"/>
          <w:highlight w:val="none"/>
          <w:lang w:eastAsia="zh-CN"/>
        </w:rPr>
        <w:t>温州港南岳港务有限公司、温州港益嘉港务有限公司植物有害生物本底调查</w:t>
      </w:r>
      <w:r>
        <w:rPr>
          <w:rFonts w:hint="eastAsia" w:ascii="宋体" w:hAnsi="宋体" w:cs="宋体"/>
          <w:b/>
          <w:color w:val="auto"/>
          <w:spacing w:val="40"/>
          <w:sz w:val="32"/>
          <w:szCs w:val="32"/>
          <w:highlight w:val="none"/>
          <w:lang w:val="en-US" w:eastAsia="zh-CN"/>
        </w:rPr>
        <w:t>服务</w:t>
      </w:r>
    </w:p>
    <w:p w14:paraId="3B483EB9">
      <w:pPr>
        <w:tabs>
          <w:tab w:val="left" w:pos="1985"/>
          <w:tab w:val="left" w:pos="4860"/>
        </w:tabs>
        <w:spacing w:line="600" w:lineRule="exact"/>
        <w:ind w:left="2618" w:leftChars="450" w:right="-142" w:hanging="1673" w:hangingChars="417"/>
        <w:jc w:val="left"/>
        <w:rPr>
          <w:rFonts w:hint="eastAsia" w:ascii="宋体" w:hAnsi="宋体" w:eastAsia="宋体" w:cs="宋体"/>
          <w:b/>
          <w:color w:val="auto"/>
          <w:spacing w:val="40"/>
          <w:sz w:val="32"/>
          <w:szCs w:val="32"/>
          <w:highlight w:val="none"/>
          <w:lang w:eastAsia="zh-CN"/>
        </w:rPr>
      </w:pPr>
      <w:r>
        <w:rPr>
          <w:rFonts w:hint="eastAsia" w:ascii="宋体" w:hAnsi="宋体" w:eastAsia="宋体" w:cs="宋体"/>
          <w:b/>
          <w:color w:val="auto"/>
          <w:spacing w:val="40"/>
          <w:sz w:val="32"/>
          <w:szCs w:val="32"/>
          <w:highlight w:val="none"/>
          <w:lang w:eastAsia="zh-CN"/>
        </w:rPr>
        <w:t>采购方式：公开招标</w:t>
      </w:r>
    </w:p>
    <w:p w14:paraId="13C473D2">
      <w:pPr>
        <w:rPr>
          <w:rFonts w:hint="eastAsia" w:ascii="宋体" w:hAnsi="宋体" w:eastAsia="宋体" w:cs="宋体"/>
          <w:color w:val="auto"/>
          <w:highlight w:val="none"/>
        </w:rPr>
      </w:pPr>
    </w:p>
    <w:p w14:paraId="222B123A">
      <w:pPr>
        <w:rPr>
          <w:rFonts w:hint="eastAsia" w:ascii="宋体" w:hAnsi="宋体" w:eastAsia="宋体" w:cs="宋体"/>
          <w:color w:val="auto"/>
          <w:highlight w:val="none"/>
        </w:rPr>
      </w:pPr>
    </w:p>
    <w:p w14:paraId="354326AE">
      <w:pPr>
        <w:rPr>
          <w:rFonts w:hint="eastAsia" w:ascii="宋体" w:hAnsi="宋体" w:eastAsia="宋体" w:cs="宋体"/>
          <w:color w:val="auto"/>
          <w:highlight w:val="none"/>
        </w:rPr>
      </w:pPr>
    </w:p>
    <w:p w14:paraId="04799FCB">
      <w:pPr>
        <w:rPr>
          <w:rFonts w:hint="eastAsia" w:ascii="宋体" w:hAnsi="宋体" w:eastAsia="宋体" w:cs="宋体"/>
          <w:color w:val="auto"/>
          <w:highlight w:val="none"/>
        </w:rPr>
      </w:pPr>
    </w:p>
    <w:p w14:paraId="4FF772CB">
      <w:pPr>
        <w:spacing w:line="600" w:lineRule="exact"/>
        <w:jc w:val="center"/>
        <w:rPr>
          <w:rFonts w:hint="eastAsia" w:ascii="宋体" w:hAnsi="宋体" w:eastAsia="宋体" w:cs="宋体"/>
          <w:color w:val="auto"/>
          <w:spacing w:val="30"/>
          <w:sz w:val="32"/>
          <w:szCs w:val="32"/>
          <w:highlight w:val="none"/>
          <w:lang w:eastAsia="zh-CN"/>
        </w:rPr>
      </w:pPr>
      <w:r>
        <w:rPr>
          <w:rFonts w:hint="eastAsia" w:ascii="宋体" w:hAnsi="宋体" w:eastAsia="宋体" w:cs="宋体"/>
          <w:color w:val="auto"/>
          <w:spacing w:val="30"/>
          <w:sz w:val="32"/>
          <w:szCs w:val="32"/>
          <w:highlight w:val="none"/>
        </w:rPr>
        <w:t>招 标 人：</w:t>
      </w:r>
      <w:r>
        <w:rPr>
          <w:rFonts w:hint="eastAsia" w:ascii="宋体" w:hAnsi="宋体" w:cs="宋体"/>
          <w:color w:val="auto"/>
          <w:spacing w:val="30"/>
          <w:sz w:val="32"/>
          <w:szCs w:val="32"/>
          <w:highlight w:val="none"/>
          <w:lang w:eastAsia="zh-CN"/>
        </w:rPr>
        <w:t>温州港南岳港务有限公司</w:t>
      </w:r>
    </w:p>
    <w:p w14:paraId="4859062C">
      <w:pPr>
        <w:spacing w:line="600" w:lineRule="exact"/>
        <w:jc w:val="center"/>
        <w:rPr>
          <w:rFonts w:hint="eastAsia" w:ascii="宋体" w:hAnsi="宋体" w:eastAsia="宋体" w:cs="宋体"/>
          <w:color w:val="auto"/>
          <w:spacing w:val="30"/>
          <w:sz w:val="32"/>
          <w:szCs w:val="32"/>
          <w:highlight w:val="none"/>
          <w:lang w:eastAsia="zh-CN"/>
        </w:rPr>
      </w:pPr>
      <w:r>
        <w:rPr>
          <w:rFonts w:hint="eastAsia" w:ascii="宋体" w:hAnsi="宋体" w:eastAsia="宋体" w:cs="宋体"/>
          <w:color w:val="auto"/>
          <w:spacing w:val="30"/>
          <w:sz w:val="32"/>
          <w:szCs w:val="32"/>
          <w:highlight w:val="none"/>
        </w:rPr>
        <w:t>招标代理机构：</w:t>
      </w:r>
      <w:r>
        <w:rPr>
          <w:rFonts w:hint="eastAsia" w:ascii="宋体" w:hAnsi="宋体" w:cs="宋体"/>
          <w:color w:val="auto"/>
          <w:spacing w:val="30"/>
          <w:sz w:val="32"/>
          <w:szCs w:val="32"/>
          <w:highlight w:val="none"/>
          <w:lang w:eastAsia="zh-CN"/>
        </w:rPr>
        <w:t>大地工程咨询有限公司</w:t>
      </w:r>
    </w:p>
    <w:p w14:paraId="148902A7">
      <w:pPr>
        <w:spacing w:line="600" w:lineRule="exact"/>
        <w:jc w:val="center"/>
        <w:rPr>
          <w:rFonts w:hint="eastAsia" w:ascii="宋体" w:hAnsi="宋体" w:eastAsia="宋体" w:cs="宋体"/>
          <w:color w:val="auto"/>
          <w:spacing w:val="30"/>
          <w:sz w:val="32"/>
          <w:szCs w:val="32"/>
          <w:highlight w:val="none"/>
        </w:rPr>
      </w:pPr>
      <w:r>
        <w:rPr>
          <w:rFonts w:hint="eastAsia" w:ascii="宋体" w:hAnsi="宋体" w:eastAsia="宋体" w:cs="宋体"/>
          <w:color w:val="auto"/>
          <w:spacing w:val="30"/>
          <w:sz w:val="32"/>
          <w:szCs w:val="32"/>
          <w:highlight w:val="none"/>
        </w:rPr>
        <w:t>二〇二</w:t>
      </w:r>
      <w:r>
        <w:rPr>
          <w:rFonts w:hint="eastAsia" w:ascii="宋体" w:hAnsi="宋体" w:cs="宋体"/>
          <w:color w:val="auto"/>
          <w:spacing w:val="30"/>
          <w:sz w:val="32"/>
          <w:szCs w:val="32"/>
          <w:highlight w:val="none"/>
          <w:lang w:val="en-US" w:eastAsia="zh-CN"/>
        </w:rPr>
        <w:t>六</w:t>
      </w:r>
      <w:r>
        <w:rPr>
          <w:rFonts w:hint="eastAsia" w:ascii="宋体" w:hAnsi="宋体" w:eastAsia="宋体" w:cs="宋体"/>
          <w:color w:val="auto"/>
          <w:spacing w:val="30"/>
          <w:sz w:val="32"/>
          <w:szCs w:val="32"/>
          <w:highlight w:val="none"/>
        </w:rPr>
        <w:t>年</w:t>
      </w:r>
      <w:r>
        <w:rPr>
          <w:rFonts w:hint="eastAsia" w:ascii="宋体" w:hAnsi="宋体" w:cs="宋体"/>
          <w:color w:val="auto"/>
          <w:spacing w:val="30"/>
          <w:sz w:val="32"/>
          <w:szCs w:val="32"/>
          <w:highlight w:val="none"/>
          <w:lang w:val="en-US" w:eastAsia="zh-CN"/>
        </w:rPr>
        <w:t>一</w:t>
      </w:r>
      <w:r>
        <w:rPr>
          <w:rFonts w:hint="eastAsia" w:ascii="宋体" w:hAnsi="宋体" w:eastAsia="宋体" w:cs="宋体"/>
          <w:color w:val="auto"/>
          <w:spacing w:val="30"/>
          <w:sz w:val="32"/>
          <w:szCs w:val="32"/>
          <w:highlight w:val="none"/>
        </w:rPr>
        <w:t>月</w:t>
      </w:r>
    </w:p>
    <w:p w14:paraId="73CC06BD">
      <w:pPr>
        <w:rPr>
          <w:rFonts w:hint="eastAsia" w:ascii="宋体" w:hAnsi="宋体" w:eastAsia="宋体" w:cs="宋体"/>
          <w:color w:val="auto"/>
          <w:highlight w:val="none"/>
        </w:rPr>
        <w:sectPr>
          <w:pgSz w:w="11907" w:h="16840"/>
          <w:pgMar w:top="1134" w:right="1134" w:bottom="1134" w:left="1134" w:header="851" w:footer="992" w:gutter="0"/>
          <w:pgNumType w:start="1"/>
          <w:cols w:space="720" w:num="1"/>
          <w:docGrid w:linePitch="312" w:charSpace="0"/>
        </w:sectPr>
      </w:pPr>
    </w:p>
    <w:p w14:paraId="5ECA21BE">
      <w:pPr>
        <w:jc w:val="center"/>
        <w:outlineLvl w:val="0"/>
        <w:rPr>
          <w:rFonts w:hint="eastAsia" w:ascii="宋体" w:hAnsi="宋体" w:eastAsia="宋体" w:cs="宋体"/>
          <w:color w:val="auto"/>
          <w:sz w:val="36"/>
          <w:szCs w:val="36"/>
          <w:highlight w:val="none"/>
        </w:rPr>
      </w:pPr>
      <w:bookmarkStart w:id="0" w:name="_Toc32624"/>
      <w:bookmarkStart w:id="1" w:name="_Toc3900"/>
      <w:r>
        <w:rPr>
          <w:rFonts w:hint="eastAsia" w:ascii="宋体" w:hAnsi="宋体" w:eastAsia="宋体" w:cs="宋体"/>
          <w:color w:val="auto"/>
          <w:sz w:val="36"/>
          <w:szCs w:val="36"/>
          <w:highlight w:val="none"/>
        </w:rPr>
        <w:t>目  录</w:t>
      </w:r>
      <w:bookmarkEnd w:id="0"/>
      <w:bookmarkEnd w:id="1"/>
    </w:p>
    <w:p w14:paraId="7FFFD498">
      <w:pPr>
        <w:pStyle w:val="24"/>
        <w:tabs>
          <w:tab w:val="right" w:leader="dot" w:pos="9203"/>
        </w:tabs>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"1-2"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TOC \o "1-3" \h \z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"_Toc50128367"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第一章招标公告</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fldChar w:fldCharType="end"/>
      </w:r>
    </w:p>
    <w:p w14:paraId="7C1E96C5">
      <w:pPr>
        <w:pStyle w:val="24"/>
        <w:tabs>
          <w:tab w:val="right" w:leader="dot" w:pos="9203"/>
        </w:tabs>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"_Toc50128368"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第二章招标需求</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5</w:t>
      </w:r>
      <w:r>
        <w:rPr>
          <w:rFonts w:hint="eastAsia" w:ascii="宋体" w:hAnsi="宋体" w:eastAsia="宋体" w:cs="宋体"/>
          <w:b w:val="0"/>
          <w:bCs w:val="0"/>
          <w:color w:val="auto"/>
          <w:sz w:val="24"/>
          <w:szCs w:val="24"/>
          <w:highlight w:val="none"/>
        </w:rPr>
        <w:fldChar w:fldCharType="end"/>
      </w:r>
    </w:p>
    <w:p w14:paraId="155DAFDE">
      <w:pPr>
        <w:pStyle w:val="24"/>
        <w:tabs>
          <w:tab w:val="right" w:leader="dot" w:pos="9203"/>
        </w:tabs>
        <w:spacing w:line="48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"_Toc50128378"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第三章投标人须知</w:t>
      </w:r>
      <w:r>
        <w:rPr>
          <w:rFonts w:hint="eastAsia" w:ascii="宋体" w:hAnsi="宋体" w:eastAsia="宋体" w:cs="宋体"/>
          <w:b w:val="0"/>
          <w:bCs w:val="0"/>
          <w:color w:val="auto"/>
          <w:sz w:val="24"/>
          <w:szCs w:val="24"/>
          <w:highlight w:val="none"/>
        </w:rPr>
        <w:tab/>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fldChar w:fldCharType="end"/>
      </w:r>
    </w:p>
    <w:p w14:paraId="4FBD3366">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"_Toc50128379"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一总则</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3</w:t>
      </w:r>
    </w:p>
    <w:p w14:paraId="414D886A">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"_Toc50128389"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二招标文件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4</w:t>
      </w:r>
    </w:p>
    <w:p w14:paraId="184A3621">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"_Toc50128390"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三投标文件的编制</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4</w:t>
      </w:r>
    </w:p>
    <w:p w14:paraId="6054E117">
      <w:pPr>
        <w:pStyle w:val="24"/>
        <w:tabs>
          <w:tab w:val="right" w:leader="dot" w:pos="9203"/>
        </w:tabs>
        <w:spacing w:line="48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"_Toc50128403"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四重新招标</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8</w:t>
      </w:r>
    </w:p>
    <w:p w14:paraId="04D02738">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"_Toc50128404"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五开标</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8</w:t>
      </w:r>
    </w:p>
    <w:p w14:paraId="73CDDE38">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"_Toc50128404"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六</w:t>
      </w:r>
      <w:r>
        <w:rPr>
          <w:rStyle w:val="32"/>
          <w:rFonts w:hint="eastAsia" w:ascii="宋体" w:hAnsi="宋体" w:eastAsia="宋体" w:cs="宋体"/>
          <w:b w:val="0"/>
          <w:bCs w:val="0"/>
          <w:color w:val="auto"/>
          <w:sz w:val="24"/>
          <w:szCs w:val="24"/>
          <w:highlight w:val="none"/>
        </w:rPr>
        <w:t>评标</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9</w:t>
      </w:r>
    </w:p>
    <w:p w14:paraId="75093DAE">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"_Toc50128407"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第四章评标办法及评分标准</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3</w:t>
      </w:r>
    </w:p>
    <w:p w14:paraId="2918E378">
      <w:pPr>
        <w:pStyle w:val="24"/>
        <w:tabs>
          <w:tab w:val="right" w:leader="dot" w:pos="9203"/>
        </w:tabs>
        <w:spacing w:line="48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"_Toc50128408"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第五章合同主要条款</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6</w:t>
      </w:r>
    </w:p>
    <w:p w14:paraId="7FF845DF">
      <w:pPr>
        <w:pStyle w:val="24"/>
        <w:tabs>
          <w:tab w:val="right" w:leader="dot" w:pos="9203"/>
        </w:tabs>
        <w:spacing w:line="48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"_Toc50128410" </w:instrText>
      </w:r>
      <w:r>
        <w:rPr>
          <w:rFonts w:hint="eastAsia" w:ascii="宋体" w:hAnsi="宋体" w:eastAsia="宋体" w:cs="宋体"/>
          <w:b w:val="0"/>
          <w:bCs w:val="0"/>
          <w:color w:val="auto"/>
          <w:sz w:val="24"/>
          <w:szCs w:val="24"/>
          <w:highlight w:val="none"/>
        </w:rPr>
        <w:fldChar w:fldCharType="separate"/>
      </w:r>
      <w:r>
        <w:rPr>
          <w:rStyle w:val="32"/>
          <w:rFonts w:hint="eastAsia" w:ascii="宋体" w:hAnsi="宋体" w:eastAsia="宋体" w:cs="宋体"/>
          <w:b w:val="0"/>
          <w:bCs w:val="0"/>
          <w:color w:val="auto"/>
          <w:sz w:val="24"/>
          <w:szCs w:val="24"/>
          <w:highlight w:val="none"/>
        </w:rPr>
        <w:t>第六章投标文件格式</w:t>
      </w:r>
      <w:r>
        <w:rPr>
          <w:rFonts w:hint="eastAsia" w:ascii="宋体" w:hAnsi="宋体" w:eastAsia="宋体" w:cs="宋体"/>
          <w:b w:val="0"/>
          <w:bCs w:val="0"/>
          <w:color w:val="auto"/>
          <w:sz w:val="24"/>
          <w:szCs w:val="24"/>
          <w:highlight w:val="none"/>
        </w:rPr>
        <w:tab/>
      </w:r>
      <w:r>
        <w:rPr>
          <w:rFonts w:hint="eastAsia" w:ascii="宋体" w:hAnsi="宋体" w:eastAsia="宋体" w:cs="宋体"/>
          <w:b w:val="0"/>
          <w:bCs w:val="0"/>
          <w:color w:val="auto"/>
          <w:sz w:val="24"/>
          <w:szCs w:val="24"/>
          <w:highlight w:val="none"/>
        </w:rPr>
        <w:fldChar w:fldCharType="end"/>
      </w:r>
      <w:r>
        <w:rPr>
          <w:rFonts w:hint="eastAsia" w:ascii="宋体" w:hAnsi="宋体" w:cs="宋体"/>
          <w:b w:val="0"/>
          <w:bCs w:val="0"/>
          <w:color w:val="auto"/>
          <w:sz w:val="24"/>
          <w:szCs w:val="24"/>
          <w:highlight w:val="none"/>
          <w:lang w:val="en-US" w:eastAsia="zh-CN"/>
        </w:rPr>
        <w:t>44</w:t>
      </w:r>
    </w:p>
    <w:p w14:paraId="7E198407">
      <w:pPr>
        <w:pStyle w:val="24"/>
        <w:tabs>
          <w:tab w:val="right" w:leader="dot" w:pos="9639"/>
        </w:tabs>
        <w:rPr>
          <w:rFonts w:hint="eastAsia" w:ascii="宋体" w:hAnsi="宋体" w:eastAsia="宋体" w:cs="宋体"/>
          <w:color w:val="auto"/>
          <w:sz w:val="22"/>
          <w:szCs w:val="22"/>
          <w:highlight w:val="none"/>
        </w:rPr>
      </w:pPr>
      <w:r>
        <w:rPr>
          <w:rFonts w:hint="eastAsia" w:ascii="宋体" w:hAnsi="宋体" w:eastAsia="宋体" w:cs="宋体"/>
          <w:b w:val="0"/>
          <w:bCs w:val="0"/>
          <w:color w:val="auto"/>
          <w:sz w:val="24"/>
          <w:szCs w:val="24"/>
          <w:highlight w:val="none"/>
          <w:lang w:val="zh-CN"/>
        </w:rPr>
        <w:fldChar w:fldCharType="end"/>
      </w:r>
    </w:p>
    <w:p w14:paraId="00F37763">
      <w:pPr>
        <w:rPr>
          <w:rFonts w:hint="eastAsia" w:ascii="宋体" w:hAnsi="宋体" w:eastAsia="宋体" w:cs="宋体"/>
          <w:color w:val="auto"/>
          <w:highlight w:val="none"/>
        </w:rPr>
      </w:pPr>
      <w:r>
        <w:rPr>
          <w:rFonts w:hint="eastAsia" w:ascii="宋体" w:hAnsi="宋体" w:eastAsia="宋体" w:cs="宋体"/>
          <w:color w:val="auto"/>
          <w:sz w:val="22"/>
          <w:szCs w:val="22"/>
          <w:highlight w:val="none"/>
        </w:rPr>
        <w:fldChar w:fldCharType="end"/>
      </w:r>
    </w:p>
    <w:p w14:paraId="0B17AAAB">
      <w:pPr>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注：招标文件中部分加“★”的条款，为招标的实质性要求和条件，着重提醒各投标人注意，并认真查看招标文件中的每一个条款及要求，因误读招标文件而造成的后果，招标人概不负责。</w:t>
      </w:r>
    </w:p>
    <w:p w14:paraId="1635622F">
      <w:pPr>
        <w:ind w:firstLine="440" w:firstLineChars="200"/>
        <w:rPr>
          <w:rFonts w:hint="eastAsia" w:ascii="宋体" w:hAnsi="宋体" w:eastAsia="宋体" w:cs="宋体"/>
          <w:color w:val="auto"/>
          <w:sz w:val="22"/>
          <w:highlight w:val="none"/>
        </w:rPr>
      </w:pPr>
    </w:p>
    <w:p w14:paraId="7AD0BC98">
      <w:pPr>
        <w:pStyle w:val="2"/>
        <w:spacing w:line="240" w:lineRule="auto"/>
        <w:rPr>
          <w:rFonts w:hint="eastAsia" w:ascii="宋体" w:hAnsi="宋体" w:eastAsia="宋体" w:cs="宋体"/>
          <w:color w:val="auto"/>
          <w:highlight w:val="none"/>
        </w:rPr>
        <w:sectPr>
          <w:footerReference r:id="rId5" w:type="default"/>
          <w:pgSz w:w="11906" w:h="16838"/>
          <w:pgMar w:top="1134" w:right="1134" w:bottom="1134" w:left="1134" w:header="709" w:footer="851" w:gutter="0"/>
          <w:pgNumType w:start="1"/>
          <w:cols w:space="720" w:num="1"/>
          <w:docGrid w:linePitch="312" w:charSpace="0"/>
        </w:sectPr>
      </w:pPr>
      <w:bookmarkStart w:id="2" w:name="_Toc15558"/>
      <w:bookmarkStart w:id="3" w:name="_Toc24969"/>
      <w:bookmarkStart w:id="4" w:name="_Toc15980"/>
      <w:bookmarkStart w:id="5" w:name="_Toc5873"/>
      <w:bookmarkStart w:id="6" w:name="_Toc30285"/>
      <w:bookmarkStart w:id="7" w:name="_Toc11707"/>
      <w:bookmarkStart w:id="8" w:name="_Toc18888"/>
      <w:bookmarkStart w:id="9" w:name="_Toc25034"/>
    </w:p>
    <w:p w14:paraId="1982973B">
      <w:pPr>
        <w:pStyle w:val="2"/>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第一章   招标公告</w:t>
      </w:r>
      <w:bookmarkEnd w:id="2"/>
      <w:bookmarkEnd w:id="3"/>
      <w:bookmarkEnd w:id="4"/>
      <w:bookmarkEnd w:id="5"/>
      <w:bookmarkEnd w:id="6"/>
      <w:bookmarkEnd w:id="7"/>
      <w:bookmarkEnd w:id="8"/>
      <w:bookmarkEnd w:id="9"/>
    </w:p>
    <w:p w14:paraId="3FE9D91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大地工程咨询有限公司</w:t>
      </w:r>
      <w:r>
        <w:rPr>
          <w:rFonts w:hint="eastAsia" w:ascii="宋体" w:hAnsi="宋体" w:eastAsia="宋体" w:cs="宋体"/>
          <w:color w:val="auto"/>
          <w:sz w:val="21"/>
          <w:szCs w:val="21"/>
          <w:highlight w:val="none"/>
        </w:rPr>
        <w:t>受</w:t>
      </w:r>
      <w:r>
        <w:rPr>
          <w:rFonts w:hint="eastAsia" w:ascii="宋体" w:hAnsi="宋体" w:cs="宋体"/>
          <w:color w:val="auto"/>
          <w:sz w:val="21"/>
          <w:szCs w:val="21"/>
          <w:highlight w:val="none"/>
          <w:lang w:eastAsia="zh-CN"/>
        </w:rPr>
        <w:t>温州港南岳港务有限公司</w:t>
      </w:r>
      <w:r>
        <w:rPr>
          <w:rFonts w:hint="eastAsia" w:ascii="宋体" w:hAnsi="宋体" w:eastAsia="宋体" w:cs="宋体"/>
          <w:color w:val="auto"/>
          <w:sz w:val="21"/>
          <w:szCs w:val="21"/>
          <w:highlight w:val="none"/>
        </w:rPr>
        <w:t>的委托，就</w:t>
      </w:r>
      <w:r>
        <w:rPr>
          <w:rFonts w:hint="eastAsia" w:ascii="宋体" w:hAnsi="宋体" w:cs="宋体"/>
          <w:color w:val="auto"/>
          <w:sz w:val="21"/>
          <w:szCs w:val="21"/>
          <w:highlight w:val="none"/>
          <w:lang w:eastAsia="zh-CN"/>
        </w:rPr>
        <w:t>温州港南岳港务有限公司、温州港益嘉港务有限公司植物有害生物本底调查</w:t>
      </w:r>
      <w:r>
        <w:rPr>
          <w:rFonts w:hint="eastAsia" w:ascii="宋体" w:hAnsi="宋体" w:eastAsia="宋体" w:cs="宋体"/>
          <w:color w:val="auto"/>
          <w:sz w:val="21"/>
          <w:szCs w:val="21"/>
          <w:highlight w:val="none"/>
          <w:lang w:val="en-US" w:eastAsia="zh-CN"/>
        </w:rPr>
        <w:t>服务项目</w:t>
      </w:r>
      <w:r>
        <w:rPr>
          <w:rFonts w:hint="eastAsia" w:ascii="宋体" w:hAnsi="宋体" w:eastAsia="宋体" w:cs="宋体"/>
          <w:color w:val="auto"/>
          <w:sz w:val="21"/>
          <w:szCs w:val="21"/>
          <w:highlight w:val="none"/>
        </w:rPr>
        <w:t>进行公开招标，欢迎符合资格条件的投标人前来投标。</w:t>
      </w:r>
    </w:p>
    <w:p w14:paraId="04D238D4">
      <w:pPr>
        <w:tabs>
          <w:tab w:val="left" w:pos="1985"/>
          <w:tab w:val="left" w:pos="4860"/>
        </w:tabs>
        <w:spacing w:line="600" w:lineRule="exact"/>
        <w:ind w:right="-142" w:firstLine="420" w:firstLineChars="200"/>
        <w:jc w:val="left"/>
        <w:rPr>
          <w:rFonts w:hint="eastAsia" w:ascii="宋体" w:hAnsi="宋体" w:eastAsia="宋体" w:cs="宋体"/>
          <w:b w:val="0"/>
          <w:bCs/>
          <w:color w:val="auto"/>
          <w:sz w:val="21"/>
          <w:szCs w:val="21"/>
          <w:highlight w:val="none"/>
        </w:rPr>
      </w:pPr>
      <w:bookmarkStart w:id="10" w:name="_Toc26385"/>
      <w:bookmarkStart w:id="11" w:name="_Toc13048"/>
      <w:r>
        <w:rPr>
          <w:rFonts w:hint="eastAsia" w:ascii="宋体" w:hAnsi="宋体" w:eastAsia="宋体" w:cs="宋体"/>
          <w:b w:val="0"/>
          <w:bCs/>
          <w:color w:val="auto"/>
          <w:sz w:val="21"/>
          <w:szCs w:val="21"/>
          <w:highlight w:val="none"/>
        </w:rPr>
        <w:t>一、项目编号：</w:t>
      </w:r>
      <w:bookmarkEnd w:id="10"/>
      <w:bookmarkEnd w:id="11"/>
      <w:bookmarkStart w:id="12" w:name="_Toc8307"/>
      <w:bookmarkStart w:id="13" w:name="_Toc33"/>
      <w:r>
        <w:rPr>
          <w:rFonts w:hint="eastAsia" w:ascii="宋体" w:hAnsi="宋体" w:cs="宋体"/>
          <w:b w:val="0"/>
          <w:bCs/>
          <w:color w:val="auto"/>
          <w:sz w:val="21"/>
          <w:szCs w:val="21"/>
          <w:highlight w:val="none"/>
          <w:lang w:eastAsia="zh-CN"/>
        </w:rPr>
        <w:t xml:space="preserve">WYJZHFW2026006、NYZHFW2026028 </w:t>
      </w:r>
    </w:p>
    <w:p w14:paraId="3103F663">
      <w:pPr>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rPr>
        <w:t>二、项目名称：</w:t>
      </w:r>
      <w:r>
        <w:rPr>
          <w:rFonts w:hint="eastAsia" w:ascii="宋体" w:hAnsi="宋体" w:cs="宋体"/>
          <w:b w:val="0"/>
          <w:bCs/>
          <w:color w:val="auto"/>
          <w:sz w:val="21"/>
          <w:szCs w:val="21"/>
          <w:highlight w:val="none"/>
          <w:lang w:eastAsia="zh-CN"/>
        </w:rPr>
        <w:t>温州港南岳港务有限公司、温州港益嘉港务有限公司植物有害生物本底调查</w:t>
      </w:r>
      <w:r>
        <w:rPr>
          <w:rFonts w:hint="eastAsia" w:ascii="宋体" w:hAnsi="宋体" w:eastAsia="宋体" w:cs="宋体"/>
          <w:color w:val="auto"/>
          <w:sz w:val="21"/>
          <w:szCs w:val="21"/>
          <w:highlight w:val="none"/>
          <w:lang w:val="en-US" w:eastAsia="zh-CN"/>
        </w:rPr>
        <w:t>服务</w:t>
      </w:r>
    </w:p>
    <w:p w14:paraId="54160EB8">
      <w:pPr>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b w:val="0"/>
          <w:bCs/>
          <w:color w:val="auto"/>
          <w:sz w:val="21"/>
          <w:szCs w:val="21"/>
          <w:highlight w:val="none"/>
        </w:rPr>
        <w:t>三、</w:t>
      </w:r>
      <w:bookmarkEnd w:id="12"/>
      <w:bookmarkEnd w:id="13"/>
      <w:bookmarkStart w:id="14" w:name="_Toc19101"/>
      <w:bookmarkStart w:id="15" w:name="_Toc2908"/>
      <w:r>
        <w:rPr>
          <w:rFonts w:hint="eastAsia" w:ascii="宋体" w:hAnsi="宋体" w:eastAsia="宋体" w:cs="宋体"/>
          <w:color w:val="auto"/>
          <w:szCs w:val="21"/>
          <w:highlight w:val="none"/>
        </w:rPr>
        <w:t>最高限价：</w:t>
      </w:r>
      <w:r>
        <w:rPr>
          <w:rFonts w:hint="eastAsia" w:ascii="宋体" w:hAnsi="宋体" w:cs="宋体"/>
          <w:color w:val="auto"/>
          <w:szCs w:val="21"/>
          <w:highlight w:val="none"/>
          <w:lang w:val="en-US" w:eastAsia="zh-CN"/>
        </w:rPr>
        <w:t>每年限价42万元，2年总限价84万元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42万元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42万元）</w:t>
      </w:r>
    </w:p>
    <w:bookmarkEnd w:id="14"/>
    <w:bookmarkEnd w:id="15"/>
    <w:p w14:paraId="489783BA">
      <w:pPr>
        <w:ind w:firstLine="420" w:firstLineChars="200"/>
        <w:rPr>
          <w:rFonts w:hint="eastAsia" w:ascii="宋体" w:hAnsi="宋体" w:eastAsia="宋体" w:cs="宋体"/>
          <w:color w:val="auto"/>
          <w:sz w:val="21"/>
          <w:szCs w:val="21"/>
          <w:highlight w:val="none"/>
        </w:rPr>
      </w:pPr>
      <w:bookmarkStart w:id="16" w:name="_Toc16811"/>
      <w:bookmarkStart w:id="17" w:name="_Toc816"/>
      <w:r>
        <w:rPr>
          <w:rFonts w:hint="eastAsia" w:ascii="宋体" w:hAnsi="宋体" w:eastAsia="宋体" w:cs="宋体"/>
          <w:b w:val="0"/>
          <w:bCs/>
          <w:color w:val="auto"/>
          <w:sz w:val="21"/>
          <w:szCs w:val="21"/>
          <w:highlight w:val="none"/>
        </w:rPr>
        <w:t>四、</w:t>
      </w:r>
      <w:r>
        <w:rPr>
          <w:rFonts w:hint="eastAsia" w:ascii="宋体" w:hAnsi="宋体" w:eastAsia="宋体" w:cs="宋体"/>
          <w:color w:val="auto"/>
          <w:szCs w:val="21"/>
          <w:highlight w:val="none"/>
        </w:rPr>
        <w:t>采购需求：</w:t>
      </w:r>
      <w:r>
        <w:rPr>
          <w:rFonts w:hint="eastAsia" w:ascii="宋体" w:hAnsi="宋体" w:eastAsia="宋体" w:cs="宋体"/>
          <w:bCs/>
          <w:color w:val="auto"/>
          <w:sz w:val="21"/>
          <w:szCs w:val="21"/>
          <w:highlight w:val="none"/>
        </w:rPr>
        <w:t>以</w:t>
      </w:r>
      <w:r>
        <w:rPr>
          <w:rFonts w:hint="eastAsia" w:ascii="宋体" w:hAnsi="宋体" w:cs="宋体"/>
          <w:b w:val="0"/>
          <w:bCs/>
          <w:color w:val="auto"/>
          <w:sz w:val="21"/>
          <w:szCs w:val="21"/>
          <w:highlight w:val="none"/>
          <w:lang w:eastAsia="zh-CN"/>
        </w:rPr>
        <w:t>温州港南岳港务有限公司、温州港益嘉港务有限公司</w:t>
      </w:r>
      <w:r>
        <w:rPr>
          <w:rFonts w:hint="eastAsia" w:ascii="宋体" w:hAnsi="宋体" w:eastAsia="宋体" w:cs="宋体"/>
          <w:bCs/>
          <w:color w:val="auto"/>
          <w:sz w:val="21"/>
          <w:szCs w:val="21"/>
          <w:highlight w:val="none"/>
        </w:rPr>
        <w:t>运营区域为中心，根据实地情况，由监管区边界向外围延伸50m，进行本底调查。调查主要分为四部分：昆虫调查、杂草调查、病</w:t>
      </w:r>
      <w:r>
        <w:rPr>
          <w:rFonts w:hint="eastAsia" w:ascii="宋体" w:hAnsi="宋体" w:cs="宋体"/>
          <w:bCs/>
          <w:color w:val="auto"/>
          <w:sz w:val="21"/>
          <w:szCs w:val="21"/>
          <w:highlight w:val="none"/>
          <w:lang w:val="en-US" w:eastAsia="zh-CN"/>
        </w:rPr>
        <w:t>虫</w:t>
      </w:r>
      <w:r>
        <w:rPr>
          <w:rFonts w:hint="eastAsia" w:ascii="宋体" w:hAnsi="宋体" w:eastAsia="宋体" w:cs="宋体"/>
          <w:bCs/>
          <w:color w:val="auto"/>
          <w:sz w:val="21"/>
          <w:szCs w:val="21"/>
          <w:highlight w:val="none"/>
        </w:rPr>
        <w:t>害与线虫调查。具体详见招标文件第二章招标需求。</w:t>
      </w:r>
    </w:p>
    <w:p w14:paraId="1E0C4185">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、服务期：2年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合同一年一签</w:t>
      </w:r>
      <w:r>
        <w:rPr>
          <w:rFonts w:hint="eastAsia" w:ascii="宋体" w:hAnsi="宋体" w:eastAsia="宋体" w:cs="宋体"/>
          <w:color w:val="auto"/>
          <w:sz w:val="21"/>
          <w:szCs w:val="21"/>
          <w:highlight w:val="none"/>
        </w:rPr>
        <w:t>。</w:t>
      </w:r>
    </w:p>
    <w:p w14:paraId="0633DEFA">
      <w:pPr>
        <w:pStyle w:val="28"/>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Cs w:val="21"/>
          <w:highlight w:val="none"/>
        </w:rPr>
        <w:t>、招标方式：公开招标</w:t>
      </w:r>
    </w:p>
    <w:p w14:paraId="34941D89">
      <w:pPr>
        <w:ind w:firstLine="422" w:firstLineChars="200"/>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、投标人资格要求</w:t>
      </w:r>
      <w:bookmarkEnd w:id="16"/>
      <w:bookmarkEnd w:id="17"/>
    </w:p>
    <w:p w14:paraId="253F66A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（一）投标人的一般条件：</w:t>
      </w:r>
    </w:p>
    <w:p w14:paraId="0A616D5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p w14:paraId="0A28BE90">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2、具有履行合同所必需的能力。</w:t>
      </w:r>
    </w:p>
    <w:p w14:paraId="16343D9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3、具有良好的信誉和健全的财务会计制度。</w:t>
      </w:r>
    </w:p>
    <w:p w14:paraId="31675B2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近5年公司所承担业务外包范围内无1人死亡及以上安全生产责任事故（含劳务外包人员）；未被列入安全生产严重失信主体名单。未被列入失信被执行人名单、重大税收违法案件当事人名单、政府采购严重违法失信行为记录名单，信用信息以信用中国网站（www.creditchina.gov.cn）、中国政府采购网（www.ccgp.gov.cn）公布为准。</w:t>
      </w:r>
    </w:p>
    <w:p w14:paraId="0DC22F2A">
      <w:pPr>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5、单位负责人为同一人或者存在控股、管理关系的不同单位，不得参加同一标段投标，否则均按否决投标处理</w:t>
      </w:r>
      <w:bookmarkStart w:id="18" w:name="_Toc22514"/>
      <w:bookmarkStart w:id="19" w:name="_Toc15702"/>
      <w:r>
        <w:rPr>
          <w:rFonts w:hint="eastAsia" w:ascii="宋体" w:hAnsi="宋体" w:cs="宋体"/>
          <w:color w:val="auto"/>
          <w:sz w:val="21"/>
          <w:szCs w:val="21"/>
          <w:highlight w:val="none"/>
          <w:lang w:eastAsia="zh-CN"/>
        </w:rPr>
        <w:t>；</w:t>
      </w:r>
    </w:p>
    <w:p w14:paraId="52009153">
      <w:pPr>
        <w:pStyle w:val="11"/>
        <w:ind w:firstLine="420" w:firstLineChars="200"/>
        <w:rPr>
          <w:rFonts w:hint="default"/>
          <w:color w:val="auto"/>
          <w:highlight w:val="none"/>
          <w:lang w:val="en-US" w:eastAsia="zh-CN"/>
        </w:rPr>
      </w:pPr>
      <w:r>
        <w:rPr>
          <w:rFonts w:hint="eastAsia" w:ascii="宋体" w:hAnsi="宋体" w:cs="宋体"/>
          <w:color w:val="auto"/>
          <w:sz w:val="21"/>
          <w:szCs w:val="21"/>
          <w:highlight w:val="none"/>
          <w:lang w:val="en-US" w:eastAsia="zh-CN"/>
        </w:rPr>
        <w:t>6.用工规模：与本单位签订劳动合同（劳务协议）的服务人员不</w:t>
      </w:r>
      <w:bookmarkStart w:id="144" w:name="_GoBack"/>
      <w:bookmarkEnd w:id="144"/>
      <w:r>
        <w:rPr>
          <w:rFonts w:hint="eastAsia" w:ascii="宋体" w:hAnsi="宋体" w:cs="宋体"/>
          <w:color w:val="auto"/>
          <w:sz w:val="21"/>
          <w:szCs w:val="21"/>
          <w:highlight w:val="none"/>
          <w:lang w:val="en-US" w:eastAsia="zh-CN"/>
        </w:rPr>
        <w:t>少于20人。</w:t>
      </w:r>
    </w:p>
    <w:p w14:paraId="775BA8E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（二）投标人的特定条件：</w:t>
      </w:r>
    </w:p>
    <w:p w14:paraId="1E27B57C">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1、投标人须具备CMA、CNAS检测鉴定证书。</w:t>
      </w:r>
    </w:p>
    <w:p w14:paraId="670D2C93">
      <w:pPr>
        <w:pStyle w:val="28"/>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、本项目不允许联合体投标和分包转包，本次招标采用资格后审。</w:t>
      </w:r>
    </w:p>
    <w:p w14:paraId="294C44A7">
      <w:pPr>
        <w:ind w:firstLine="422" w:firstLineChars="200"/>
        <w:rPr>
          <w:rFonts w:hint="eastAsia" w:ascii="宋体" w:hAnsi="宋体" w:eastAsia="宋体" w:cs="宋体"/>
          <w:b/>
          <w:color w:val="auto"/>
          <w:sz w:val="21"/>
          <w:szCs w:val="21"/>
          <w:highlight w:val="none"/>
        </w:rPr>
      </w:pPr>
      <w:bookmarkStart w:id="20" w:name="_Toc7009"/>
      <w:bookmarkStart w:id="21" w:name="_Toc1440"/>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、投标保证金：</w:t>
      </w:r>
      <w:bookmarkEnd w:id="20"/>
      <w:bookmarkEnd w:id="21"/>
    </w:p>
    <w:p w14:paraId="47CE3E27">
      <w:pPr>
        <w:ind w:firstLine="420" w:firstLineChars="200"/>
        <w:rPr>
          <w:rFonts w:hint="eastAsia" w:ascii="宋体" w:hAnsi="宋体" w:eastAsia="宋体" w:cs="宋体"/>
          <w:color w:val="auto"/>
          <w:sz w:val="21"/>
          <w:szCs w:val="21"/>
          <w:highlight w:val="none"/>
        </w:rPr>
      </w:pPr>
      <w:bookmarkStart w:id="22" w:name="B30_其他事项"/>
      <w:r>
        <w:rPr>
          <w:rFonts w:hint="eastAsia" w:ascii="宋体" w:hAnsi="宋体" w:eastAsia="宋体" w:cs="宋体"/>
          <w:color w:val="auto"/>
          <w:sz w:val="21"/>
          <w:szCs w:val="21"/>
          <w:highlight w:val="none"/>
        </w:rPr>
        <w:t>1、投标保证金：</w:t>
      </w:r>
      <w:bookmarkEnd w:id="22"/>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lang w:val="en-US" w:eastAsia="zh-CN"/>
        </w:rPr>
        <w:t>捌</w:t>
      </w:r>
      <w:r>
        <w:rPr>
          <w:rFonts w:hint="eastAsia" w:ascii="宋体" w:hAnsi="宋体" w:eastAsia="宋体" w:cs="宋体"/>
          <w:color w:val="auto"/>
          <w:sz w:val="21"/>
          <w:szCs w:val="21"/>
          <w:highlight w:val="none"/>
        </w:rPr>
        <w:t>仟元整（¥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000.00）</w:t>
      </w:r>
    </w:p>
    <w:p w14:paraId="4C150C4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2、投标人应于</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：00 前通过浙江省海港集团电子招标采购平台汇入指定账户。</w:t>
      </w:r>
    </w:p>
    <w:p w14:paraId="28CC73B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3、投标保证金应通过投标人银行基本账户汇入，否则视为投标保证金无效。</w:t>
      </w:r>
    </w:p>
    <w:p w14:paraId="576E414A">
      <w:pPr>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、招标文件获取</w:t>
      </w:r>
      <w:bookmarkEnd w:id="18"/>
      <w:bookmarkEnd w:id="19"/>
    </w:p>
    <w:p w14:paraId="0907613D">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采用电子招标投标方式，投标人可访问浙江省海港集团电子招标采购平台，从浙江省海港集团、宁波舟山港集团网站（http：//www.zjseaport.com/jtww/）进入阳光工程-电子招标采购平台后进行投标人注册，并下载“浙江海港投标管家”。本项目招标文件和补充（答疑、澄清）、修改文件均通过“浙江海港投标管家”</w:t>
      </w:r>
      <w:r>
        <w:rPr>
          <w:rFonts w:hint="eastAsia" w:asciiTheme="minorEastAsia" w:hAnsiTheme="minorEastAsia" w:eastAsiaTheme="minorEastAsia" w:cstheme="minorEastAsia"/>
          <w:color w:val="auto"/>
          <w:szCs w:val="21"/>
          <w:highlight w:val="none"/>
          <w:lang w:val="en-US" w:eastAsia="zh-CN"/>
        </w:rPr>
        <w:t>免费</w:t>
      </w:r>
      <w:r>
        <w:rPr>
          <w:rFonts w:hint="eastAsia" w:ascii="宋体" w:hAnsi="宋体" w:eastAsia="宋体" w:cs="宋体"/>
          <w:color w:val="auto"/>
          <w:sz w:val="21"/>
          <w:szCs w:val="21"/>
          <w:highlight w:val="none"/>
        </w:rPr>
        <w:t>下载。</w:t>
      </w:r>
    </w:p>
    <w:p w14:paraId="4908C32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2、招标文件下载时间：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 xml:space="preserve">年  月  日8：30至 </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日17：00 时。</w:t>
      </w:r>
    </w:p>
    <w:p w14:paraId="40AE83A1">
      <w:pPr>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3、未取得浙江省海港集团电子招标采购平台数字证书的投标人，投标前应先办理浙江省海港集团电子招标采购平台 CA 数字证书，具体办理指南及下载链接请至浙江省海港集团电子招标采购平台进行查看。</w:t>
      </w:r>
    </w:p>
    <w:p w14:paraId="6625245F">
      <w:pPr>
        <w:ind w:firstLine="422" w:firstLineChars="200"/>
        <w:rPr>
          <w:rFonts w:hint="eastAsia" w:ascii="宋体" w:hAnsi="宋体" w:eastAsia="宋体" w:cs="宋体"/>
          <w:b/>
          <w:color w:val="auto"/>
          <w:sz w:val="21"/>
          <w:szCs w:val="21"/>
          <w:highlight w:val="none"/>
        </w:rPr>
      </w:pPr>
      <w:bookmarkStart w:id="23" w:name="_Toc18964"/>
      <w:bookmarkStart w:id="24" w:name="_Toc11392"/>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w:t>
      </w:r>
      <w:bookmarkEnd w:id="23"/>
      <w:bookmarkEnd w:id="24"/>
      <w:r>
        <w:rPr>
          <w:rFonts w:hint="eastAsia" w:ascii="宋体" w:hAnsi="宋体" w:eastAsia="宋体" w:cs="宋体"/>
          <w:b/>
          <w:color w:val="auto"/>
          <w:szCs w:val="21"/>
          <w:highlight w:val="none"/>
        </w:rPr>
        <w:t>投标截止时间和地点</w:t>
      </w:r>
    </w:p>
    <w:p w14:paraId="371A7F05">
      <w:pPr>
        <w:ind w:firstLine="420" w:firstLineChars="200"/>
        <w:rPr>
          <w:rFonts w:hint="eastAsia" w:ascii="宋体" w:hAnsi="宋体" w:eastAsia="宋体" w:cs="宋体"/>
          <w:color w:val="auto"/>
          <w:sz w:val="21"/>
          <w:szCs w:val="21"/>
          <w:highlight w:val="none"/>
          <w:lang w:eastAsia="zh-CN"/>
        </w:rPr>
      </w:pPr>
      <w:bookmarkStart w:id="25" w:name="_Toc4177"/>
      <w:bookmarkStart w:id="26" w:name="_Toc7979"/>
      <w:r>
        <w:rPr>
          <w:rFonts w:hint="eastAsia" w:ascii="宋体" w:hAnsi="宋体" w:eastAsia="宋体" w:cs="宋体"/>
          <w:color w:val="auto"/>
          <w:sz w:val="21"/>
          <w:szCs w:val="21"/>
          <w:highlight w:val="none"/>
        </w:rPr>
        <w:t>1、投标文件递交截止时间：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  时</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分（北京时间）</w:t>
      </w:r>
    </w:p>
    <w:p w14:paraId="2B9E53BC">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2、投标文件递交方式：线上递交方式（投标管家工具）：投标人在投标文件递交时间截止前，将电子投标文件加密后递交至电子招标采购平台。</w:t>
      </w:r>
    </w:p>
    <w:p w14:paraId="5CE890E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逾期送达投标文件，招标人不予受理。</w:t>
      </w:r>
    </w:p>
    <w:p w14:paraId="2696C65F">
      <w:pPr>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、开标时间及地点</w:t>
      </w:r>
      <w:bookmarkEnd w:id="25"/>
      <w:bookmarkEnd w:id="26"/>
    </w:p>
    <w:p w14:paraId="612EDCD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1、开标时间：</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  时</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分（北京时间）</w:t>
      </w:r>
    </w:p>
    <w:p w14:paraId="588FA56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2、开标地点：温州市鹿城区瓯江路海港大厦1幢2楼招标采购中心</w:t>
      </w:r>
    </w:p>
    <w:p w14:paraId="4F171136">
      <w:pPr>
        <w:ind w:firstLine="422" w:firstLineChars="200"/>
        <w:rPr>
          <w:rFonts w:hint="eastAsia" w:ascii="宋体" w:hAnsi="宋体" w:eastAsia="宋体" w:cs="宋体"/>
          <w:b/>
          <w:color w:val="auto"/>
          <w:kern w:val="0"/>
          <w:sz w:val="21"/>
          <w:szCs w:val="21"/>
          <w:highlight w:val="none"/>
        </w:rPr>
      </w:pPr>
      <w:bookmarkStart w:id="27" w:name="_Toc23229"/>
      <w:bookmarkStart w:id="28" w:name="_Toc21982"/>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、其他事项</w:t>
      </w:r>
      <w:bookmarkStart w:id="29" w:name="B29_其他事项"/>
    </w:p>
    <w:bookmarkEnd w:id="29"/>
    <w:p w14:paraId="0926ABE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1、投标人于投标截止时间之后三十分钟内在“浙江海港投标管家” 工具端—进入项目—开标—远程开标模块，点击“确认开标结果”按钮进行确认，如超时未确认，视作投标人已对开标结果确认无误。 </w:t>
      </w:r>
    </w:p>
    <w:p w14:paraId="372B1A02">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2、本项目采用电子招标，中标单位须在明确中标后、获取中标通知书前将相应的交易服务费缴入平台制定的集团账户（在“投标管家”工具中查看），具体收费标准详见招标文件或平台公告。 </w:t>
      </w:r>
    </w:p>
    <w:p w14:paraId="1993D97D">
      <w:pPr>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bookmarkEnd w:id="27"/>
      <w:bookmarkEnd w:id="28"/>
      <w:r>
        <w:rPr>
          <w:rFonts w:hint="eastAsia" w:ascii="宋体" w:hAnsi="宋体" w:eastAsia="宋体" w:cs="宋体"/>
          <w:b/>
          <w:color w:val="auto"/>
          <w:sz w:val="21"/>
          <w:szCs w:val="21"/>
          <w:highlight w:val="none"/>
        </w:rPr>
        <w:t>发布媒介</w:t>
      </w:r>
    </w:p>
    <w:p w14:paraId="0373DDEE">
      <w:pPr>
        <w:ind w:firstLine="420" w:firstLineChars="200"/>
        <w:rPr>
          <w:rFonts w:hint="eastAsia" w:ascii="宋体" w:hAnsi="宋体" w:eastAsia="宋体" w:cs="宋体"/>
          <w:color w:val="auto"/>
          <w:sz w:val="21"/>
          <w:szCs w:val="21"/>
          <w:highlight w:val="none"/>
        </w:rPr>
      </w:pPr>
      <w:bookmarkStart w:id="30" w:name="_Toc24402"/>
      <w:bookmarkStart w:id="31" w:name="_Toc24622"/>
      <w:r>
        <w:rPr>
          <w:rFonts w:hint="eastAsia" w:ascii="宋体" w:hAnsi="宋体" w:eastAsia="宋体" w:cs="宋体"/>
          <w:color w:val="auto"/>
          <w:sz w:val="21"/>
          <w:szCs w:val="21"/>
          <w:highlight w:val="none"/>
        </w:rPr>
        <w:t>本次招标公告在浙江海港电子招标采购平台（http：//hgdzzb.nbport.com.cn/）、温州港集团有限公司网站（https://www.wzport.com/wzport/wzgzz/yggc/zbgg/index.html）</w:t>
      </w:r>
      <w:r>
        <w:rPr>
          <w:rFonts w:hint="eastAsia" w:asciiTheme="minorEastAsia" w:hAnsiTheme="minorEastAsia" w:eastAsiaTheme="minorEastAsia" w:cstheme="minorEastAsia"/>
          <w:color w:val="auto"/>
          <w:szCs w:val="21"/>
          <w:highlight w:val="none"/>
          <w:lang w:eastAsia="zh-CN"/>
        </w:rPr>
        <w:t>、</w:t>
      </w:r>
      <w:r>
        <w:rPr>
          <w:rFonts w:hint="eastAsia" w:ascii="宋体" w:hAnsi="宋体" w:eastAsia="宋体" w:cs="宋体"/>
          <w:color w:val="auto"/>
          <w:sz w:val="21"/>
          <w:szCs w:val="21"/>
          <w:highlight w:val="none"/>
          <w:lang w:val="en-US" w:eastAsia="zh-CN"/>
        </w:rPr>
        <w:t>中国采购与招标网（https://www.chinabidding.cn/?utm_term）</w:t>
      </w:r>
      <w:r>
        <w:rPr>
          <w:rFonts w:hint="eastAsia" w:ascii="宋体" w:hAnsi="宋体" w:eastAsia="宋体" w:cs="宋体"/>
          <w:color w:val="auto"/>
          <w:kern w:val="2"/>
          <w:sz w:val="21"/>
          <w:szCs w:val="21"/>
          <w:highlight w:val="none"/>
          <w:lang w:val="en-US" w:eastAsia="zh-CN" w:bidi="ar-SA"/>
        </w:rPr>
        <w:t xml:space="preserve"> </w:t>
      </w:r>
      <w:r>
        <w:rPr>
          <w:rFonts w:hint="eastAsia" w:asciiTheme="minorEastAsia" w:hAnsiTheme="minorEastAsia" w:eastAsiaTheme="minorEastAsia" w:cstheme="minorEastAsia"/>
          <w:color w:val="auto"/>
          <w:szCs w:val="21"/>
          <w:highlight w:val="none"/>
          <w:lang w:eastAsia="zh-CN"/>
        </w:rPr>
        <w:t>等网站上发布</w:t>
      </w:r>
      <w:r>
        <w:rPr>
          <w:rFonts w:hint="eastAsia" w:ascii="宋体" w:hAnsi="宋体" w:eastAsia="宋体" w:cs="宋体"/>
          <w:color w:val="auto"/>
          <w:sz w:val="21"/>
          <w:szCs w:val="21"/>
          <w:highlight w:val="none"/>
        </w:rPr>
        <w:t>等网站上发布。</w:t>
      </w:r>
    </w:p>
    <w:p w14:paraId="637F6A8B">
      <w:pPr>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、联系方式</w:t>
      </w:r>
    </w:p>
    <w:p w14:paraId="1938482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1、招标人信息</w:t>
      </w:r>
      <w:bookmarkEnd w:id="30"/>
      <w:bookmarkEnd w:id="31"/>
    </w:p>
    <w:p w14:paraId="684820D9">
      <w:pPr>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温州港南岳港务有限公司</w:t>
      </w:r>
    </w:p>
    <w:p w14:paraId="7B5BE3C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址：浙江省温州市乐清市乐清湾港区沙港路1号</w:t>
      </w:r>
    </w:p>
    <w:p w14:paraId="711DF745">
      <w:pPr>
        <w:ind w:firstLine="420" w:firstLineChars="200"/>
        <w:rPr>
          <w:rFonts w:hint="eastAsia" w:ascii="宋体" w:hAnsi="宋体" w:eastAsia="宋体" w:cs="宋体"/>
          <w:color w:val="auto"/>
          <w:sz w:val="21"/>
          <w:szCs w:val="21"/>
          <w:highlight w:val="none"/>
        </w:rPr>
      </w:pPr>
      <w:bookmarkStart w:id="32" w:name="_Toc31747"/>
      <w:bookmarkStart w:id="33" w:name="_Toc6180"/>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邓</w:t>
      </w:r>
      <w:r>
        <w:rPr>
          <w:rFonts w:hint="eastAsia" w:ascii="宋体" w:hAnsi="宋体" w:eastAsia="宋体" w:cs="宋体"/>
          <w:color w:val="auto"/>
          <w:sz w:val="21"/>
          <w:szCs w:val="21"/>
          <w:highlight w:val="none"/>
        </w:rPr>
        <w:t>先生</w:t>
      </w:r>
    </w:p>
    <w:p w14:paraId="4E5C23AF">
      <w:pPr>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17785908258</w:t>
      </w:r>
    </w:p>
    <w:p w14:paraId="516F8FD7">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2、招标组织机构：温州港集团有限公司招标办</w:t>
      </w:r>
    </w:p>
    <w:p w14:paraId="4AAC402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址：温州市鹿城区瓯江路海港大厦1号楼2004室</w:t>
      </w:r>
    </w:p>
    <w:p w14:paraId="4310425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联系人：金先生</w:t>
      </w:r>
      <w:r>
        <w:rPr>
          <w:rFonts w:hint="eastAsia" w:ascii="宋体" w:hAnsi="宋体" w:eastAsia="宋体" w:cs="宋体"/>
          <w:color w:val="auto"/>
          <w:sz w:val="21"/>
          <w:szCs w:val="21"/>
          <w:highlight w:val="none"/>
        </w:rPr>
        <w:tab/>
      </w:r>
    </w:p>
    <w:p w14:paraId="7949ED5F">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联系方式：0577-56688276</w:t>
      </w:r>
    </w:p>
    <w:p w14:paraId="7A70C1D9">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3、招标代理机构信息</w:t>
      </w:r>
      <w:bookmarkEnd w:id="32"/>
      <w:bookmarkEnd w:id="33"/>
    </w:p>
    <w:p w14:paraId="25D400B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大地工程咨询有限公司</w:t>
      </w:r>
      <w:r>
        <w:rPr>
          <w:rFonts w:hint="eastAsia" w:ascii="宋体" w:hAnsi="宋体" w:eastAsia="宋体" w:cs="宋体"/>
          <w:color w:val="auto"/>
          <w:sz w:val="21"/>
          <w:szCs w:val="21"/>
          <w:highlight w:val="none"/>
        </w:rPr>
        <w:t> </w:t>
      </w:r>
    </w:p>
    <w:p w14:paraId="6A2241BC">
      <w:pPr>
        <w:adjustRightInd w:val="0"/>
        <w:snapToGrid w:val="0"/>
        <w:spacing w:line="400" w:lineRule="exact"/>
        <w:ind w:left="4639" w:leftChars="209" w:hanging="4200" w:hangingChars="200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bCs/>
          <w:color w:val="auto"/>
          <w:kern w:val="0"/>
          <w:szCs w:val="21"/>
          <w:highlight w:val="none"/>
          <w:lang w:val="en-US" w:eastAsia="zh-CN"/>
        </w:rPr>
        <w:t>杭州</w:t>
      </w:r>
      <w:r>
        <w:rPr>
          <w:rFonts w:hint="eastAsia" w:ascii="宋体" w:hAnsi="宋体" w:eastAsia="宋体" w:cs="宋体"/>
          <w:bCs/>
          <w:color w:val="auto"/>
          <w:kern w:val="0"/>
          <w:szCs w:val="21"/>
          <w:highlight w:val="none"/>
        </w:rPr>
        <w:t>市</w:t>
      </w:r>
      <w:r>
        <w:rPr>
          <w:rFonts w:hint="eastAsia" w:ascii="宋体" w:hAnsi="宋体" w:eastAsia="宋体" w:cs="宋体"/>
          <w:bCs/>
          <w:color w:val="auto"/>
          <w:kern w:val="0"/>
          <w:szCs w:val="21"/>
          <w:highlight w:val="none"/>
          <w:lang w:val="en-US" w:eastAsia="zh-CN"/>
        </w:rPr>
        <w:t>拱墅</w:t>
      </w:r>
      <w:r>
        <w:rPr>
          <w:rFonts w:hint="eastAsia" w:ascii="宋体" w:hAnsi="宋体" w:eastAsia="宋体" w:cs="宋体"/>
          <w:bCs/>
          <w:color w:val="auto"/>
          <w:kern w:val="0"/>
          <w:szCs w:val="21"/>
          <w:highlight w:val="none"/>
        </w:rPr>
        <w:t>区</w:t>
      </w:r>
      <w:r>
        <w:rPr>
          <w:rFonts w:hint="eastAsia" w:ascii="宋体" w:hAnsi="宋体" w:eastAsia="宋体" w:cs="宋体"/>
          <w:bCs/>
          <w:color w:val="auto"/>
          <w:kern w:val="0"/>
          <w:szCs w:val="21"/>
          <w:highlight w:val="none"/>
          <w:lang w:val="en-US" w:eastAsia="zh-CN"/>
        </w:rPr>
        <w:t>上塘</w:t>
      </w:r>
      <w:r>
        <w:rPr>
          <w:rFonts w:hint="eastAsia" w:ascii="宋体" w:hAnsi="宋体" w:eastAsia="宋体" w:cs="宋体"/>
          <w:bCs/>
          <w:color w:val="auto"/>
          <w:kern w:val="0"/>
          <w:szCs w:val="21"/>
          <w:highlight w:val="none"/>
        </w:rPr>
        <w:t>路</w:t>
      </w:r>
      <w:r>
        <w:rPr>
          <w:rFonts w:hint="eastAsia" w:ascii="宋体" w:hAnsi="宋体" w:eastAsia="宋体" w:cs="宋体"/>
          <w:bCs/>
          <w:color w:val="auto"/>
          <w:kern w:val="0"/>
          <w:szCs w:val="21"/>
          <w:highlight w:val="none"/>
          <w:lang w:val="en-US" w:eastAsia="zh-CN"/>
        </w:rPr>
        <w:t>988</w:t>
      </w:r>
      <w:r>
        <w:rPr>
          <w:rFonts w:hint="eastAsia" w:ascii="宋体" w:hAnsi="宋体" w:eastAsia="宋体" w:cs="宋体"/>
          <w:bCs/>
          <w:color w:val="auto"/>
          <w:kern w:val="0"/>
          <w:szCs w:val="21"/>
          <w:highlight w:val="none"/>
        </w:rPr>
        <w:t>号</w:t>
      </w:r>
      <w:r>
        <w:rPr>
          <w:rFonts w:hint="eastAsia" w:ascii="宋体" w:hAnsi="宋体" w:eastAsia="宋体" w:cs="宋体"/>
          <w:bCs/>
          <w:color w:val="auto"/>
          <w:kern w:val="0"/>
          <w:szCs w:val="21"/>
          <w:highlight w:val="none"/>
          <w:lang w:val="en-US" w:eastAsia="zh-CN"/>
        </w:rPr>
        <w:t>宸融大厦19</w:t>
      </w:r>
      <w:r>
        <w:rPr>
          <w:rFonts w:hint="eastAsia" w:ascii="宋体" w:hAnsi="宋体" w:eastAsia="宋体" w:cs="宋体"/>
          <w:bCs/>
          <w:color w:val="auto"/>
          <w:kern w:val="0"/>
          <w:szCs w:val="21"/>
          <w:highlight w:val="none"/>
        </w:rPr>
        <w:t>楼</w:t>
      </w:r>
    </w:p>
    <w:p w14:paraId="4C77693E">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Cs/>
          <w:color w:val="auto"/>
          <w:kern w:val="0"/>
          <w:szCs w:val="21"/>
          <w:highlight w:val="none"/>
        </w:rPr>
        <w:t>联系人：</w:t>
      </w:r>
      <w:r>
        <w:rPr>
          <w:rFonts w:hint="eastAsia" w:ascii="宋体" w:hAnsi="宋体" w:cs="宋体"/>
          <w:bCs/>
          <w:color w:val="auto"/>
          <w:kern w:val="0"/>
          <w:szCs w:val="21"/>
          <w:highlight w:val="none"/>
          <w:lang w:val="en-US" w:eastAsia="zh-CN"/>
        </w:rPr>
        <w:t>姜丽余</w:t>
      </w:r>
    </w:p>
    <w:p w14:paraId="6563ED4E">
      <w:pPr>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bCs/>
          <w:color w:val="auto"/>
          <w:kern w:val="0"/>
          <w:szCs w:val="21"/>
          <w:highlight w:val="none"/>
        </w:rPr>
        <w:t>联系方式：</w:t>
      </w:r>
      <w:r>
        <w:rPr>
          <w:rFonts w:hint="eastAsia" w:ascii="宋体" w:hAnsi="宋体" w:cs="宋体"/>
          <w:bCs/>
          <w:color w:val="auto"/>
          <w:kern w:val="0"/>
          <w:szCs w:val="21"/>
          <w:highlight w:val="none"/>
          <w:lang w:val="en-US" w:eastAsia="zh-CN"/>
        </w:rPr>
        <w:t>18969160881</w:t>
      </w:r>
    </w:p>
    <w:p w14:paraId="4294F72E">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4、招标监督部门：</w:t>
      </w:r>
      <w:r>
        <w:rPr>
          <w:rFonts w:hint="eastAsia" w:ascii="宋体" w:hAnsi="宋体" w:cs="宋体"/>
          <w:color w:val="auto"/>
          <w:sz w:val="21"/>
          <w:szCs w:val="21"/>
          <w:highlight w:val="none"/>
          <w:lang w:eastAsia="zh-CN"/>
        </w:rPr>
        <w:t>温州港南岳港务有限公司纪检小组</w:t>
      </w:r>
    </w:p>
    <w:p w14:paraId="6DFBBDA6">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联系电话：0577-55110515</w:t>
      </w:r>
    </w:p>
    <w:p w14:paraId="0BDBC6FB">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5、电子招标采购平台咨询电话：0574-27680520</w:t>
      </w:r>
    </w:p>
    <w:p w14:paraId="1217FDC8">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6、CA咨询热线：400-666-4230</w:t>
      </w:r>
    </w:p>
    <w:p w14:paraId="55CC5C77">
      <w:pPr>
        <w:pStyle w:val="2"/>
        <w:spacing w:line="240" w:lineRule="auto"/>
        <w:rPr>
          <w:rFonts w:hint="eastAsia" w:ascii="宋体" w:hAnsi="宋体" w:eastAsia="宋体" w:cs="宋体"/>
          <w:color w:val="auto"/>
          <w:highlight w:val="none"/>
        </w:rPr>
      </w:pPr>
      <w:bookmarkStart w:id="34" w:name="_Toc3931"/>
      <w:bookmarkStart w:id="35" w:name="_Toc21809"/>
      <w:r>
        <w:rPr>
          <w:rFonts w:hint="eastAsia" w:ascii="宋体" w:hAnsi="宋体" w:eastAsia="宋体" w:cs="宋体"/>
          <w:color w:val="auto"/>
          <w:highlight w:val="none"/>
        </w:rPr>
        <w:br w:type="page"/>
      </w:r>
      <w:r>
        <w:rPr>
          <w:rFonts w:hint="eastAsia" w:ascii="宋体" w:hAnsi="宋体" w:eastAsia="宋体" w:cs="宋体"/>
          <w:color w:val="auto"/>
          <w:highlight w:val="none"/>
        </w:rPr>
        <w:t>第二章   招标需求</w:t>
      </w:r>
      <w:bookmarkEnd w:id="34"/>
      <w:bookmarkEnd w:id="35"/>
    </w:p>
    <w:p w14:paraId="64AB321F">
      <w:pPr>
        <w:spacing w:before="120" w:beforeLines="50"/>
        <w:ind w:firstLine="422" w:firstLineChars="200"/>
        <w:rPr>
          <w:rFonts w:hint="default" w:ascii="宋体" w:hAnsi="宋体" w:eastAsia="宋体" w:cs="宋体"/>
          <w:b/>
          <w:bCs/>
          <w:color w:val="auto"/>
          <w:sz w:val="21"/>
          <w:szCs w:val="21"/>
          <w:highlight w:val="none"/>
          <w:lang w:val="en-US" w:eastAsia="zh-CN"/>
        </w:rPr>
      </w:pPr>
      <w:bookmarkStart w:id="36" w:name="_Toc5772"/>
      <w:r>
        <w:rPr>
          <w:rFonts w:hint="eastAsia" w:ascii="宋体" w:hAnsi="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项目概况：温州港南岳港务有限公司、温州港益嘉港务有限公司（乐清湾C区一期工程）坐落于温州乐清市南岳镇，共建4个10万吨级公共通用泊位（水工按15万吨级散货船靠泊标准设计建造），配套完善附属设施。码头总长1170米，占用岸线1170米，设计年吞吐量2120万吨、年通过能力2292万吨；配套散货堆场21.3万平方米、件杂货堆场4.8万平方米、钢材仓库0.672万平方米。港区紧邻乐清湾港区临港大道，且通过乐清湾铁路支线衔接金温、浙赣铁路，交通通达便捷，可高效保障大宗散货及件杂货转运需求。</w:t>
      </w:r>
    </w:p>
    <w:p w14:paraId="5476FB19">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、本底调查时间</w:t>
      </w:r>
    </w:p>
    <w:p w14:paraId="0F3DC044">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本次本底调查以春、夏、秋三季为主。</w:t>
      </w:r>
    </w:p>
    <w:p w14:paraId="5852A3DF">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、有害生物监测依据</w:t>
      </w:r>
    </w:p>
    <w:p w14:paraId="74AC2B60">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1、农业农村部 自然资源部 生态环境部 海关总署 国家林草局关于印发《进一步加强外来物种入侵防控工作方案》（2021年3月4日）</w:t>
      </w:r>
    </w:p>
    <w:p w14:paraId="20F2C481">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2、海关总署办公厅《关于印发主要入境口岸外来入侵物种普查方案的通知》署办动植函【2021】26号</w:t>
      </w:r>
    </w:p>
    <w:p w14:paraId="1416FB2E">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3、海关总署《关于持续加强红火蚁等外来入侵物种口岸防控工作的通知》署动植发【2021】28号</w:t>
      </w:r>
    </w:p>
    <w:p w14:paraId="4EA93AEA">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4、海关总署《动植检司关于进一步做好主要入境口岸外来入侵  物种普查工作的函》动植司便函2023190</w:t>
      </w:r>
    </w:p>
    <w:p w14:paraId="4D17ABFA">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5、《植物有害生物调查监测指南》（GB/T27618-2011）</w:t>
      </w:r>
    </w:p>
    <w:p w14:paraId="6E6FBC47">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6、《松材线虫检疫鉴定方法》（SN/T1132-2002）</w:t>
      </w:r>
    </w:p>
    <w:p w14:paraId="476448C2">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7、《红火蚁检疫鉴定方法》（GB/T20477-2006）</w:t>
      </w:r>
    </w:p>
    <w:p w14:paraId="6DD1ECDF">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8、《红火蚁疫情监测规程》（GB/T23626-2009）</w:t>
      </w:r>
    </w:p>
    <w:p w14:paraId="69D18D7C">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9、《假苍耳检疫鉴定方法》（GB/T28090-2011）</w:t>
      </w:r>
    </w:p>
    <w:p w14:paraId="005BCEAF">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10、《不实燕麦的检疫鉴定方法》（SN/T3441-2012）</w:t>
      </w:r>
    </w:p>
    <w:p w14:paraId="1E3CEA1C">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11、《假高粱检疫鉴定方法》（SN/T1362-2011）</w:t>
      </w:r>
    </w:p>
    <w:p w14:paraId="22537D24">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12、《菟丝子属的检疫鉴定方法》（SN/T1385-2004）</w:t>
      </w:r>
    </w:p>
    <w:p w14:paraId="545B9C54">
      <w:pPr>
        <w:spacing w:before="120" w:beforeLines="5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注：若上述同一标准或规程已颁发新的，则按最新标准或规程执行。</w:t>
      </w:r>
    </w:p>
    <w:p w14:paraId="01EA9EC1">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、本底调查区域与范围</w:t>
      </w:r>
    </w:p>
    <w:p w14:paraId="0B85919E">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本次本底调查的区域为以</w:t>
      </w:r>
      <w:r>
        <w:rPr>
          <w:rFonts w:hint="eastAsia" w:ascii="宋体" w:hAnsi="宋体" w:cs="宋体"/>
          <w:b w:val="0"/>
          <w:bCs/>
          <w:color w:val="auto"/>
          <w:sz w:val="21"/>
          <w:szCs w:val="21"/>
          <w:highlight w:val="none"/>
          <w:lang w:eastAsia="zh-CN"/>
        </w:rPr>
        <w:t>温州港南岳港务有限公司、温州港益嘉港务有限公司</w:t>
      </w:r>
      <w:r>
        <w:rPr>
          <w:rFonts w:hint="eastAsia" w:ascii="宋体" w:hAnsi="宋体" w:eastAsia="宋体" w:cs="宋体"/>
          <w:bCs/>
          <w:color w:val="auto"/>
          <w:sz w:val="21"/>
          <w:szCs w:val="21"/>
          <w:highlight w:val="none"/>
        </w:rPr>
        <w:t>运营区域为中心，根据实地情况，由监管区边界向外围延伸50m。</w:t>
      </w:r>
    </w:p>
    <w:p w14:paraId="0B30A513">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、本底调查方法</w:t>
      </w:r>
    </w:p>
    <w:p w14:paraId="5BEA1778">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本次调查主要分为四部分：昆虫调查、杂草调查、病</w:t>
      </w:r>
      <w:r>
        <w:rPr>
          <w:rFonts w:hint="eastAsia" w:ascii="宋体" w:hAnsi="宋体" w:cs="宋体"/>
          <w:b/>
          <w:bCs/>
          <w:color w:val="auto"/>
          <w:sz w:val="21"/>
          <w:szCs w:val="21"/>
          <w:highlight w:val="none"/>
          <w:lang w:val="en-US" w:eastAsia="zh-CN"/>
        </w:rPr>
        <w:t>虫</w:t>
      </w:r>
      <w:r>
        <w:rPr>
          <w:rFonts w:hint="eastAsia" w:ascii="宋体" w:hAnsi="宋体" w:eastAsia="宋体" w:cs="宋体"/>
          <w:b/>
          <w:bCs/>
          <w:color w:val="auto"/>
          <w:sz w:val="21"/>
          <w:szCs w:val="21"/>
          <w:highlight w:val="none"/>
        </w:rPr>
        <w:t>害与线虫调查。</w:t>
      </w:r>
    </w:p>
    <w:p w14:paraId="787DA54D">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（一）昆虫调查</w:t>
      </w:r>
    </w:p>
    <w:p w14:paraId="2E8AE298">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以昆虫信息素诱集、黑光灯诱集、汞灯诱集、人工扫网及库房内采集相结合的方式进行。对所收集的虫样，在现场进行数量和种类记录。</w:t>
      </w:r>
    </w:p>
    <w:p w14:paraId="615FA656">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1、调查方法</w:t>
      </w:r>
    </w:p>
    <w:p w14:paraId="1523D120">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依据天气状况，在相对较适宜昆虫活动的时期进行昆虫调查和标本采集工作。范围为开放项目区域及周边50米范围，调查频次每季度1次。</w:t>
      </w:r>
    </w:p>
    <w:p w14:paraId="5E81794A">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2、采集方式</w:t>
      </w:r>
    </w:p>
    <w:p w14:paraId="6B86C729">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（1）扫网，采集灌木、低矮植物上的昆虫；</w:t>
      </w:r>
    </w:p>
    <w:p w14:paraId="0F9FECC2">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（2）灯诱，诱集夜间活动的昆虫；</w:t>
      </w:r>
    </w:p>
    <w:p w14:paraId="319392A6">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本整理及调查结果汇总：将调查采集的昆虫制成标本，并附上采集标签，按目、科等区分，拍照，送相关专家，对标本进行准确鉴定。将调查区域内昆虫种类汇总，形成昆虫本底调查报告，为口岸开放后植物疫情的防控提供科学依据。同时将采集制作的昆虫标本依据开放项目分类保存，以备后续监管查阅。</w:t>
      </w:r>
    </w:p>
    <w:p w14:paraId="34816985">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3、调查具体方法和时间</w:t>
      </w:r>
    </w:p>
    <w:p w14:paraId="3ABFD995">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昆虫调查主要以昆虫信息素诱集、汞灯诱集、人工扫网及库房内采集相结合的方式进行。对所收集的虫样，在现场进行数量和种类记录。</w:t>
      </w:r>
    </w:p>
    <w:p w14:paraId="1FA51CE6">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4、昆虫信息素诱集</w:t>
      </w:r>
    </w:p>
    <w:p w14:paraId="686B4853">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本次调查主要采用实蝇捕器和小蠹虫诱捕器为主，计划在2-4季度间在调查场区内挂放地中海实蝇诱捕器20套、桔小实蝇诱捕器10套、瓜实蝇诱捕器10套、蛋白诱捕器各5套，小蠹虫诱捕器10套，舞毒蛾性诱捕器5套。</w:t>
      </w:r>
    </w:p>
    <w:p w14:paraId="7E420FA2">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每半个月对诱捕器进行一次检查，收集虫样，更换诱芯，对破损的诱捕器进行更换。</w:t>
      </w:r>
    </w:p>
    <w:p w14:paraId="2D9D04DC">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5、人工扫网</w:t>
      </w:r>
    </w:p>
    <w:p w14:paraId="60F52F9A">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春夏秋冬四季，具体时间看实际天气情况进行三次人工扫网捕捉昆虫，结合调查场区实际情况，每2人为一组，分成2-3组，对场区内进行扫网捕捉，收集的虫样放入毒瓶杀死后进行种类鉴定。</w:t>
      </w:r>
    </w:p>
    <w:p w14:paraId="224A40E7">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6、昆虫调查主要工具：实蝇诱捕器、小蠹虫诱捕器、舞毒蛾诱捕器、500W汞灯、白幕布、捕虫网、毒瓶、镊子、指形管、棉花包等。</w:t>
      </w:r>
    </w:p>
    <w:p w14:paraId="2D87BA94">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（二）杂草调查</w:t>
      </w:r>
    </w:p>
    <w:p w14:paraId="34E70F35">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采用实地踩踏的方式进行，对所有杂草采集图像，部分重要种类采集植株，制作植株标本。</w:t>
      </w:r>
    </w:p>
    <w:p w14:paraId="4F8242F4">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1、调查方法</w:t>
      </w:r>
    </w:p>
    <w:p w14:paraId="1D8B057F">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开放项目确定的调查范围，采用系统取样法，逐株查看，采集图像、地理信息，并填写调查记录、建立杂草本底档案。调查过程中重点观察区域内有无闲置荒地等适合外来杂草生长处，建立详细的影像、图片以及标本档案，以备后续监管比对。图像资料和标本材料要求尽可能包括：整株形态，叶、花、果、茎形态，环境状态等，以便进行准确的种类鉴定。</w:t>
      </w:r>
    </w:p>
    <w:p w14:paraId="0D80E713">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调查时间一般分为3阶段，第一阶段，4-6月，杂草发生基本定型、出苗高峰之后。特点是杂草种类较齐全；第二阶段，7-10月，杂草生长旺盛期。特点是杂草叶、花、果、茎形态齐全，易于鉴别；第三阶段，11-12月，杂草果实成熟期，大部分杂草已过生长旺盛期。特点是杂草优势种干扰较小，调查较易，而且大部分杂草果实成熟，可通过种子调查。</w:t>
      </w:r>
    </w:p>
    <w:p w14:paraId="1AB055F8">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（三）病</w:t>
      </w:r>
      <w:r>
        <w:rPr>
          <w:rFonts w:hint="eastAsia" w:ascii="宋体" w:hAnsi="宋体" w:cs="宋体"/>
          <w:b/>
          <w:bCs/>
          <w:color w:val="auto"/>
          <w:sz w:val="21"/>
          <w:szCs w:val="21"/>
          <w:highlight w:val="none"/>
          <w:lang w:val="en-US" w:eastAsia="zh-CN"/>
        </w:rPr>
        <w:t>虫</w:t>
      </w:r>
      <w:r>
        <w:rPr>
          <w:rFonts w:hint="eastAsia" w:ascii="宋体" w:hAnsi="宋体" w:eastAsia="宋体" w:cs="宋体"/>
          <w:b/>
          <w:bCs/>
          <w:color w:val="auto"/>
          <w:sz w:val="21"/>
          <w:szCs w:val="21"/>
          <w:highlight w:val="none"/>
        </w:rPr>
        <w:t>害与线虫调查</w:t>
      </w:r>
    </w:p>
    <w:p w14:paraId="60109B84">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本次调查主要对调查按区域内的植株及土样进行病</w:t>
      </w:r>
      <w:r>
        <w:rPr>
          <w:rFonts w:hint="eastAsia" w:ascii="宋体" w:hAnsi="宋体" w:cs="宋体"/>
          <w:bCs/>
          <w:color w:val="auto"/>
          <w:sz w:val="21"/>
          <w:szCs w:val="21"/>
          <w:highlight w:val="none"/>
          <w:lang w:val="en-US" w:eastAsia="zh-CN"/>
        </w:rPr>
        <w:t>虫</w:t>
      </w:r>
      <w:r>
        <w:rPr>
          <w:rFonts w:hint="eastAsia" w:ascii="宋体" w:hAnsi="宋体" w:eastAsia="宋体" w:cs="宋体"/>
          <w:bCs/>
          <w:color w:val="auto"/>
          <w:sz w:val="21"/>
          <w:szCs w:val="21"/>
          <w:highlight w:val="none"/>
        </w:rPr>
        <w:t>害与线虫调查与鉴定。</w:t>
      </w:r>
    </w:p>
    <w:p w14:paraId="0A9F34EB">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对采集到的样本进行真菌常规、细菌常规检测，分离培养后，进行真菌或细菌的鉴定。</w:t>
      </w:r>
    </w:p>
    <w:p w14:paraId="6B43F05F">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根据采集到寄主，对照检疫性有害生物名录开展的针对性的检测鉴定项目：如栎树猝死病菌、大豆疫病、油菜溃疡茎溃疡病、十字花科黑斑病等。（具体项目由采集到的样本决定）</w:t>
      </w:r>
    </w:p>
    <w:p w14:paraId="24C7B8E3">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线虫检测：春夏秋冬四季，具体时间看实际天气情况进行四次线虫调查，结合调查场区实际情况，在场区内采集若干份土样或可疑植株样品，在实验室内采用漏斗法进行线虫分离鉴定，对部分重要的线虫样品制作玻片并进行图像采集。</w:t>
      </w:r>
    </w:p>
    <w:p w14:paraId="6FA07AFB">
      <w:pPr>
        <w:spacing w:before="120" w:beforeLines="50"/>
        <w:ind w:firstLine="422" w:firstLineChars="200"/>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、本底调查结果</w:t>
      </w:r>
    </w:p>
    <w:p w14:paraId="041B3355">
      <w:pPr>
        <w:spacing w:before="120" w:beforeLines="5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本底调查在所有采集样品进行实验室鉴定后，出具昆虫、杂草、病</w:t>
      </w:r>
      <w:r>
        <w:rPr>
          <w:rFonts w:hint="eastAsia" w:ascii="宋体" w:hAnsi="宋体" w:cs="宋体"/>
          <w:bCs/>
          <w:color w:val="auto"/>
          <w:sz w:val="21"/>
          <w:szCs w:val="21"/>
          <w:highlight w:val="none"/>
          <w:lang w:val="en-US" w:eastAsia="zh-CN"/>
        </w:rPr>
        <w:t>虫</w:t>
      </w:r>
      <w:r>
        <w:rPr>
          <w:rFonts w:hint="eastAsia" w:ascii="宋体" w:hAnsi="宋体" w:eastAsia="宋体" w:cs="宋体"/>
          <w:bCs/>
          <w:color w:val="auto"/>
          <w:sz w:val="21"/>
          <w:szCs w:val="21"/>
          <w:highlight w:val="none"/>
        </w:rPr>
        <w:t>害本底调查报告，报告中包括调查时间、调查区域、调查方法和调查采集样品鉴定结果，并附带调查发现的昆虫、杂草、病</w:t>
      </w:r>
      <w:r>
        <w:rPr>
          <w:rFonts w:hint="eastAsia" w:ascii="宋体" w:hAnsi="宋体" w:cs="宋体"/>
          <w:bCs/>
          <w:color w:val="auto"/>
          <w:sz w:val="21"/>
          <w:szCs w:val="21"/>
          <w:highlight w:val="none"/>
          <w:lang w:val="en-US" w:eastAsia="zh-CN"/>
        </w:rPr>
        <w:t>虫</w:t>
      </w:r>
      <w:r>
        <w:rPr>
          <w:rFonts w:hint="eastAsia" w:ascii="宋体" w:hAnsi="宋体" w:eastAsia="宋体" w:cs="宋体"/>
          <w:bCs/>
          <w:color w:val="auto"/>
          <w:sz w:val="21"/>
          <w:szCs w:val="21"/>
          <w:highlight w:val="none"/>
        </w:rPr>
        <w:t>害与线虫等有害生物的名称与简介，采集的有害生物图像，部分重要的有害生物制作标本进行永久保存。</w:t>
      </w:r>
    </w:p>
    <w:p w14:paraId="466F7FB9">
      <w:pPr>
        <w:pStyle w:val="2"/>
        <w:spacing w:line="240" w:lineRule="auto"/>
        <w:rPr>
          <w:rFonts w:hint="eastAsia" w:ascii="宋体" w:hAnsi="宋体" w:eastAsia="宋体" w:cs="宋体"/>
          <w:color w:val="auto"/>
          <w:highlight w:val="none"/>
        </w:rPr>
      </w:pPr>
      <w:bookmarkStart w:id="37" w:name="_Toc15092"/>
      <w:bookmarkStart w:id="38" w:name="_Toc17468"/>
      <w:bookmarkStart w:id="39" w:name="_Toc688"/>
      <w:bookmarkStart w:id="40" w:name="_Toc12033"/>
      <w:bookmarkStart w:id="41" w:name="_Toc24134"/>
      <w:bookmarkStart w:id="42" w:name="_Toc15251"/>
      <w:bookmarkStart w:id="43" w:name="_Toc22154"/>
      <w:bookmarkStart w:id="44" w:name="_Toc6909"/>
      <w:r>
        <w:rPr>
          <w:rFonts w:hint="eastAsia" w:ascii="宋体" w:hAnsi="宋体" w:eastAsia="宋体" w:cs="宋体"/>
          <w:color w:val="auto"/>
          <w:highlight w:val="none"/>
        </w:rPr>
        <w:br w:type="page"/>
      </w:r>
      <w:r>
        <w:rPr>
          <w:rFonts w:hint="eastAsia" w:ascii="宋体" w:hAnsi="宋体" w:eastAsia="宋体" w:cs="宋体"/>
          <w:color w:val="auto"/>
          <w:highlight w:val="none"/>
        </w:rPr>
        <w:t>第三章   投标人须知</w:t>
      </w:r>
      <w:bookmarkEnd w:id="36"/>
      <w:bookmarkEnd w:id="37"/>
      <w:bookmarkEnd w:id="38"/>
      <w:bookmarkEnd w:id="39"/>
      <w:bookmarkEnd w:id="40"/>
      <w:bookmarkEnd w:id="41"/>
      <w:bookmarkEnd w:id="42"/>
      <w:bookmarkEnd w:id="43"/>
      <w:bookmarkEnd w:id="44"/>
    </w:p>
    <w:p w14:paraId="66398F3A">
      <w:pPr>
        <w:ind w:firstLine="442"/>
        <w:jc w:val="center"/>
        <w:outlineLvl w:val="1"/>
        <w:rPr>
          <w:rFonts w:hint="eastAsia" w:ascii="宋体" w:hAnsi="宋体" w:eastAsia="宋体" w:cs="宋体"/>
          <w:b/>
          <w:bCs/>
          <w:color w:val="auto"/>
          <w:sz w:val="22"/>
          <w:szCs w:val="22"/>
          <w:highlight w:val="none"/>
        </w:rPr>
      </w:pPr>
      <w:bookmarkStart w:id="45" w:name="_Toc16571"/>
      <w:bookmarkStart w:id="46" w:name="_Toc17547"/>
      <w:bookmarkStart w:id="47" w:name="_Toc13172"/>
      <w:bookmarkStart w:id="48" w:name="_Toc22374"/>
      <w:bookmarkStart w:id="49" w:name="_Toc19044"/>
      <w:bookmarkStart w:id="50" w:name="_Toc31101"/>
      <w:bookmarkStart w:id="51" w:name="_Toc15350"/>
      <w:bookmarkStart w:id="52" w:name="_Toc22311"/>
      <w:r>
        <w:rPr>
          <w:rFonts w:hint="eastAsia" w:ascii="宋体" w:hAnsi="宋体" w:eastAsia="宋体" w:cs="宋体"/>
          <w:b/>
          <w:bCs/>
          <w:color w:val="auto"/>
          <w:sz w:val="22"/>
          <w:szCs w:val="22"/>
          <w:highlight w:val="none"/>
        </w:rPr>
        <w:t>投标人须知前附表</w:t>
      </w:r>
      <w:bookmarkEnd w:id="45"/>
      <w:bookmarkEnd w:id="46"/>
      <w:bookmarkEnd w:id="47"/>
      <w:bookmarkEnd w:id="48"/>
      <w:bookmarkEnd w:id="49"/>
      <w:bookmarkEnd w:id="50"/>
      <w:bookmarkEnd w:id="51"/>
      <w:bookmarkEnd w:id="52"/>
    </w:p>
    <w:tbl>
      <w:tblPr>
        <w:tblStyle w:val="29"/>
        <w:tblW w:w="99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2100"/>
        <w:gridCol w:w="7157"/>
      </w:tblGrid>
      <w:tr w14:paraId="6A2D4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9A66F8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100" w:type="dxa"/>
            <w:tcBorders>
              <w:top w:val="single" w:color="auto" w:sz="4" w:space="0"/>
              <w:left w:val="single" w:color="auto" w:sz="4" w:space="0"/>
              <w:bottom w:val="single" w:color="auto" w:sz="4" w:space="0"/>
              <w:right w:val="single" w:color="auto" w:sz="4" w:space="0"/>
            </w:tcBorders>
            <w:vAlign w:val="center"/>
          </w:tcPr>
          <w:p w14:paraId="3A255C4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7157" w:type="dxa"/>
            <w:tcBorders>
              <w:top w:val="single" w:color="auto" w:sz="4" w:space="0"/>
              <w:left w:val="single" w:color="auto" w:sz="4" w:space="0"/>
              <w:bottom w:val="single" w:color="auto" w:sz="4" w:space="0"/>
              <w:right w:val="single" w:color="auto" w:sz="4" w:space="0"/>
            </w:tcBorders>
            <w:vAlign w:val="center"/>
          </w:tcPr>
          <w:p w14:paraId="18C511D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34DB0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075DC37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00" w:type="dxa"/>
            <w:tcBorders>
              <w:top w:val="single" w:color="auto" w:sz="4" w:space="0"/>
              <w:left w:val="single" w:color="auto" w:sz="4" w:space="0"/>
              <w:bottom w:val="single" w:color="auto" w:sz="4" w:space="0"/>
              <w:right w:val="single" w:color="auto" w:sz="4" w:space="0"/>
            </w:tcBorders>
            <w:vAlign w:val="center"/>
          </w:tcPr>
          <w:p w14:paraId="5F6BA3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7157" w:type="dxa"/>
            <w:tcBorders>
              <w:top w:val="single" w:color="auto" w:sz="4" w:space="0"/>
              <w:left w:val="single" w:color="auto" w:sz="4" w:space="0"/>
              <w:bottom w:val="single" w:color="auto" w:sz="4" w:space="0"/>
              <w:right w:val="single" w:color="auto" w:sz="4" w:space="0"/>
            </w:tcBorders>
            <w:vAlign w:val="center"/>
          </w:tcPr>
          <w:p w14:paraId="119E87C0">
            <w:pP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温州港南岳港务有限公司、温州港益嘉港务有限公司植物有害生物本底调查</w:t>
            </w:r>
            <w:r>
              <w:rPr>
                <w:rFonts w:hint="eastAsia" w:ascii="宋体" w:hAnsi="宋体" w:eastAsia="宋体" w:cs="宋体"/>
                <w:color w:val="auto"/>
                <w:sz w:val="21"/>
                <w:szCs w:val="21"/>
                <w:highlight w:val="none"/>
                <w:lang w:val="en-US" w:eastAsia="zh-CN"/>
              </w:rPr>
              <w:t>服务</w:t>
            </w:r>
          </w:p>
        </w:tc>
      </w:tr>
      <w:tr w14:paraId="78F21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4F6C5D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00" w:type="dxa"/>
            <w:tcBorders>
              <w:top w:val="single" w:color="auto" w:sz="4" w:space="0"/>
              <w:left w:val="single" w:color="auto" w:sz="4" w:space="0"/>
              <w:bottom w:val="single" w:color="auto" w:sz="4" w:space="0"/>
              <w:right w:val="single" w:color="auto" w:sz="4" w:space="0"/>
            </w:tcBorders>
            <w:vAlign w:val="center"/>
          </w:tcPr>
          <w:p w14:paraId="0F7357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7157" w:type="dxa"/>
            <w:tcBorders>
              <w:top w:val="single" w:color="auto" w:sz="4" w:space="0"/>
              <w:left w:val="single" w:color="auto" w:sz="4" w:space="0"/>
              <w:bottom w:val="single" w:color="auto" w:sz="4" w:space="0"/>
              <w:right w:val="single" w:color="auto" w:sz="4" w:space="0"/>
            </w:tcBorders>
            <w:vAlign w:val="center"/>
          </w:tcPr>
          <w:p w14:paraId="1CEE86BF">
            <w:pPr>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eastAsia="zh-CN"/>
              </w:rPr>
              <w:t>WYJZHFW2026006、NYZHFW2026028</w:t>
            </w:r>
          </w:p>
        </w:tc>
      </w:tr>
      <w:tr w14:paraId="41131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6B7C6F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00" w:type="dxa"/>
            <w:tcBorders>
              <w:top w:val="single" w:color="auto" w:sz="4" w:space="0"/>
              <w:left w:val="single" w:color="auto" w:sz="4" w:space="0"/>
              <w:bottom w:val="single" w:color="auto" w:sz="4" w:space="0"/>
              <w:right w:val="single" w:color="auto" w:sz="4" w:space="0"/>
            </w:tcBorders>
            <w:vAlign w:val="center"/>
          </w:tcPr>
          <w:p w14:paraId="0232388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招标内容</w:t>
            </w:r>
          </w:p>
        </w:tc>
        <w:tc>
          <w:tcPr>
            <w:tcW w:w="7157" w:type="dxa"/>
            <w:tcBorders>
              <w:top w:val="single" w:color="auto" w:sz="4" w:space="0"/>
              <w:left w:val="single" w:color="auto" w:sz="4" w:space="0"/>
              <w:bottom w:val="single" w:color="auto" w:sz="4" w:space="0"/>
              <w:right w:val="single" w:color="auto" w:sz="4" w:space="0"/>
            </w:tcBorders>
            <w:vAlign w:val="center"/>
          </w:tcPr>
          <w:p w14:paraId="367FE3D0">
            <w:pPr>
              <w:rPr>
                <w:rFonts w:hint="eastAsia" w:ascii="宋体" w:hAnsi="宋体" w:eastAsia="宋体" w:cs="宋体"/>
                <w:b/>
                <w:color w:val="auto"/>
                <w:sz w:val="21"/>
                <w:szCs w:val="21"/>
                <w:highlight w:val="none"/>
              </w:rPr>
            </w:pPr>
            <w:r>
              <w:rPr>
                <w:rFonts w:hint="eastAsia" w:ascii="宋体" w:hAnsi="宋体" w:cs="宋体"/>
                <w:b w:val="0"/>
                <w:bCs/>
                <w:color w:val="auto"/>
                <w:sz w:val="21"/>
                <w:szCs w:val="21"/>
                <w:highlight w:val="none"/>
                <w:lang w:eastAsia="zh-CN"/>
              </w:rPr>
              <w:t>温州港南岳港务有限公司、温州港益嘉港务有限公司</w:t>
            </w:r>
            <w:r>
              <w:rPr>
                <w:rFonts w:hint="eastAsia" w:ascii="宋体" w:hAnsi="宋体" w:eastAsia="宋体" w:cs="宋体"/>
                <w:bCs/>
                <w:color w:val="auto"/>
                <w:sz w:val="21"/>
                <w:szCs w:val="21"/>
                <w:highlight w:val="none"/>
              </w:rPr>
              <w:t>运营区域为中心，根据实地情况，由监管区边界向外围延伸50m，进行本底调查。调查主要分为四部分：昆虫调查、杂草调查、病</w:t>
            </w:r>
            <w:r>
              <w:rPr>
                <w:rFonts w:hint="eastAsia" w:ascii="宋体" w:hAnsi="宋体" w:cs="宋体"/>
                <w:bCs/>
                <w:color w:val="auto"/>
                <w:sz w:val="21"/>
                <w:szCs w:val="21"/>
                <w:highlight w:val="none"/>
                <w:lang w:val="en-US" w:eastAsia="zh-CN"/>
              </w:rPr>
              <w:t>虫</w:t>
            </w:r>
            <w:r>
              <w:rPr>
                <w:rFonts w:hint="eastAsia" w:ascii="宋体" w:hAnsi="宋体" w:eastAsia="宋体" w:cs="宋体"/>
                <w:bCs/>
                <w:color w:val="auto"/>
                <w:sz w:val="21"/>
                <w:szCs w:val="21"/>
                <w:highlight w:val="none"/>
              </w:rPr>
              <w:t>害与线虫调查。具体详见招标文件第二章招标需求。</w:t>
            </w:r>
          </w:p>
        </w:tc>
      </w:tr>
      <w:tr w14:paraId="4AF6A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7612DF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00" w:type="dxa"/>
            <w:tcBorders>
              <w:top w:val="single" w:color="auto" w:sz="4" w:space="0"/>
              <w:left w:val="single" w:color="auto" w:sz="4" w:space="0"/>
              <w:bottom w:val="single" w:color="auto" w:sz="4" w:space="0"/>
              <w:right w:val="single" w:color="auto" w:sz="4" w:space="0"/>
            </w:tcBorders>
            <w:vAlign w:val="center"/>
          </w:tcPr>
          <w:p w14:paraId="641EDCA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7157" w:type="dxa"/>
            <w:tcBorders>
              <w:top w:val="single" w:color="auto" w:sz="4" w:space="0"/>
              <w:left w:val="single" w:color="auto" w:sz="4" w:space="0"/>
              <w:bottom w:val="single" w:color="auto" w:sz="4" w:space="0"/>
              <w:right w:val="single" w:color="auto" w:sz="4" w:space="0"/>
            </w:tcBorders>
            <w:vAlign w:val="center"/>
          </w:tcPr>
          <w:p w14:paraId="2EF65B94">
            <w:pP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每年限价42万元，2年总限价84万元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42万元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42万元）</w:t>
            </w:r>
          </w:p>
        </w:tc>
      </w:tr>
      <w:tr w14:paraId="440AA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69078F1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00" w:type="dxa"/>
            <w:tcBorders>
              <w:top w:val="single" w:color="auto" w:sz="4" w:space="0"/>
              <w:left w:val="single" w:color="auto" w:sz="4" w:space="0"/>
              <w:bottom w:val="single" w:color="auto" w:sz="4" w:space="0"/>
              <w:right w:val="single" w:color="auto" w:sz="4" w:space="0"/>
            </w:tcBorders>
            <w:vAlign w:val="center"/>
          </w:tcPr>
          <w:p w14:paraId="782CF9C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7157" w:type="dxa"/>
            <w:tcBorders>
              <w:top w:val="single" w:color="auto" w:sz="4" w:space="0"/>
              <w:left w:val="single" w:color="auto" w:sz="4" w:space="0"/>
              <w:bottom w:val="single" w:color="auto" w:sz="4" w:space="0"/>
              <w:right w:val="single" w:color="auto" w:sz="4" w:space="0"/>
            </w:tcBorders>
            <w:vAlign w:val="center"/>
          </w:tcPr>
          <w:p w14:paraId="79E93FF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合同一年一签</w:t>
            </w:r>
            <w:r>
              <w:rPr>
                <w:rFonts w:hint="eastAsia" w:ascii="宋体" w:hAnsi="宋体" w:eastAsia="宋体" w:cs="宋体"/>
                <w:color w:val="auto"/>
                <w:sz w:val="21"/>
                <w:szCs w:val="21"/>
                <w:highlight w:val="none"/>
              </w:rPr>
              <w:t>。</w:t>
            </w:r>
          </w:p>
        </w:tc>
      </w:tr>
      <w:tr w14:paraId="5676C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35" w:type="dxa"/>
            <w:tcBorders>
              <w:top w:val="single" w:color="auto" w:sz="4" w:space="0"/>
              <w:left w:val="single" w:color="auto" w:sz="4" w:space="0"/>
              <w:bottom w:val="single" w:color="auto" w:sz="4" w:space="0"/>
              <w:right w:val="single" w:color="auto" w:sz="4" w:space="0"/>
            </w:tcBorders>
            <w:vAlign w:val="center"/>
          </w:tcPr>
          <w:p w14:paraId="1A3E00E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00" w:type="dxa"/>
            <w:tcBorders>
              <w:top w:val="single" w:color="auto" w:sz="4" w:space="0"/>
              <w:left w:val="single" w:color="auto" w:sz="4" w:space="0"/>
              <w:bottom w:val="single" w:color="auto" w:sz="4" w:space="0"/>
              <w:right w:val="single" w:color="auto" w:sz="4" w:space="0"/>
            </w:tcBorders>
            <w:vAlign w:val="center"/>
          </w:tcPr>
          <w:p w14:paraId="6352A14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投标人资格要求</w:t>
            </w:r>
          </w:p>
        </w:tc>
        <w:tc>
          <w:tcPr>
            <w:tcW w:w="7157" w:type="dxa"/>
            <w:tcBorders>
              <w:top w:val="single" w:color="auto" w:sz="4" w:space="0"/>
              <w:left w:val="single" w:color="auto" w:sz="4" w:space="0"/>
              <w:bottom w:val="single" w:color="auto" w:sz="4" w:space="0"/>
              <w:right w:val="single" w:color="auto" w:sz="4" w:space="0"/>
            </w:tcBorders>
            <w:vAlign w:val="center"/>
          </w:tcPr>
          <w:p w14:paraId="002988C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5E033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C8FBF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00" w:type="dxa"/>
            <w:tcBorders>
              <w:top w:val="single" w:color="auto" w:sz="4" w:space="0"/>
              <w:left w:val="single" w:color="auto" w:sz="4" w:space="0"/>
              <w:bottom w:val="single" w:color="auto" w:sz="4" w:space="0"/>
              <w:right w:val="single" w:color="auto" w:sz="4" w:space="0"/>
            </w:tcBorders>
            <w:vAlign w:val="center"/>
          </w:tcPr>
          <w:p w14:paraId="1C776E0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w:t>
            </w:r>
          </w:p>
        </w:tc>
        <w:tc>
          <w:tcPr>
            <w:tcW w:w="7157" w:type="dxa"/>
            <w:tcBorders>
              <w:top w:val="single" w:color="auto" w:sz="4" w:space="0"/>
              <w:left w:val="single" w:color="auto" w:sz="4" w:space="0"/>
              <w:bottom w:val="single" w:color="auto" w:sz="4" w:space="0"/>
              <w:right w:val="single" w:color="auto" w:sz="4" w:space="0"/>
            </w:tcBorders>
            <w:vAlign w:val="center"/>
          </w:tcPr>
          <w:p w14:paraId="5F9EABCA">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00FE"/>
            </w:r>
            <w:r>
              <w:rPr>
                <w:rFonts w:hint="eastAsia" w:ascii="宋体" w:hAnsi="宋体" w:eastAsia="宋体" w:cs="宋体"/>
                <w:color w:val="auto"/>
                <w:sz w:val="21"/>
                <w:szCs w:val="21"/>
                <w:highlight w:val="none"/>
              </w:rPr>
              <w:t>不接受</w:t>
            </w:r>
          </w:p>
          <w:p w14:paraId="773125AC">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00A8"/>
            </w:r>
            <w:r>
              <w:rPr>
                <w:rFonts w:hint="eastAsia" w:ascii="宋体" w:hAnsi="宋体" w:eastAsia="宋体" w:cs="宋体"/>
                <w:color w:val="auto"/>
                <w:sz w:val="21"/>
                <w:szCs w:val="21"/>
                <w:highlight w:val="none"/>
              </w:rPr>
              <w:t>接受，应满足下列要求：无。</w:t>
            </w:r>
          </w:p>
        </w:tc>
      </w:tr>
      <w:tr w14:paraId="6F3422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CBCB03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00" w:type="dxa"/>
            <w:tcBorders>
              <w:top w:val="single" w:color="auto" w:sz="4" w:space="0"/>
              <w:left w:val="single" w:color="auto" w:sz="4" w:space="0"/>
              <w:bottom w:val="single" w:color="auto" w:sz="4" w:space="0"/>
              <w:right w:val="single" w:color="auto" w:sz="4" w:space="0"/>
            </w:tcBorders>
            <w:vAlign w:val="center"/>
          </w:tcPr>
          <w:p w14:paraId="1DBDD6A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公告媒体</w:t>
            </w:r>
          </w:p>
        </w:tc>
        <w:tc>
          <w:tcPr>
            <w:tcW w:w="7157" w:type="dxa"/>
            <w:tcBorders>
              <w:top w:val="single" w:color="auto" w:sz="4" w:space="0"/>
              <w:left w:val="single" w:color="auto" w:sz="4" w:space="0"/>
              <w:bottom w:val="single" w:color="auto" w:sz="4" w:space="0"/>
              <w:right w:val="single" w:color="auto" w:sz="4" w:space="0"/>
            </w:tcBorders>
            <w:vAlign w:val="center"/>
          </w:tcPr>
          <w:p w14:paraId="049E7F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浙江海港电子招标采购平台（http：//hgdzzb.nbport.com.cn/）、</w:t>
            </w:r>
          </w:p>
          <w:p w14:paraId="5711DF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温州港集团有限公司网站</w:t>
            </w:r>
          </w:p>
          <w:p w14:paraId="7AC249B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（https://www.wzport.com/wzport/wzgzz/sy/index.html）</w:t>
            </w:r>
            <w:r>
              <w:rPr>
                <w:rFonts w:hint="eastAsia" w:asciiTheme="minorEastAsia" w:hAnsiTheme="minorEastAsia" w:eastAsiaTheme="minorEastAsia" w:cstheme="minorEastAsia"/>
                <w:color w:val="auto"/>
                <w:sz w:val="21"/>
                <w:szCs w:val="21"/>
                <w:highlight w:val="none"/>
              </w:rPr>
              <w:t>、</w:t>
            </w:r>
            <w:r>
              <w:rPr>
                <w:rFonts w:hint="eastAsia" w:ascii="宋体" w:hAnsi="宋体" w:eastAsia="宋体" w:cs="宋体"/>
                <w:color w:val="auto"/>
                <w:sz w:val="21"/>
                <w:szCs w:val="21"/>
                <w:highlight w:val="none"/>
                <w:lang w:val="en-US" w:eastAsia="zh-CN"/>
              </w:rPr>
              <w:t>中国采购与招标网（https://www.chinabidding.cn/?utm_term）</w:t>
            </w:r>
            <w:r>
              <w:rPr>
                <w:rFonts w:hint="eastAsia" w:ascii="宋体" w:hAnsi="宋体" w:eastAsia="宋体" w:cs="宋体"/>
                <w:color w:val="auto"/>
                <w:sz w:val="21"/>
                <w:szCs w:val="21"/>
                <w:highlight w:val="none"/>
              </w:rPr>
              <w:t>。</w:t>
            </w:r>
          </w:p>
        </w:tc>
      </w:tr>
      <w:tr w14:paraId="5B2B4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E6C859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00" w:type="dxa"/>
            <w:tcBorders>
              <w:top w:val="single" w:color="auto" w:sz="4" w:space="0"/>
              <w:left w:val="single" w:color="auto" w:sz="4" w:space="0"/>
              <w:bottom w:val="single" w:color="auto" w:sz="4" w:space="0"/>
              <w:right w:val="single" w:color="auto" w:sz="4" w:space="0"/>
            </w:tcBorders>
            <w:vAlign w:val="center"/>
          </w:tcPr>
          <w:p w14:paraId="3067048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投标货币</w:t>
            </w:r>
          </w:p>
        </w:tc>
        <w:tc>
          <w:tcPr>
            <w:tcW w:w="7157" w:type="dxa"/>
            <w:tcBorders>
              <w:top w:val="single" w:color="auto" w:sz="4" w:space="0"/>
              <w:left w:val="single" w:color="auto" w:sz="4" w:space="0"/>
              <w:bottom w:val="single" w:color="auto" w:sz="4" w:space="0"/>
              <w:right w:val="single" w:color="auto" w:sz="4" w:space="0"/>
            </w:tcBorders>
            <w:vAlign w:val="center"/>
          </w:tcPr>
          <w:p w14:paraId="4D19F78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p>
        </w:tc>
      </w:tr>
      <w:tr w14:paraId="60635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3DCC6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00" w:type="dxa"/>
            <w:tcBorders>
              <w:top w:val="single" w:color="auto" w:sz="4" w:space="0"/>
              <w:left w:val="single" w:color="auto" w:sz="4" w:space="0"/>
              <w:bottom w:val="single" w:color="auto" w:sz="4" w:space="0"/>
              <w:right w:val="single" w:color="auto" w:sz="4" w:space="0"/>
            </w:tcBorders>
            <w:vAlign w:val="center"/>
          </w:tcPr>
          <w:p w14:paraId="196255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投标语言</w:t>
            </w:r>
          </w:p>
        </w:tc>
        <w:tc>
          <w:tcPr>
            <w:tcW w:w="7157" w:type="dxa"/>
            <w:tcBorders>
              <w:top w:val="single" w:color="auto" w:sz="4" w:space="0"/>
              <w:left w:val="single" w:color="auto" w:sz="4" w:space="0"/>
              <w:bottom w:val="single" w:color="auto" w:sz="4" w:space="0"/>
              <w:right w:val="single" w:color="auto" w:sz="4" w:space="0"/>
            </w:tcBorders>
            <w:vAlign w:val="center"/>
          </w:tcPr>
          <w:p w14:paraId="28925C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中文</w:t>
            </w:r>
          </w:p>
        </w:tc>
      </w:tr>
      <w:tr w14:paraId="26B82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vAlign w:val="center"/>
          </w:tcPr>
          <w:p w14:paraId="40621B2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00" w:type="dxa"/>
            <w:tcBorders>
              <w:top w:val="single" w:color="auto" w:sz="4" w:space="0"/>
              <w:left w:val="single" w:color="auto" w:sz="4" w:space="0"/>
              <w:bottom w:val="single" w:color="auto" w:sz="4" w:space="0"/>
              <w:right w:val="single" w:color="auto" w:sz="4" w:space="0"/>
            </w:tcBorders>
            <w:vAlign w:val="center"/>
          </w:tcPr>
          <w:p w14:paraId="6D351D2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157" w:type="dxa"/>
            <w:tcBorders>
              <w:top w:val="single" w:color="auto" w:sz="4" w:space="0"/>
              <w:left w:val="single" w:color="auto" w:sz="4" w:space="0"/>
              <w:bottom w:val="single" w:color="auto" w:sz="4" w:space="0"/>
              <w:right w:val="single" w:color="auto" w:sz="4" w:space="0"/>
            </w:tcBorders>
            <w:vAlign w:val="center"/>
          </w:tcPr>
          <w:p w14:paraId="1E82ABE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1、本项目投标报价为</w:t>
            </w:r>
            <w:r>
              <w:rPr>
                <w:rFonts w:hint="eastAsia" w:ascii="宋体" w:hAnsi="宋体" w:cs="宋体"/>
                <w:color w:val="auto"/>
                <w:sz w:val="21"/>
                <w:szCs w:val="21"/>
                <w:highlight w:val="none"/>
                <w:lang w:eastAsia="zh-CN"/>
              </w:rPr>
              <w:t>温州港南岳港务有限公司、温州港益嘉港务有限公司植物有害生物本底调查</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费用报价，实行固定总价包干。</w:t>
            </w:r>
          </w:p>
          <w:p w14:paraId="03B8080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2、不论采购结果如何，投标人均应自行承担所有与投标有关的全部费用。</w:t>
            </w:r>
          </w:p>
        </w:tc>
      </w:tr>
      <w:tr w14:paraId="798D7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735" w:type="dxa"/>
            <w:tcBorders>
              <w:top w:val="single" w:color="auto" w:sz="4" w:space="0"/>
              <w:left w:val="single" w:color="auto" w:sz="4" w:space="0"/>
              <w:bottom w:val="single" w:color="auto" w:sz="4" w:space="0"/>
              <w:right w:val="single" w:color="auto" w:sz="4" w:space="0"/>
            </w:tcBorders>
            <w:vAlign w:val="center"/>
          </w:tcPr>
          <w:p w14:paraId="3AB7383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00" w:type="dxa"/>
            <w:tcBorders>
              <w:top w:val="single" w:color="auto" w:sz="4" w:space="0"/>
              <w:left w:val="single" w:color="auto" w:sz="4" w:space="0"/>
              <w:bottom w:val="single" w:color="auto" w:sz="4" w:space="0"/>
              <w:right w:val="single" w:color="auto" w:sz="4" w:space="0"/>
            </w:tcBorders>
            <w:vAlign w:val="center"/>
          </w:tcPr>
          <w:p w14:paraId="46DE029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投标保证金数额</w:t>
            </w:r>
          </w:p>
        </w:tc>
        <w:tc>
          <w:tcPr>
            <w:tcW w:w="7157" w:type="dxa"/>
            <w:tcBorders>
              <w:top w:val="single" w:color="auto" w:sz="4" w:space="0"/>
              <w:left w:val="single" w:color="auto" w:sz="4" w:space="0"/>
              <w:bottom w:val="single" w:color="auto" w:sz="4" w:space="0"/>
              <w:right w:val="single" w:color="auto" w:sz="4" w:space="0"/>
            </w:tcBorders>
            <w:vAlign w:val="center"/>
          </w:tcPr>
          <w:p w14:paraId="6BC5D7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1、投标保证金：人民币</w:t>
            </w:r>
            <w:r>
              <w:rPr>
                <w:rFonts w:hint="eastAsia" w:ascii="宋体" w:hAnsi="宋体" w:cs="宋体"/>
                <w:color w:val="auto"/>
                <w:sz w:val="21"/>
                <w:szCs w:val="21"/>
                <w:highlight w:val="none"/>
                <w:lang w:val="en-US" w:eastAsia="zh-CN"/>
              </w:rPr>
              <w:t>捌</w:t>
            </w:r>
            <w:r>
              <w:rPr>
                <w:rFonts w:hint="eastAsia" w:ascii="宋体" w:hAnsi="宋体" w:eastAsia="宋体" w:cs="宋体"/>
                <w:color w:val="auto"/>
                <w:sz w:val="21"/>
                <w:szCs w:val="21"/>
                <w:highlight w:val="none"/>
              </w:rPr>
              <w:t>仟元整（¥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000.00）</w:t>
            </w:r>
          </w:p>
          <w:p w14:paraId="727B66C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2、投标人应于 </w:t>
            </w:r>
            <w:r>
              <w:rPr>
                <w:rFonts w:hint="eastAsia" w:ascii="宋体" w:hAnsi="宋体" w:cs="宋体"/>
                <w:color w:val="auto"/>
                <w:sz w:val="21"/>
                <w:szCs w:val="21"/>
                <w:highlight w:val="none"/>
                <w:lang w:eastAsia="zh-CN"/>
              </w:rPr>
              <w:t>2026</w:t>
            </w:r>
            <w:r>
              <w:rPr>
                <w:rFonts w:hint="eastAsia" w:ascii="宋体" w:hAnsi="宋体" w:eastAsia="宋体" w:cs="宋体"/>
                <w:color w:val="auto"/>
                <w:sz w:val="21"/>
                <w:szCs w:val="21"/>
                <w:highlight w:val="none"/>
              </w:rPr>
              <w:t>年  月  日</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：00 前通过浙江省海港集团电子招标采购平台汇入指定账户。</w:t>
            </w:r>
          </w:p>
          <w:p w14:paraId="4E03A341">
            <w:pP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3、投标保证金应通过投标人银行基本账户汇入，否则视为投标保证金无效。</w:t>
            </w:r>
          </w:p>
        </w:tc>
      </w:tr>
      <w:tr w14:paraId="55F64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58D8C9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00" w:type="dxa"/>
            <w:tcBorders>
              <w:top w:val="single" w:color="auto" w:sz="4" w:space="0"/>
              <w:left w:val="single" w:color="auto" w:sz="4" w:space="0"/>
              <w:bottom w:val="single" w:color="auto" w:sz="4" w:space="0"/>
              <w:right w:val="single" w:color="auto" w:sz="4" w:space="0"/>
            </w:tcBorders>
            <w:vAlign w:val="center"/>
          </w:tcPr>
          <w:p w14:paraId="411213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7157" w:type="dxa"/>
            <w:tcBorders>
              <w:top w:val="single" w:color="auto" w:sz="4" w:space="0"/>
              <w:left w:val="single" w:color="auto" w:sz="4" w:space="0"/>
              <w:bottom w:val="single" w:color="auto" w:sz="4" w:space="0"/>
              <w:right w:val="single" w:color="auto" w:sz="4" w:space="0"/>
            </w:tcBorders>
            <w:vAlign w:val="center"/>
          </w:tcPr>
          <w:p w14:paraId="30A87BE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w:t>
            </w:r>
          </w:p>
          <w:p w14:paraId="0AC9A4E4">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F0FE"/>
            </w:r>
            <w:r>
              <w:rPr>
                <w:rFonts w:hint="eastAsia" w:ascii="宋体" w:hAnsi="宋体" w:eastAsia="宋体" w:cs="宋体"/>
                <w:color w:val="auto"/>
                <w:sz w:val="21"/>
                <w:szCs w:val="21"/>
                <w:highlight w:val="none"/>
              </w:rPr>
              <w:t>不组织</w:t>
            </w:r>
            <w:r>
              <w:rPr>
                <w:rFonts w:hint="eastAsia" w:ascii="宋体" w:hAnsi="宋体" w:eastAsia="宋体" w:cs="宋体"/>
                <w:color w:val="auto"/>
                <w:szCs w:val="21"/>
                <w:highlight w:val="none"/>
              </w:rPr>
              <w:t>由投标人自行决定是否前往，踏勘所产生的费用与责任均由投标人自行承担，与招标人或招标代理机构无涉。</w:t>
            </w:r>
          </w:p>
        </w:tc>
      </w:tr>
      <w:tr w14:paraId="4840C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EA0863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00" w:type="dxa"/>
            <w:tcBorders>
              <w:top w:val="single" w:color="auto" w:sz="4" w:space="0"/>
              <w:left w:val="single" w:color="auto" w:sz="4" w:space="0"/>
              <w:bottom w:val="single" w:color="auto" w:sz="4" w:space="0"/>
              <w:right w:val="single" w:color="auto" w:sz="4" w:space="0"/>
            </w:tcBorders>
            <w:vAlign w:val="center"/>
          </w:tcPr>
          <w:p w14:paraId="0663C9A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7157" w:type="dxa"/>
            <w:tcBorders>
              <w:top w:val="single" w:color="auto" w:sz="4" w:space="0"/>
              <w:left w:val="single" w:color="auto" w:sz="4" w:space="0"/>
              <w:bottom w:val="single" w:color="auto" w:sz="4" w:space="0"/>
              <w:right w:val="single" w:color="auto" w:sz="4" w:space="0"/>
            </w:tcBorders>
            <w:vAlign w:val="center"/>
          </w:tcPr>
          <w:p w14:paraId="1E55A44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w:t>
            </w:r>
          </w:p>
          <w:p w14:paraId="33A43AEB">
            <w:pPr>
              <w:rPr>
                <w:rFonts w:hint="eastAsia" w:ascii="宋体" w:hAnsi="宋体" w:eastAsia="宋体" w:cs="宋体"/>
                <w:bCs/>
                <w:snapToGrid w:val="0"/>
                <w:color w:val="auto"/>
                <w:sz w:val="21"/>
                <w:szCs w:val="21"/>
                <w:highlight w:val="none"/>
              </w:rPr>
            </w:pPr>
            <w:r>
              <w:rPr>
                <w:rFonts w:hint="eastAsia" w:ascii="宋体" w:hAnsi="宋体" w:eastAsia="宋体" w:cs="宋体"/>
                <w:bCs/>
                <w:snapToGrid w:val="0"/>
                <w:color w:val="auto"/>
                <w:sz w:val="21"/>
                <w:szCs w:val="21"/>
                <w:highlight w:val="none"/>
              </w:rPr>
              <w:sym w:font="Wingdings" w:char="F0FE"/>
            </w:r>
            <w:r>
              <w:rPr>
                <w:rFonts w:hint="eastAsia" w:ascii="宋体" w:hAnsi="宋体" w:eastAsia="宋体" w:cs="宋体"/>
                <w:color w:val="auto"/>
                <w:sz w:val="21"/>
                <w:szCs w:val="21"/>
                <w:highlight w:val="none"/>
              </w:rPr>
              <w:t>不召开</w:t>
            </w:r>
          </w:p>
        </w:tc>
      </w:tr>
      <w:tr w14:paraId="08252C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2FA8479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00" w:type="dxa"/>
            <w:tcBorders>
              <w:top w:val="single" w:color="auto" w:sz="4" w:space="0"/>
              <w:left w:val="single" w:color="auto" w:sz="4" w:space="0"/>
              <w:bottom w:val="single" w:color="auto" w:sz="4" w:space="0"/>
              <w:right w:val="single" w:color="auto" w:sz="4" w:space="0"/>
            </w:tcBorders>
            <w:vAlign w:val="center"/>
          </w:tcPr>
          <w:p w14:paraId="38621DEB">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分包与转包</w:t>
            </w:r>
          </w:p>
        </w:tc>
        <w:tc>
          <w:tcPr>
            <w:tcW w:w="7157" w:type="dxa"/>
            <w:tcBorders>
              <w:top w:val="single" w:color="auto" w:sz="4" w:space="0"/>
              <w:left w:val="single" w:color="auto" w:sz="4" w:space="0"/>
              <w:bottom w:val="single" w:color="auto" w:sz="4" w:space="0"/>
              <w:right w:val="single" w:color="auto" w:sz="4" w:space="0"/>
            </w:tcBorders>
            <w:vAlign w:val="center"/>
          </w:tcPr>
          <w:p w14:paraId="083E6F3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（1）分包：</w:t>
            </w:r>
          </w:p>
          <w:p w14:paraId="63BEE2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同意将非主体、非关键性的工作分包。</w:t>
            </w:r>
          </w:p>
          <w:p w14:paraId="76ECF02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不同意分包。</w:t>
            </w:r>
          </w:p>
          <w:p w14:paraId="06DB4143">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（2）转包：本项目不允许转包。</w:t>
            </w:r>
          </w:p>
        </w:tc>
      </w:tr>
      <w:tr w14:paraId="0950F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D32E73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00" w:type="dxa"/>
            <w:tcBorders>
              <w:top w:val="single" w:color="auto" w:sz="4" w:space="0"/>
              <w:left w:val="single" w:color="auto" w:sz="4" w:space="0"/>
              <w:bottom w:val="single" w:color="auto" w:sz="4" w:space="0"/>
              <w:right w:val="single" w:color="auto" w:sz="4" w:space="0"/>
            </w:tcBorders>
            <w:vAlign w:val="center"/>
          </w:tcPr>
          <w:p w14:paraId="027268C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投标文件组成</w:t>
            </w:r>
          </w:p>
        </w:tc>
        <w:tc>
          <w:tcPr>
            <w:tcW w:w="7157" w:type="dxa"/>
            <w:tcBorders>
              <w:top w:val="single" w:color="auto" w:sz="4" w:space="0"/>
              <w:left w:val="single" w:color="auto" w:sz="4" w:space="0"/>
              <w:bottom w:val="single" w:color="auto" w:sz="4" w:space="0"/>
              <w:right w:val="single" w:color="auto" w:sz="4" w:space="0"/>
            </w:tcBorders>
            <w:vAlign w:val="center"/>
          </w:tcPr>
          <w:p w14:paraId="00ECB4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完整的《投标文件》由</w:t>
            </w:r>
            <w:r>
              <w:rPr>
                <w:rFonts w:hint="eastAsia" w:ascii="宋体" w:hAnsi="宋体" w:eastAsia="宋体" w:cs="宋体"/>
                <w:color w:val="auto"/>
                <w:kern w:val="0"/>
                <w:sz w:val="21"/>
                <w:szCs w:val="21"/>
                <w:highlight w:val="none"/>
              </w:rPr>
              <w:t>资格审查文件、商务</w:t>
            </w:r>
            <w:r>
              <w:rPr>
                <w:rFonts w:hint="eastAsia" w:ascii="宋体" w:hAnsi="宋体" w:eastAsia="宋体" w:cs="宋体"/>
                <w:color w:val="auto"/>
                <w:sz w:val="21"/>
                <w:szCs w:val="21"/>
                <w:highlight w:val="none"/>
                <w:lang w:bidi="ar"/>
              </w:rPr>
              <w:t>技术标和价格标</w:t>
            </w:r>
            <w:r>
              <w:rPr>
                <w:rFonts w:hint="eastAsia" w:ascii="宋体" w:hAnsi="宋体" w:eastAsia="宋体" w:cs="宋体"/>
                <w:color w:val="auto"/>
                <w:sz w:val="21"/>
                <w:szCs w:val="21"/>
                <w:highlight w:val="none"/>
              </w:rPr>
              <w:t>构成。</w:t>
            </w:r>
          </w:p>
        </w:tc>
      </w:tr>
      <w:tr w14:paraId="06656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5B088A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00" w:type="dxa"/>
            <w:tcBorders>
              <w:top w:val="single" w:color="auto" w:sz="4" w:space="0"/>
              <w:left w:val="single" w:color="auto" w:sz="4" w:space="0"/>
              <w:bottom w:val="single" w:color="auto" w:sz="4" w:space="0"/>
              <w:right w:val="single" w:color="auto" w:sz="4" w:space="0"/>
            </w:tcBorders>
            <w:vAlign w:val="center"/>
          </w:tcPr>
          <w:p w14:paraId="7056A28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投标文件的编制</w:t>
            </w:r>
          </w:p>
        </w:tc>
        <w:tc>
          <w:tcPr>
            <w:tcW w:w="7157" w:type="dxa"/>
            <w:tcBorders>
              <w:top w:val="single" w:color="auto" w:sz="4" w:space="0"/>
              <w:left w:val="single" w:color="auto" w:sz="4" w:space="0"/>
              <w:bottom w:val="single" w:color="auto" w:sz="4" w:space="0"/>
              <w:right w:val="single" w:color="auto" w:sz="4" w:space="0"/>
            </w:tcBorders>
            <w:vAlign w:val="center"/>
          </w:tcPr>
          <w:p w14:paraId="5F4DD01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投标人应根据招标文件中所提供的格式编制（招标文件未提供格式的，投标人可自拟格式），</w:t>
            </w:r>
            <w:r>
              <w:rPr>
                <w:rFonts w:hint="eastAsia" w:ascii="宋体" w:hAnsi="宋体" w:eastAsia="宋体" w:cs="宋体"/>
                <w:color w:val="auto"/>
                <w:kern w:val="0"/>
                <w:sz w:val="21"/>
                <w:szCs w:val="21"/>
                <w:highlight w:val="none"/>
              </w:rPr>
              <w:t>将电子投标文件加密后递交至电子招标采购平台。</w:t>
            </w:r>
          </w:p>
        </w:tc>
      </w:tr>
      <w:tr w14:paraId="10E7F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23DF50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00" w:type="dxa"/>
            <w:tcBorders>
              <w:top w:val="single" w:color="auto" w:sz="4" w:space="0"/>
              <w:left w:val="single" w:color="auto" w:sz="4" w:space="0"/>
              <w:bottom w:val="single" w:color="auto" w:sz="4" w:space="0"/>
              <w:right w:val="single" w:color="auto" w:sz="4" w:space="0"/>
            </w:tcBorders>
            <w:vAlign w:val="center"/>
          </w:tcPr>
          <w:p w14:paraId="0529211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投标文件的签章</w:t>
            </w:r>
          </w:p>
        </w:tc>
        <w:tc>
          <w:tcPr>
            <w:tcW w:w="7157" w:type="dxa"/>
            <w:tcBorders>
              <w:top w:val="single" w:color="auto" w:sz="4" w:space="0"/>
              <w:left w:val="single" w:color="auto" w:sz="4" w:space="0"/>
              <w:bottom w:val="single" w:color="auto" w:sz="4" w:space="0"/>
              <w:right w:val="single" w:color="auto" w:sz="4" w:space="0"/>
            </w:tcBorders>
            <w:vAlign w:val="center"/>
          </w:tcPr>
          <w:p w14:paraId="0CDDF0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法人授权代表签字并加盖投标人公章（或电子签章）。</w:t>
            </w:r>
          </w:p>
        </w:tc>
      </w:tr>
      <w:tr w14:paraId="18414F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AC4ECC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00" w:type="dxa"/>
            <w:tcBorders>
              <w:top w:val="single" w:color="auto" w:sz="4" w:space="0"/>
              <w:left w:val="single" w:color="auto" w:sz="4" w:space="0"/>
              <w:bottom w:val="single" w:color="auto" w:sz="4" w:space="0"/>
              <w:right w:val="single" w:color="auto" w:sz="4" w:space="0"/>
            </w:tcBorders>
            <w:vAlign w:val="center"/>
          </w:tcPr>
          <w:p w14:paraId="44D85591">
            <w:pPr>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bidi="ar"/>
              </w:rPr>
              <w:t>投标文件的形式</w:t>
            </w:r>
          </w:p>
        </w:tc>
        <w:tc>
          <w:tcPr>
            <w:tcW w:w="7157" w:type="dxa"/>
            <w:tcBorders>
              <w:top w:val="single" w:color="auto" w:sz="4" w:space="0"/>
              <w:left w:val="single" w:color="auto" w:sz="4" w:space="0"/>
              <w:bottom w:val="single" w:color="auto" w:sz="4" w:space="0"/>
              <w:right w:val="single" w:color="auto" w:sz="4" w:space="0"/>
            </w:tcBorders>
            <w:vAlign w:val="center"/>
          </w:tcPr>
          <w:p w14:paraId="16384B2D">
            <w:pPr>
              <w:rPr>
                <w:rFonts w:hint="eastAsia" w:ascii="宋体" w:hAnsi="宋体" w:eastAsia="宋体" w:cs="宋体"/>
                <w:color w:val="auto"/>
                <w:sz w:val="21"/>
                <w:szCs w:val="21"/>
                <w:highlight w:val="none"/>
              </w:rPr>
            </w:pPr>
            <w:r>
              <w:rPr>
                <w:rFonts w:hint="eastAsia" w:ascii="宋体" w:hAnsi="宋体" w:eastAsia="宋体" w:cs="宋体"/>
                <w:bCs/>
                <w:snapToGrid w:val="0"/>
                <w:color w:val="auto"/>
                <w:sz w:val="21"/>
                <w:szCs w:val="21"/>
                <w:highlight w:val="none"/>
              </w:rPr>
              <w:sym w:font="Wingdings" w:char="00FE"/>
            </w:r>
            <w:r>
              <w:rPr>
                <w:rFonts w:hint="eastAsia" w:ascii="宋体" w:hAnsi="宋体" w:eastAsia="宋体" w:cs="宋体"/>
                <w:color w:val="auto"/>
                <w:sz w:val="21"/>
                <w:szCs w:val="21"/>
                <w:highlight w:val="none"/>
                <w:lang w:bidi="ar"/>
              </w:rPr>
              <w:t>电子投标文件</w:t>
            </w:r>
          </w:p>
        </w:tc>
      </w:tr>
      <w:tr w14:paraId="23888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6F1371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00" w:type="dxa"/>
            <w:tcBorders>
              <w:top w:val="single" w:color="auto" w:sz="4" w:space="0"/>
              <w:left w:val="single" w:color="auto" w:sz="4" w:space="0"/>
              <w:bottom w:val="single" w:color="auto" w:sz="4" w:space="0"/>
              <w:right w:val="single" w:color="auto" w:sz="4" w:space="0"/>
            </w:tcBorders>
            <w:vAlign w:val="center"/>
          </w:tcPr>
          <w:p w14:paraId="2A5A92F8">
            <w:pPr>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rPr>
              <w:t>投标文件份数</w:t>
            </w:r>
          </w:p>
        </w:tc>
        <w:tc>
          <w:tcPr>
            <w:tcW w:w="7157" w:type="dxa"/>
            <w:tcBorders>
              <w:top w:val="single" w:color="auto" w:sz="4" w:space="0"/>
              <w:left w:val="single" w:color="auto" w:sz="4" w:space="0"/>
              <w:bottom w:val="single" w:color="auto" w:sz="4" w:space="0"/>
              <w:right w:val="single" w:color="auto" w:sz="4" w:space="0"/>
            </w:tcBorders>
            <w:vAlign w:val="center"/>
          </w:tcPr>
          <w:p w14:paraId="5DFFC99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“电子加密投标文件”：在</w:t>
            </w:r>
            <w:r>
              <w:rPr>
                <w:rFonts w:hint="eastAsia" w:ascii="宋体" w:hAnsi="宋体" w:eastAsia="宋体" w:cs="宋体"/>
                <w:color w:val="auto"/>
                <w:kern w:val="0"/>
                <w:sz w:val="21"/>
                <w:szCs w:val="21"/>
                <w:highlight w:val="none"/>
              </w:rPr>
              <w:t>电子招标采购平台</w:t>
            </w:r>
            <w:r>
              <w:rPr>
                <w:rFonts w:hint="eastAsia" w:ascii="宋体" w:hAnsi="宋体" w:eastAsia="宋体" w:cs="宋体"/>
                <w:color w:val="auto"/>
                <w:sz w:val="21"/>
                <w:szCs w:val="21"/>
                <w:highlight w:val="none"/>
                <w:lang w:bidi="ar"/>
              </w:rPr>
              <w:t>线上传递交、一份。</w:t>
            </w:r>
          </w:p>
          <w:p w14:paraId="0ABBF5EC">
            <w:pP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纸质文档：中标人须提供纸质投标响应文件并加盖单位公章一份，送至代理公司。</w:t>
            </w:r>
          </w:p>
        </w:tc>
      </w:tr>
      <w:tr w14:paraId="74D50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5B163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00" w:type="dxa"/>
            <w:tcBorders>
              <w:top w:val="single" w:color="auto" w:sz="4" w:space="0"/>
              <w:left w:val="single" w:color="auto" w:sz="4" w:space="0"/>
              <w:bottom w:val="single" w:color="auto" w:sz="4" w:space="0"/>
              <w:right w:val="single" w:color="auto" w:sz="4" w:space="0"/>
            </w:tcBorders>
            <w:vAlign w:val="center"/>
          </w:tcPr>
          <w:p w14:paraId="79752B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投标文件递交截止时间及地点</w:t>
            </w:r>
          </w:p>
        </w:tc>
        <w:tc>
          <w:tcPr>
            <w:tcW w:w="7157" w:type="dxa"/>
            <w:tcBorders>
              <w:top w:val="single" w:color="auto" w:sz="4" w:space="0"/>
              <w:left w:val="single" w:color="auto" w:sz="4" w:space="0"/>
              <w:bottom w:val="single" w:color="auto" w:sz="4" w:space="0"/>
              <w:right w:val="single" w:color="auto" w:sz="4" w:space="0"/>
            </w:tcBorders>
            <w:vAlign w:val="center"/>
          </w:tcPr>
          <w:p w14:paraId="1C274AB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21BDCA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6C50F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00" w:type="dxa"/>
            <w:tcBorders>
              <w:top w:val="single" w:color="auto" w:sz="4" w:space="0"/>
              <w:left w:val="single" w:color="auto" w:sz="4" w:space="0"/>
              <w:bottom w:val="single" w:color="auto" w:sz="4" w:space="0"/>
              <w:right w:val="single" w:color="auto" w:sz="4" w:space="0"/>
            </w:tcBorders>
            <w:vAlign w:val="center"/>
          </w:tcPr>
          <w:p w14:paraId="5B1963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开标时间及地点</w:t>
            </w:r>
          </w:p>
        </w:tc>
        <w:tc>
          <w:tcPr>
            <w:tcW w:w="7157" w:type="dxa"/>
            <w:tcBorders>
              <w:top w:val="single" w:color="auto" w:sz="4" w:space="0"/>
              <w:left w:val="single" w:color="auto" w:sz="4" w:space="0"/>
              <w:bottom w:val="single" w:color="auto" w:sz="4" w:space="0"/>
              <w:right w:val="single" w:color="auto" w:sz="4" w:space="0"/>
            </w:tcBorders>
            <w:vAlign w:val="center"/>
          </w:tcPr>
          <w:p w14:paraId="6E3A226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79B46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D4C4EE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00" w:type="dxa"/>
            <w:tcBorders>
              <w:top w:val="single" w:color="auto" w:sz="4" w:space="0"/>
              <w:left w:val="single" w:color="auto" w:sz="4" w:space="0"/>
              <w:bottom w:val="single" w:color="auto" w:sz="4" w:space="0"/>
              <w:right w:val="single" w:color="auto" w:sz="4" w:space="0"/>
            </w:tcBorders>
            <w:vAlign w:val="center"/>
          </w:tcPr>
          <w:p w14:paraId="246AB98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7157" w:type="dxa"/>
            <w:tcBorders>
              <w:top w:val="single" w:color="auto" w:sz="4" w:space="0"/>
              <w:left w:val="single" w:color="auto" w:sz="4" w:space="0"/>
              <w:bottom w:val="single" w:color="auto" w:sz="4" w:space="0"/>
              <w:right w:val="single" w:color="auto" w:sz="4" w:space="0"/>
            </w:tcBorders>
            <w:vAlign w:val="center"/>
          </w:tcPr>
          <w:p w14:paraId="45803AC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tc>
      </w:tr>
      <w:tr w14:paraId="66190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0770E1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00" w:type="dxa"/>
            <w:tcBorders>
              <w:top w:val="single" w:color="auto" w:sz="4" w:space="0"/>
              <w:left w:val="single" w:color="auto" w:sz="4" w:space="0"/>
              <w:bottom w:val="single" w:color="auto" w:sz="4" w:space="0"/>
              <w:right w:val="single" w:color="auto" w:sz="4" w:space="0"/>
            </w:tcBorders>
            <w:vAlign w:val="center"/>
          </w:tcPr>
          <w:p w14:paraId="6FC769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157" w:type="dxa"/>
            <w:tcBorders>
              <w:top w:val="single" w:color="auto" w:sz="4" w:space="0"/>
              <w:left w:val="single" w:color="auto" w:sz="4" w:space="0"/>
              <w:bottom w:val="single" w:color="auto" w:sz="4" w:space="0"/>
              <w:right w:val="single" w:color="auto" w:sz="4" w:space="0"/>
            </w:tcBorders>
            <w:vAlign w:val="center"/>
          </w:tcPr>
          <w:p w14:paraId="53F0BD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中标通知书发出之日起30天内。</w:t>
            </w:r>
          </w:p>
        </w:tc>
      </w:tr>
      <w:tr w14:paraId="22B56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AEEFF1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100" w:type="dxa"/>
            <w:tcBorders>
              <w:top w:val="single" w:color="auto" w:sz="4" w:space="0"/>
              <w:left w:val="single" w:color="auto" w:sz="4" w:space="0"/>
              <w:bottom w:val="single" w:color="auto" w:sz="4" w:space="0"/>
              <w:right w:val="single" w:color="auto" w:sz="4" w:space="0"/>
            </w:tcBorders>
            <w:vAlign w:val="center"/>
          </w:tcPr>
          <w:p w14:paraId="4C2C2BD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投标文件有效期</w:t>
            </w:r>
          </w:p>
        </w:tc>
        <w:tc>
          <w:tcPr>
            <w:tcW w:w="7157" w:type="dxa"/>
            <w:tcBorders>
              <w:top w:val="single" w:color="auto" w:sz="4" w:space="0"/>
              <w:left w:val="single" w:color="auto" w:sz="4" w:space="0"/>
              <w:bottom w:val="single" w:color="auto" w:sz="4" w:space="0"/>
              <w:right w:val="single" w:color="auto" w:sz="4" w:space="0"/>
            </w:tcBorders>
            <w:vAlign w:val="center"/>
          </w:tcPr>
          <w:p w14:paraId="60EC4F8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90天</w:t>
            </w:r>
          </w:p>
        </w:tc>
      </w:tr>
      <w:tr w14:paraId="205C8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0B4CDE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100" w:type="dxa"/>
            <w:tcBorders>
              <w:top w:val="single" w:color="auto" w:sz="4" w:space="0"/>
              <w:left w:val="single" w:color="auto" w:sz="4" w:space="0"/>
              <w:bottom w:val="single" w:color="auto" w:sz="4" w:space="0"/>
              <w:right w:val="single" w:color="auto" w:sz="4" w:space="0"/>
            </w:tcBorders>
            <w:vAlign w:val="center"/>
          </w:tcPr>
          <w:p w14:paraId="23A7C34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开评标程序</w:t>
            </w:r>
          </w:p>
        </w:tc>
        <w:tc>
          <w:tcPr>
            <w:tcW w:w="7157" w:type="dxa"/>
            <w:tcBorders>
              <w:top w:val="single" w:color="auto" w:sz="4" w:space="0"/>
              <w:left w:val="single" w:color="auto" w:sz="4" w:space="0"/>
              <w:bottom w:val="single" w:color="auto" w:sz="4" w:space="0"/>
              <w:right w:val="single" w:color="auto" w:sz="4" w:space="0"/>
            </w:tcBorders>
            <w:vAlign w:val="center"/>
          </w:tcPr>
          <w:p w14:paraId="645E3B3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开启资格审查文件、商务技术标、价格标</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资格性审查</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商务技术标评审</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价格标评审</w:t>
            </w:r>
            <w:r>
              <w:rPr>
                <w:rFonts w:hint="eastAsia" w:ascii="宋体" w:hAnsi="宋体" w:eastAsia="宋体" w:cs="宋体"/>
                <w:color w:val="auto"/>
                <w:sz w:val="21"/>
                <w:szCs w:val="21"/>
                <w:highlight w:val="none"/>
              </w:rPr>
              <w:sym w:font="Wingdings" w:char="F0E8"/>
            </w:r>
            <w:r>
              <w:rPr>
                <w:rFonts w:hint="eastAsia" w:ascii="宋体" w:hAnsi="宋体" w:eastAsia="宋体" w:cs="宋体"/>
                <w:color w:val="auto"/>
                <w:sz w:val="21"/>
                <w:szCs w:val="21"/>
                <w:highlight w:val="none"/>
              </w:rPr>
              <w:t>提交评审报告</w:t>
            </w:r>
          </w:p>
        </w:tc>
      </w:tr>
      <w:tr w14:paraId="72F0E1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40BA84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100" w:type="dxa"/>
            <w:tcBorders>
              <w:top w:val="single" w:color="auto" w:sz="4" w:space="0"/>
              <w:left w:val="single" w:color="auto" w:sz="4" w:space="0"/>
              <w:bottom w:val="single" w:color="auto" w:sz="4" w:space="0"/>
              <w:right w:val="single" w:color="auto" w:sz="4" w:space="0"/>
            </w:tcBorders>
            <w:vAlign w:val="center"/>
          </w:tcPr>
          <w:p w14:paraId="76A1820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57" w:type="dxa"/>
            <w:tcBorders>
              <w:top w:val="single" w:color="auto" w:sz="4" w:space="0"/>
              <w:left w:val="single" w:color="auto" w:sz="4" w:space="0"/>
              <w:bottom w:val="single" w:color="auto" w:sz="4" w:space="0"/>
              <w:right w:val="single" w:color="auto" w:sz="4" w:space="0"/>
            </w:tcBorders>
            <w:vAlign w:val="center"/>
          </w:tcPr>
          <w:p w14:paraId="088972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本项目评标委员会由招标人代表及评审专家共5人组成。</w:t>
            </w:r>
          </w:p>
        </w:tc>
      </w:tr>
      <w:tr w14:paraId="105AC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49A1B3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00" w:type="dxa"/>
            <w:tcBorders>
              <w:top w:val="single" w:color="auto" w:sz="4" w:space="0"/>
              <w:left w:val="single" w:color="auto" w:sz="4" w:space="0"/>
              <w:bottom w:val="single" w:color="auto" w:sz="4" w:space="0"/>
              <w:right w:val="single" w:color="auto" w:sz="4" w:space="0"/>
            </w:tcBorders>
            <w:vAlign w:val="center"/>
          </w:tcPr>
          <w:p w14:paraId="3FEE2A6D">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履约保证金</w:t>
            </w:r>
          </w:p>
        </w:tc>
        <w:tc>
          <w:tcPr>
            <w:tcW w:w="7157" w:type="dxa"/>
            <w:tcBorders>
              <w:top w:val="single" w:color="auto" w:sz="4" w:space="0"/>
              <w:left w:val="single" w:color="auto" w:sz="4" w:space="0"/>
              <w:bottom w:val="single" w:color="auto" w:sz="4" w:space="0"/>
              <w:right w:val="single" w:color="auto" w:sz="4" w:space="0"/>
            </w:tcBorders>
            <w:vAlign w:val="center"/>
          </w:tcPr>
          <w:p w14:paraId="7B9FB7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A8"/>
            </w:r>
            <w:r>
              <w:rPr>
                <w:rFonts w:hint="eastAsia" w:ascii="宋体" w:hAnsi="宋体" w:eastAsia="宋体" w:cs="宋体"/>
                <w:color w:val="auto"/>
                <w:sz w:val="21"/>
                <w:szCs w:val="21"/>
                <w:highlight w:val="none"/>
              </w:rPr>
              <w:t>不需要，</w:t>
            </w:r>
          </w:p>
          <w:p w14:paraId="786436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sz w:val="21"/>
                <w:szCs w:val="21"/>
                <w:highlight w:val="none"/>
              </w:rPr>
              <w:t>需要 ，履约保证金的形式：银行转账</w:t>
            </w:r>
          </w:p>
          <w:p w14:paraId="21E3550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履约保证金的金额：合同金额5%</w:t>
            </w:r>
            <w:r>
              <w:rPr>
                <w:rFonts w:hint="eastAsia" w:ascii="宋体" w:hAnsi="宋体" w:eastAsia="宋体" w:cs="宋体"/>
                <w:b/>
                <w:bCs/>
                <w:color w:val="auto"/>
                <w:sz w:val="21"/>
                <w:szCs w:val="21"/>
                <w:highlight w:val="none"/>
              </w:rPr>
              <w:t>。</w:t>
            </w:r>
          </w:p>
          <w:p w14:paraId="7F685CE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中标人在合同签订之前须向</w:t>
            </w: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cs="宋体"/>
                <w:color w:val="auto"/>
                <w:sz w:val="21"/>
                <w:szCs w:val="21"/>
                <w:highlight w:val="none"/>
                <w:lang w:val="en-US" w:eastAsia="zh-CN"/>
              </w:rPr>
              <w:t>分别</w:t>
            </w:r>
            <w:r>
              <w:rPr>
                <w:rFonts w:hint="eastAsia" w:ascii="宋体" w:hAnsi="宋体" w:eastAsia="宋体" w:cs="宋体"/>
                <w:color w:val="auto"/>
                <w:sz w:val="21"/>
                <w:szCs w:val="21"/>
                <w:highlight w:val="none"/>
              </w:rPr>
              <w:t>提交合同金额5%履约保证金，并且要保证履约保证金在合同履行期间的有效性。</w:t>
            </w:r>
          </w:p>
        </w:tc>
      </w:tr>
      <w:tr w14:paraId="10D85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1DB9BFF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100" w:type="dxa"/>
            <w:tcBorders>
              <w:top w:val="single" w:color="auto" w:sz="4" w:space="0"/>
              <w:left w:val="single" w:color="auto" w:sz="4" w:space="0"/>
              <w:bottom w:val="single" w:color="auto" w:sz="4" w:space="0"/>
              <w:right w:val="single" w:color="auto" w:sz="4" w:space="0"/>
            </w:tcBorders>
            <w:vAlign w:val="center"/>
          </w:tcPr>
          <w:p w14:paraId="5B54097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tc>
        <w:tc>
          <w:tcPr>
            <w:tcW w:w="7157" w:type="dxa"/>
            <w:tcBorders>
              <w:top w:val="single" w:color="auto" w:sz="4" w:space="0"/>
              <w:left w:val="single" w:color="auto" w:sz="4" w:space="0"/>
              <w:bottom w:val="single" w:color="auto" w:sz="4" w:space="0"/>
              <w:right w:val="single" w:color="auto" w:sz="4" w:space="0"/>
            </w:tcBorders>
            <w:vAlign w:val="center"/>
          </w:tcPr>
          <w:p w14:paraId="53D426A8">
            <w:pP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bidi="ar"/>
              </w:rPr>
              <w:t>招标代理服务费：</w:t>
            </w:r>
            <w:r>
              <w:rPr>
                <w:rFonts w:hint="eastAsia" w:ascii="宋体" w:hAnsi="宋体" w:eastAsia="宋体" w:cs="宋体"/>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叁仟陆佰</w:t>
            </w:r>
            <w:r>
              <w:rPr>
                <w:rFonts w:hint="eastAsia" w:ascii="宋体" w:hAnsi="宋体" w:eastAsia="宋体" w:cs="宋体"/>
                <w:color w:val="auto"/>
                <w:sz w:val="21"/>
                <w:szCs w:val="21"/>
                <w:highlight w:val="none"/>
              </w:rPr>
              <w:t>元整（¥</w:t>
            </w:r>
            <w:r>
              <w:rPr>
                <w:rFonts w:hint="eastAsia" w:ascii="宋体" w:hAnsi="宋体" w:cs="宋体"/>
                <w:color w:val="auto"/>
                <w:sz w:val="21"/>
                <w:szCs w:val="21"/>
                <w:highlight w:val="none"/>
                <w:lang w:val="en-US" w:eastAsia="zh-CN"/>
              </w:rPr>
              <w:t>3600</w:t>
            </w:r>
            <w:r>
              <w:rPr>
                <w:rFonts w:hint="eastAsia" w:ascii="宋体" w:hAnsi="宋体" w:eastAsia="宋体" w:cs="宋体"/>
                <w:color w:val="auto"/>
                <w:sz w:val="21"/>
                <w:szCs w:val="21"/>
                <w:highlight w:val="none"/>
              </w:rPr>
              <w:t>.00），此项费用由投标人综合考虑在投标报价中；由中标人在领取中标（成交）通知书时将招标代理服务费支付给招标代理机构。</w:t>
            </w:r>
          </w:p>
          <w:p w14:paraId="2380D5D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招标代理服务费可以是现金、支票或汇票。</w:t>
            </w:r>
          </w:p>
        </w:tc>
      </w:tr>
      <w:tr w14:paraId="15083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5BFAADFA">
            <w:pP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93F206F">
            <w:pPr>
              <w:widowControl/>
              <w:spacing w:before="60" w:after="60" w:line="320" w:lineRule="exact"/>
              <w:ind w:right="62"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b/>
                <w:bCs/>
                <w:color w:val="auto"/>
                <w:szCs w:val="21"/>
                <w:highlight w:val="none"/>
              </w:rPr>
              <w:t>★电子招标采购平台交易服务费</w:t>
            </w:r>
          </w:p>
        </w:tc>
        <w:tc>
          <w:tcPr>
            <w:tcW w:w="7157" w:type="dxa"/>
            <w:tcBorders>
              <w:top w:val="single" w:color="auto" w:sz="4" w:space="0"/>
              <w:left w:val="single" w:color="auto" w:sz="4" w:space="0"/>
              <w:bottom w:val="single" w:color="auto" w:sz="4" w:space="0"/>
              <w:right w:val="single" w:color="auto" w:sz="4" w:space="0"/>
            </w:tcBorders>
            <w:shd w:val="clear" w:color="auto" w:fill="auto"/>
            <w:vAlign w:val="center"/>
          </w:tcPr>
          <w:p w14:paraId="35B7A44A">
            <w:pPr>
              <w:widowControl/>
              <w:spacing w:line="440" w:lineRule="exact"/>
              <w:ind w:right="6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本项目采用电子招标，中标人须在明确中标后、获取中标通知书前将相应的交易服务费缴入平台指定的集团账户（在“投标管家”工具中查看）。</w:t>
            </w:r>
          </w:p>
          <w:p w14:paraId="75545B9C">
            <w:pPr>
              <w:widowControl/>
              <w:spacing w:line="440" w:lineRule="exact"/>
              <w:ind w:right="6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具体收费标准如下：</w:t>
            </w:r>
          </w:p>
          <w:p w14:paraId="31879DBA">
            <w:pPr>
              <w:spacing w:line="240" w:lineRule="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drawing>
                <wp:inline distT="0" distB="0" distL="114300" distR="114300">
                  <wp:extent cx="4406265" cy="4451985"/>
                  <wp:effectExtent l="0" t="0" r="13335" b="5715"/>
                  <wp:docPr id="11" name="图片 11" descr="3a3c5e96-827a-4d61-b023-f635f056d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3a3c5e96-827a-4d61-b023-f635f056d3e2"/>
                          <pic:cNvPicPr>
                            <a:picLocks noChangeAspect="1"/>
                          </pic:cNvPicPr>
                        </pic:nvPicPr>
                        <pic:blipFill>
                          <a:blip r:embed="rId8"/>
                          <a:stretch>
                            <a:fillRect/>
                          </a:stretch>
                        </pic:blipFill>
                        <pic:spPr>
                          <a:xfrm>
                            <a:off x="0" y="0"/>
                            <a:ext cx="4406265" cy="4451985"/>
                          </a:xfrm>
                          <a:prstGeom prst="rect">
                            <a:avLst/>
                          </a:prstGeom>
                        </pic:spPr>
                      </pic:pic>
                    </a:graphicData>
                  </a:graphic>
                </wp:inline>
              </w:drawing>
            </w:r>
          </w:p>
        </w:tc>
      </w:tr>
      <w:tr w14:paraId="63C06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30585F48">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1</w:t>
            </w:r>
          </w:p>
        </w:tc>
        <w:tc>
          <w:tcPr>
            <w:tcW w:w="2100" w:type="dxa"/>
            <w:tcBorders>
              <w:top w:val="single" w:color="auto" w:sz="4" w:space="0"/>
              <w:left w:val="single" w:color="auto" w:sz="4" w:space="0"/>
              <w:bottom w:val="single" w:color="auto" w:sz="4" w:space="0"/>
              <w:right w:val="single" w:color="auto" w:sz="4" w:space="0"/>
            </w:tcBorders>
            <w:vAlign w:val="center"/>
          </w:tcPr>
          <w:p w14:paraId="5129A6D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答疑与澄清</w:t>
            </w:r>
          </w:p>
        </w:tc>
        <w:tc>
          <w:tcPr>
            <w:tcW w:w="7157" w:type="dxa"/>
            <w:tcBorders>
              <w:top w:val="single" w:color="auto" w:sz="4" w:space="0"/>
              <w:left w:val="single" w:color="auto" w:sz="4" w:space="0"/>
              <w:bottom w:val="single" w:color="auto" w:sz="4" w:space="0"/>
              <w:right w:val="single" w:color="auto" w:sz="4" w:space="0"/>
            </w:tcBorders>
            <w:vAlign w:val="center"/>
          </w:tcPr>
          <w:p w14:paraId="1592268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对已发出的招标文件进行必要的澄清和修改时，将在招标公告规定的投标截止时间10日前，以书面形式或在规定信息发布网站上通知所有招标文件受收人，投标人须自行查看是否有澄清和修改文件，并按澄清和修改文件要求投标，否则责任自负，澄清和修改的内容作为招标文件的组成部分。招标人根据实际情况，作出延长投标截止时间和开标时间的决定，并发布变更公告。</w:t>
            </w:r>
          </w:p>
          <w:p w14:paraId="7D95528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2）购买招标文件的潜在投标人对招标文件有异议，应在投标截止时间10日前书面提出。逾期提出的将不予受理（</w:t>
            </w:r>
            <w:r>
              <w:rPr>
                <w:rFonts w:hint="eastAsia" w:ascii="宋体" w:hAnsi="宋体" w:eastAsia="宋体" w:cs="宋体"/>
                <w:b/>
                <w:color w:val="auto"/>
                <w:sz w:val="21"/>
                <w:szCs w:val="21"/>
                <w:highlight w:val="none"/>
              </w:rPr>
              <w:t>投标人须一次性提出针对同一采购程序环节的异议</w:t>
            </w:r>
            <w:r>
              <w:rPr>
                <w:rFonts w:hint="eastAsia" w:ascii="宋体" w:hAnsi="宋体" w:eastAsia="宋体" w:cs="宋体"/>
                <w:color w:val="auto"/>
                <w:sz w:val="21"/>
                <w:szCs w:val="21"/>
                <w:highlight w:val="none"/>
              </w:rPr>
              <w:t>）。对招标文件的异议应有法定代表人或授权代表签字，并盖投标人公章和注明日期。</w:t>
            </w:r>
          </w:p>
          <w:p w14:paraId="206D98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3）没有提出异议且又参与了该项目投标的服务商将被视为完全认同招标文件。</w:t>
            </w:r>
          </w:p>
        </w:tc>
      </w:tr>
      <w:tr w14:paraId="31DA6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vAlign w:val="center"/>
          </w:tcPr>
          <w:p w14:paraId="7F4B723B">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p>
        </w:tc>
        <w:tc>
          <w:tcPr>
            <w:tcW w:w="2100" w:type="dxa"/>
            <w:tcBorders>
              <w:top w:val="single" w:color="auto" w:sz="4" w:space="0"/>
              <w:left w:val="single" w:color="auto" w:sz="4" w:space="0"/>
              <w:bottom w:val="single" w:color="auto" w:sz="4" w:space="0"/>
              <w:right w:val="single" w:color="auto" w:sz="4" w:space="0"/>
            </w:tcBorders>
            <w:vAlign w:val="center"/>
          </w:tcPr>
          <w:p w14:paraId="4E89589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解释权</w:t>
            </w:r>
          </w:p>
        </w:tc>
        <w:tc>
          <w:tcPr>
            <w:tcW w:w="7157" w:type="dxa"/>
            <w:tcBorders>
              <w:top w:val="single" w:color="auto" w:sz="4" w:space="0"/>
              <w:left w:val="single" w:color="auto" w:sz="4" w:space="0"/>
              <w:bottom w:val="single" w:color="auto" w:sz="4" w:space="0"/>
              <w:right w:val="single" w:color="auto" w:sz="4" w:space="0"/>
            </w:tcBorders>
            <w:vAlign w:val="center"/>
          </w:tcPr>
          <w:p w14:paraId="61E7AB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本招标文件的解释权属于招标人和招标代理机构。</w:t>
            </w:r>
          </w:p>
        </w:tc>
      </w:tr>
    </w:tbl>
    <w:p w14:paraId="07FBF2B5">
      <w:pPr>
        <w:widowControl/>
        <w:jc w:val="center"/>
        <w:rPr>
          <w:rFonts w:hint="eastAsia" w:ascii="宋体" w:hAnsi="宋体" w:eastAsia="宋体" w:cs="宋体"/>
          <w:b/>
          <w:color w:val="auto"/>
          <w:kern w:val="0"/>
          <w:sz w:val="28"/>
          <w:szCs w:val="21"/>
          <w:highlight w:val="none"/>
        </w:rPr>
      </w:pPr>
      <w:r>
        <w:rPr>
          <w:rFonts w:hint="eastAsia" w:ascii="宋体" w:hAnsi="宋体" w:eastAsia="宋体" w:cs="宋体"/>
          <w:color w:val="auto"/>
          <w:sz w:val="22"/>
          <w:highlight w:val="none"/>
        </w:rPr>
        <w:br w:type="page"/>
      </w:r>
      <w:bookmarkStart w:id="53" w:name="_Toc121800403"/>
      <w:bookmarkStart w:id="54" w:name="_Toc28194"/>
      <w:r>
        <w:rPr>
          <w:rFonts w:hint="eastAsia" w:ascii="宋体" w:hAnsi="宋体" w:eastAsia="宋体" w:cs="宋体"/>
          <w:b/>
          <w:color w:val="auto"/>
          <w:kern w:val="0"/>
          <w:sz w:val="28"/>
          <w:szCs w:val="21"/>
          <w:highlight w:val="none"/>
        </w:rPr>
        <w:t>一、总则</w:t>
      </w:r>
      <w:bookmarkEnd w:id="53"/>
    </w:p>
    <w:p w14:paraId="71F247E7">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（一）适用范围</w:t>
      </w:r>
    </w:p>
    <w:p w14:paraId="4DDA7BE8">
      <w:pPr>
        <w:pStyle w:val="17"/>
        <w:spacing w:beforeLines="0" w:afterLines="0" w:line="360"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本招标文件适用于</w:t>
      </w:r>
      <w:r>
        <w:rPr>
          <w:rFonts w:hint="eastAsia" w:hAnsi="宋体" w:cs="宋体"/>
          <w:b w:val="0"/>
          <w:bCs/>
          <w:color w:val="auto"/>
          <w:sz w:val="21"/>
          <w:szCs w:val="21"/>
          <w:highlight w:val="none"/>
          <w:lang w:eastAsia="zh-CN"/>
        </w:rPr>
        <w:t>温州港南岳港务有限公司、温州港益嘉港务有限公司植物有害生物本底调查</w:t>
      </w:r>
      <w:r>
        <w:rPr>
          <w:rFonts w:hint="eastAsia" w:ascii="宋体" w:hAnsi="宋体" w:eastAsia="宋体" w:cs="宋体"/>
          <w:b w:val="0"/>
          <w:bCs/>
          <w:color w:val="auto"/>
          <w:sz w:val="21"/>
          <w:szCs w:val="21"/>
          <w:highlight w:val="none"/>
          <w:lang w:val="en-US" w:eastAsia="zh-CN"/>
        </w:rPr>
        <w:t>服务</w:t>
      </w:r>
      <w:r>
        <w:rPr>
          <w:rFonts w:hint="eastAsia" w:ascii="宋体" w:hAnsi="宋体" w:eastAsia="宋体" w:cs="宋体"/>
          <w:color w:val="auto"/>
          <w:sz w:val="21"/>
          <w:szCs w:val="21"/>
          <w:highlight w:val="none"/>
        </w:rPr>
        <w:t>，项目招标、投标、评标、定标、合同履约、付款等行为（法律、法规另有规定的，从其规定）。</w:t>
      </w:r>
    </w:p>
    <w:p w14:paraId="0EA83C4D">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（二）定义</w:t>
      </w:r>
    </w:p>
    <w:p w14:paraId="09ED4A45">
      <w:pPr>
        <w:pStyle w:val="17"/>
        <w:spacing w:beforeLines="0" w:afterLines="0" w:line="360" w:lineRule="auto"/>
        <w:ind w:firstLine="420" w:firstLineChars="20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1.“招标人”系指组织本次招标的单位：</w:t>
      </w:r>
      <w:r>
        <w:rPr>
          <w:rFonts w:hint="eastAsia" w:hAnsi="宋体" w:cs="宋体"/>
          <w:color w:val="auto"/>
          <w:kern w:val="2"/>
          <w:sz w:val="21"/>
          <w:szCs w:val="21"/>
          <w:highlight w:val="none"/>
          <w:lang w:eastAsia="zh-CN"/>
        </w:rPr>
        <w:t>温州港南岳港务有限公司</w:t>
      </w:r>
    </w:p>
    <w:p w14:paraId="5E88B96B">
      <w:pPr>
        <w:pStyle w:val="17"/>
        <w:spacing w:beforeLines="0" w:afterLines="0" w:line="360" w:lineRule="auto"/>
        <w:ind w:firstLine="415" w:firstLineChars="198"/>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2.“招标代理机构”系指：</w:t>
      </w:r>
      <w:r>
        <w:rPr>
          <w:rFonts w:hint="eastAsia" w:ascii="宋体" w:hAnsi="宋体" w:eastAsia="宋体" w:cs="宋体"/>
          <w:color w:val="auto"/>
          <w:kern w:val="2"/>
          <w:sz w:val="21"/>
          <w:szCs w:val="21"/>
          <w:highlight w:val="none"/>
          <w:lang w:eastAsia="zh-CN"/>
        </w:rPr>
        <w:t>大地工程咨询有限公司</w:t>
      </w:r>
    </w:p>
    <w:p w14:paraId="7AF2C54E">
      <w:pPr>
        <w:pStyle w:val="17"/>
        <w:spacing w:beforeLines="0" w:afterLines="0"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3.“投标人”系指向招标人提交投标文件的单位。</w:t>
      </w:r>
    </w:p>
    <w:p w14:paraId="69C15845">
      <w:pPr>
        <w:pStyle w:val="17"/>
        <w:spacing w:beforeLines="0" w:afterLines="0" w:line="360" w:lineRule="auto"/>
        <w:ind w:firstLine="415" w:firstLineChars="198"/>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4.“中标人”系指经评审小组评定，且审查通过，并经公示无异议的合格投标人。</w:t>
      </w:r>
    </w:p>
    <w:p w14:paraId="3799E28F">
      <w:pPr>
        <w:pStyle w:val="17"/>
        <w:spacing w:beforeLines="0" w:afterLines="0" w:line="360" w:lineRule="auto"/>
        <w:ind w:firstLine="415" w:firstLineChars="198"/>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 “投标人代表”系指全权代表投标人参加本次投标活动并签署投标文件的人，如果投标人代表不是投标人的法定代表人，须持有《法定代表人授权委托书》。</w:t>
      </w:r>
    </w:p>
    <w:p w14:paraId="26B9F63B">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6.“项目”系指投标人按招标文件规定向招标人提供服务</w:t>
      </w:r>
      <w:r>
        <w:rPr>
          <w:rFonts w:hint="eastAsia" w:ascii="宋体" w:hAnsi="宋体" w:eastAsia="宋体" w:cs="宋体"/>
          <w:color w:val="auto"/>
          <w:sz w:val="21"/>
          <w:szCs w:val="21"/>
          <w:highlight w:val="none"/>
        </w:rPr>
        <w:t>。</w:t>
      </w:r>
    </w:p>
    <w:p w14:paraId="7072C18C">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7.“书面形式”包括信函、传真等。</w:t>
      </w:r>
    </w:p>
    <w:p w14:paraId="382D3D61">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8.“★”系指实质性要求条款。</w:t>
      </w:r>
    </w:p>
    <w:p w14:paraId="4F003104">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（三）招标方式</w:t>
      </w:r>
    </w:p>
    <w:p w14:paraId="25DD2E7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本次招标采用公开招标方式进行。</w:t>
      </w:r>
    </w:p>
    <w:p w14:paraId="2BF01C9F">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（四）投标委托</w:t>
      </w:r>
    </w:p>
    <w:p w14:paraId="3F88EAB3">
      <w:pPr>
        <w:spacing w:line="360" w:lineRule="auto"/>
        <w:ind w:left="56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如投标人代表不是法定代表人，须有法定代表人出具的授权委托书（具体格式见第六章）。</w:t>
      </w:r>
    </w:p>
    <w:p w14:paraId="67FB199E">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（五）投标费用</w:t>
      </w:r>
    </w:p>
    <w:p w14:paraId="3412BB3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不论投标结果如何，投标人均应自行承担所有与投标有关的全部费用（招标文件有相反规定除外）。</w:t>
      </w:r>
    </w:p>
    <w:p w14:paraId="32A8AF15">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（六）联合体投标</w:t>
      </w:r>
    </w:p>
    <w:p w14:paraId="44554E61">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3D7A44D0">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（七）转包与分包</w:t>
      </w:r>
    </w:p>
    <w:p w14:paraId="4C563A40">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本项目不允许分包转包</w:t>
      </w:r>
    </w:p>
    <w:p w14:paraId="21889A8B">
      <w:pPr>
        <w:spacing w:line="360" w:lineRule="auto"/>
        <w:ind w:firstLine="413" w:firstLineChars="196"/>
        <w:jc w:val="left"/>
        <w:outlineLvl w:val="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（八）特别说明：</w:t>
      </w:r>
    </w:p>
    <w:p w14:paraId="39EA06AF">
      <w:pPr>
        <w:pStyle w:val="17"/>
        <w:spacing w:beforeLines="0" w:afterLines="0" w:line="360" w:lineRule="auto"/>
        <w:ind w:firstLine="411" w:firstLineChars="196"/>
        <w:outlineLvl w:val="1"/>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1.投标人投标所使用的资格、信誉、荣誉、业绩与企业认证必须为本法人所拥有。</w:t>
      </w:r>
    </w:p>
    <w:p w14:paraId="055EA114">
      <w:pPr>
        <w:pStyle w:val="17"/>
        <w:spacing w:beforeLines="0" w:afterLines="0" w:line="360" w:lineRule="auto"/>
        <w:ind w:firstLine="413" w:firstLineChars="196"/>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★2.投标人应仔细阅读招标文件的所有内容，按照招标文件的要求提交投标文件，并对所提供的全部资料的真实性承担法律责任。</w:t>
      </w:r>
    </w:p>
    <w:p w14:paraId="22DFDD21">
      <w:pPr>
        <w:pStyle w:val="17"/>
        <w:spacing w:beforeLines="0" w:afterLines="0" w:line="360" w:lineRule="auto"/>
        <w:ind w:firstLine="413" w:firstLineChars="196"/>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投标人在投标活动中提供任何虚假材料，其投标无效，投标保证金不予退还；合同签订后发现的，中标人须按照履约保证金金额的双倍赔偿招标人，如无法补偿招标人损失的，中标人需另行补偿，且民事赔偿并不免除违法投标人的行政与刑事责任。</w:t>
      </w:r>
    </w:p>
    <w:p w14:paraId="7E06569E">
      <w:pPr>
        <w:pStyle w:val="17"/>
        <w:spacing w:beforeLines="0" w:afterLines="0" w:line="360" w:lineRule="auto"/>
        <w:ind w:firstLine="413" w:firstLineChars="196"/>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（九）质疑和投诉</w:t>
      </w:r>
    </w:p>
    <w:p w14:paraId="294021F2">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1.投标人认为招标文件、招标过程或中标结果使自己的合法权益受到损害的，应当在知道或者应知其权益受到损害之日起七个工作日内，以书面形式向招标人提出质疑。</w:t>
      </w:r>
    </w:p>
    <w:p w14:paraId="5615ADB1">
      <w:pPr>
        <w:pStyle w:val="17"/>
        <w:spacing w:beforeLines="0" w:afterLines="0"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14:paraId="1ECA88AB">
      <w:pPr>
        <w:spacing w:line="360" w:lineRule="auto"/>
        <w:ind w:left="551"/>
        <w:jc w:val="center"/>
        <w:outlineLvl w:val="0"/>
        <w:rPr>
          <w:rFonts w:hint="eastAsia" w:ascii="宋体" w:hAnsi="宋体" w:eastAsia="宋体" w:cs="宋体"/>
          <w:b/>
          <w:color w:val="auto"/>
          <w:kern w:val="0"/>
          <w:sz w:val="28"/>
          <w:szCs w:val="21"/>
          <w:highlight w:val="none"/>
        </w:rPr>
      </w:pPr>
      <w:bookmarkStart w:id="55" w:name="_Toc2471"/>
      <w:bookmarkStart w:id="56" w:name="_Toc121800404"/>
      <w:bookmarkStart w:id="57" w:name="_Toc430"/>
      <w:bookmarkStart w:id="58" w:name="_Toc527495450"/>
      <w:r>
        <w:rPr>
          <w:rFonts w:hint="eastAsia" w:ascii="宋体" w:hAnsi="宋体" w:eastAsia="宋体" w:cs="宋体"/>
          <w:b/>
          <w:color w:val="auto"/>
          <w:kern w:val="0"/>
          <w:sz w:val="28"/>
          <w:szCs w:val="21"/>
          <w:highlight w:val="none"/>
        </w:rPr>
        <w:t>二、招标文件</w:t>
      </w:r>
      <w:bookmarkEnd w:id="55"/>
      <w:bookmarkEnd w:id="56"/>
      <w:bookmarkEnd w:id="57"/>
      <w:bookmarkEnd w:id="58"/>
    </w:p>
    <w:p w14:paraId="721B7025">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（一）招标文件的构成。本招标文件由以下部份组成：</w:t>
      </w:r>
    </w:p>
    <w:p w14:paraId="48DE75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512C95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2.招标需求</w:t>
      </w:r>
    </w:p>
    <w:p w14:paraId="324FE37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3.投标人须知</w:t>
      </w:r>
    </w:p>
    <w:p w14:paraId="72657CD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4.评标办法及评分标准</w:t>
      </w:r>
    </w:p>
    <w:p w14:paraId="12BC722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5.合同主要条款</w:t>
      </w:r>
    </w:p>
    <w:p w14:paraId="6710947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14:paraId="31867DF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7.本项目招标文件的澄清、答复、修改、补充的内容</w:t>
      </w:r>
    </w:p>
    <w:p w14:paraId="5D86FD80">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（二）投标人的风险</w:t>
      </w:r>
    </w:p>
    <w:p w14:paraId="62AC0577">
      <w:pPr>
        <w:pStyle w:val="23"/>
        <w:spacing w:after="0" w:line="360" w:lineRule="auto"/>
        <w:ind w:firstLine="21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3562F68F">
      <w:pPr>
        <w:pStyle w:val="7"/>
        <w:numPr>
          <w:ilvl w:val="0"/>
          <w:numId w:val="0"/>
        </w:numPr>
        <w:spacing w:line="360" w:lineRule="auto"/>
        <w:ind w:left="717" w:leftChars="171" w:hanging="358" w:hangingChars="17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（三）招标文件的澄清与修改</w:t>
      </w:r>
    </w:p>
    <w:p w14:paraId="7C33003A">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招标人对已发出的招标文件进行必要的澄清和修改时，将在招标公告规定的投标截止时间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日前，以书面形式或在规定信息发布网站上通知所有招标文件受收人，</w:t>
      </w:r>
      <w:r>
        <w:rPr>
          <w:rFonts w:hint="eastAsia" w:ascii="宋体" w:hAnsi="宋体" w:eastAsia="宋体" w:cs="宋体"/>
          <w:bCs/>
          <w:color w:val="auto"/>
          <w:sz w:val="21"/>
          <w:szCs w:val="21"/>
          <w:highlight w:val="none"/>
        </w:rPr>
        <w:t>投标人须自行查看是否有澄清和修改文件，并按澄清和修改文件要求投标，否则责任自负，</w:t>
      </w:r>
      <w:r>
        <w:rPr>
          <w:rFonts w:hint="eastAsia" w:ascii="宋体" w:hAnsi="宋体" w:eastAsia="宋体" w:cs="宋体"/>
          <w:color w:val="auto"/>
          <w:sz w:val="21"/>
          <w:szCs w:val="21"/>
          <w:highlight w:val="none"/>
        </w:rPr>
        <w:t>澄清和修改的内容作为招标文件的组成部分。招标人根据实际情况，作出延长投标截止时间和开标时间的决定，并发布变更公告。</w:t>
      </w:r>
    </w:p>
    <w:p w14:paraId="39A61118">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购买招标文件的潜在投标人对招标文件有异议，应在投标截止时间10日前书面提出。逾期提出的将不予受理。对招标文件的异议应有法定代表人或其委托代理人签字，并盖投标人公章和注明日期。</w:t>
      </w:r>
    </w:p>
    <w:p w14:paraId="5D2EE296">
      <w:pPr>
        <w:pStyle w:val="17"/>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3.没有提出异议且又参与了该项目投标的服务商将被视为完全认同招标文件。</w:t>
      </w:r>
    </w:p>
    <w:p w14:paraId="0E9A00B8">
      <w:pPr>
        <w:snapToGrid w:val="0"/>
        <w:spacing w:line="360" w:lineRule="auto"/>
        <w:ind w:left="551"/>
        <w:jc w:val="center"/>
        <w:outlineLvl w:val="0"/>
        <w:rPr>
          <w:rFonts w:hint="eastAsia" w:ascii="宋体" w:hAnsi="宋体" w:eastAsia="宋体" w:cs="宋体"/>
          <w:b/>
          <w:color w:val="auto"/>
          <w:kern w:val="0"/>
          <w:sz w:val="28"/>
          <w:szCs w:val="21"/>
          <w:highlight w:val="none"/>
        </w:rPr>
      </w:pPr>
      <w:bookmarkStart w:id="59" w:name="_Toc121800405"/>
      <w:r>
        <w:rPr>
          <w:rFonts w:hint="eastAsia" w:ascii="宋体" w:hAnsi="宋体" w:eastAsia="宋体" w:cs="宋体"/>
          <w:b/>
          <w:color w:val="auto"/>
          <w:kern w:val="0"/>
          <w:sz w:val="28"/>
          <w:szCs w:val="21"/>
          <w:highlight w:val="none"/>
        </w:rPr>
        <w:t>三、投标文件的编制</w:t>
      </w:r>
      <w:bookmarkEnd w:id="59"/>
    </w:p>
    <w:p w14:paraId="690A2B0E">
      <w:pPr>
        <w:snapToGrid w:val="0"/>
        <w:spacing w:before="156" w:beforeLines="50" w:line="360" w:lineRule="auto"/>
        <w:ind w:firstLine="413" w:firstLineChars="196"/>
        <w:jc w:val="left"/>
        <w:outlineLvl w:val="0"/>
        <w:rPr>
          <w:rFonts w:hint="eastAsia" w:ascii="宋体" w:hAnsi="宋体" w:eastAsia="宋体" w:cs="宋体"/>
          <w:b/>
          <w:color w:val="auto"/>
          <w:szCs w:val="21"/>
          <w:highlight w:val="none"/>
        </w:rPr>
      </w:pPr>
      <w:bookmarkStart w:id="60" w:name="_Toc121800406"/>
      <w:r>
        <w:rPr>
          <w:rFonts w:hint="eastAsia" w:ascii="宋体" w:hAnsi="宋体" w:eastAsia="宋体" w:cs="宋体"/>
          <w:b/>
          <w:color w:val="auto"/>
          <w:szCs w:val="21"/>
          <w:highlight w:val="none"/>
        </w:rPr>
        <w:t>（一）投标文件的组成</w:t>
      </w:r>
      <w:bookmarkEnd w:id="60"/>
    </w:p>
    <w:p w14:paraId="2169A2E4">
      <w:pPr>
        <w:pStyle w:val="10"/>
        <w:kinsoku w:val="0"/>
        <w:overflowPunct w:val="0"/>
        <w:spacing w:after="0" w:line="360" w:lineRule="auto"/>
        <w:ind w:firstLine="422" w:firstLineChars="200"/>
        <w:rPr>
          <w:rFonts w:hint="eastAsia" w:ascii="宋体" w:hAnsi="宋体" w:eastAsia="宋体" w:cs="宋体"/>
          <w:b/>
          <w:bCs/>
          <w:color w:val="auto"/>
          <w:highlight w:val="none"/>
        </w:rPr>
      </w:pPr>
      <w:bookmarkStart w:id="61" w:name="_Toc527495473"/>
      <w:bookmarkStart w:id="62" w:name="_Toc14400"/>
      <w:r>
        <w:rPr>
          <w:rFonts w:hint="eastAsia" w:ascii="宋体" w:hAnsi="宋体" w:eastAsia="宋体" w:cs="宋体"/>
          <w:b/>
          <w:bCs/>
          <w:color w:val="auto"/>
          <w:highlight w:val="none"/>
        </w:rPr>
        <w:t>投标文件由</w:t>
      </w:r>
      <w:bookmarkStart w:id="63" w:name="_Hlk123645314"/>
      <w:r>
        <w:rPr>
          <w:rFonts w:hint="eastAsia" w:ascii="宋体" w:hAnsi="宋体" w:eastAsia="宋体" w:cs="宋体"/>
          <w:b/>
          <w:bCs/>
          <w:color w:val="auto"/>
          <w:highlight w:val="none"/>
        </w:rPr>
        <w:t>资格审查文件</w:t>
      </w:r>
      <w:bookmarkEnd w:id="63"/>
      <w:r>
        <w:rPr>
          <w:rFonts w:hint="eastAsia" w:ascii="宋体" w:hAnsi="宋体" w:eastAsia="宋体" w:cs="宋体"/>
          <w:b/>
          <w:bCs/>
          <w:color w:val="auto"/>
          <w:highlight w:val="none"/>
        </w:rPr>
        <w:t>、商务技术标、价格标组成。</w:t>
      </w:r>
    </w:p>
    <w:p w14:paraId="7F693216">
      <w:pPr>
        <w:pStyle w:val="10"/>
        <w:kinsoku w:val="0"/>
        <w:overflowPunct w:val="0"/>
        <w:spacing w:after="0"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1、资格审查文件的组成：</w:t>
      </w:r>
    </w:p>
    <w:tbl>
      <w:tblPr>
        <w:tblStyle w:val="2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24"/>
        <w:gridCol w:w="1984"/>
      </w:tblGrid>
      <w:tr w14:paraId="537C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BB6816D">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24" w:type="dxa"/>
            <w:vAlign w:val="center"/>
          </w:tcPr>
          <w:p w14:paraId="62C7E931">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984" w:type="dxa"/>
            <w:vAlign w:val="center"/>
          </w:tcPr>
          <w:p w14:paraId="2876F4B2">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4CC7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4A886E21">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w:t>
            </w:r>
          </w:p>
        </w:tc>
        <w:tc>
          <w:tcPr>
            <w:tcW w:w="6124" w:type="dxa"/>
            <w:vAlign w:val="center"/>
          </w:tcPr>
          <w:p w14:paraId="73EF6D2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w:t>
            </w:r>
          </w:p>
        </w:tc>
        <w:tc>
          <w:tcPr>
            <w:tcW w:w="1984" w:type="dxa"/>
            <w:vAlign w:val="center"/>
          </w:tcPr>
          <w:p w14:paraId="3C70BE1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附件一-1</w:t>
            </w:r>
          </w:p>
        </w:tc>
      </w:tr>
      <w:tr w14:paraId="1634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0F130EC4">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w:t>
            </w:r>
          </w:p>
        </w:tc>
        <w:tc>
          <w:tcPr>
            <w:tcW w:w="6124" w:type="dxa"/>
            <w:vAlign w:val="center"/>
          </w:tcPr>
          <w:p w14:paraId="5BF4713B">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w:t>
            </w:r>
          </w:p>
        </w:tc>
        <w:tc>
          <w:tcPr>
            <w:tcW w:w="1984" w:type="dxa"/>
            <w:vAlign w:val="center"/>
          </w:tcPr>
          <w:p w14:paraId="5073771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附件一-2</w:t>
            </w:r>
          </w:p>
        </w:tc>
      </w:tr>
      <w:tr w14:paraId="4BA1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F160073">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w:t>
            </w:r>
          </w:p>
        </w:tc>
        <w:tc>
          <w:tcPr>
            <w:tcW w:w="6124" w:type="dxa"/>
            <w:vAlign w:val="center"/>
          </w:tcPr>
          <w:p w14:paraId="6BDB8EC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营业执照(或事业法人登记证书或其它工商等登记证明材料)</w:t>
            </w:r>
          </w:p>
        </w:tc>
        <w:tc>
          <w:tcPr>
            <w:tcW w:w="1984" w:type="dxa"/>
            <w:vAlign w:val="center"/>
          </w:tcPr>
          <w:p w14:paraId="005C4C2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附件一-3</w:t>
            </w:r>
          </w:p>
        </w:tc>
      </w:tr>
      <w:tr w14:paraId="1CED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87FB325">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w:t>
            </w:r>
          </w:p>
        </w:tc>
        <w:tc>
          <w:tcPr>
            <w:tcW w:w="6124" w:type="dxa"/>
            <w:vAlign w:val="center"/>
          </w:tcPr>
          <w:p w14:paraId="68904B0E">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具有履行合同所必需的设备和专业技术能力的承诺函</w:t>
            </w:r>
          </w:p>
        </w:tc>
        <w:tc>
          <w:tcPr>
            <w:tcW w:w="1984" w:type="dxa"/>
            <w:vAlign w:val="center"/>
          </w:tcPr>
          <w:p w14:paraId="016FC866">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附件一-4</w:t>
            </w:r>
          </w:p>
        </w:tc>
      </w:tr>
      <w:tr w14:paraId="4AD3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4D14048">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w:t>
            </w:r>
          </w:p>
        </w:tc>
        <w:tc>
          <w:tcPr>
            <w:tcW w:w="6124" w:type="dxa"/>
            <w:vAlign w:val="center"/>
          </w:tcPr>
          <w:p w14:paraId="1B722D41">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具有良好的信誉和健全的财务会计制度的承诺函</w:t>
            </w:r>
          </w:p>
        </w:tc>
        <w:tc>
          <w:tcPr>
            <w:tcW w:w="1984" w:type="dxa"/>
            <w:vAlign w:val="center"/>
          </w:tcPr>
          <w:p w14:paraId="39AA480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附件一-5</w:t>
            </w:r>
          </w:p>
        </w:tc>
      </w:tr>
      <w:tr w14:paraId="2DA6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2034423">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p>
        </w:tc>
        <w:tc>
          <w:tcPr>
            <w:tcW w:w="6124" w:type="dxa"/>
            <w:vAlign w:val="center"/>
          </w:tcPr>
          <w:p w14:paraId="3F30621E">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近5年公司所承担业务外包范围内无1人死亡及以上安全生产责任事故（含劳务外包人员）；未被列入安全生产严重失信主体名单。未被列入失信被执行人名单、重大税收违法案件当事人名单、政府采购严重违法失信行为记录名单，信用信息以信用中国网站（www.creditchina.gov.cn）、</w:t>
            </w:r>
            <w:r>
              <w:rPr>
                <w:rFonts w:hint="eastAsia" w:ascii="宋体" w:hAnsi="宋体" w:eastAsia="宋体" w:cs="宋体"/>
                <w:color w:val="auto"/>
                <w:sz w:val="21"/>
                <w:szCs w:val="21"/>
                <w:highlight w:val="none"/>
                <w:lang w:val="en-US" w:eastAsia="zh-CN"/>
              </w:rPr>
              <w:t>中国采购与招标网（https://www.chinabidding.cn/?utm_term）</w:t>
            </w:r>
            <w:r>
              <w:rPr>
                <w:rFonts w:hint="eastAsia" w:ascii="宋体" w:hAnsi="宋体" w:eastAsia="宋体" w:cs="宋体"/>
                <w:color w:val="auto"/>
                <w:sz w:val="21"/>
                <w:szCs w:val="21"/>
                <w:highlight w:val="none"/>
              </w:rPr>
              <w:t>公布为准。</w:t>
            </w:r>
          </w:p>
        </w:tc>
        <w:tc>
          <w:tcPr>
            <w:tcW w:w="1984" w:type="dxa"/>
            <w:vAlign w:val="center"/>
          </w:tcPr>
          <w:p w14:paraId="6FE486A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附件一-6</w:t>
            </w:r>
          </w:p>
        </w:tc>
      </w:tr>
      <w:tr w14:paraId="2A9F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D93BD4E">
            <w:pPr>
              <w:spacing w:line="40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w:t>
            </w:r>
          </w:p>
        </w:tc>
        <w:tc>
          <w:tcPr>
            <w:tcW w:w="6124" w:type="dxa"/>
            <w:vAlign w:val="center"/>
          </w:tcPr>
          <w:p w14:paraId="4860C936">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投标人须具备CMA、CNAS检测鉴定证书</w:t>
            </w:r>
          </w:p>
        </w:tc>
        <w:tc>
          <w:tcPr>
            <w:tcW w:w="1984" w:type="dxa"/>
            <w:vAlign w:val="center"/>
          </w:tcPr>
          <w:p w14:paraId="2174385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附件一-7</w:t>
            </w:r>
          </w:p>
        </w:tc>
      </w:tr>
      <w:tr w14:paraId="5CE1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D76E0DD">
            <w:pPr>
              <w:spacing w:line="40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1.8</w:t>
            </w:r>
          </w:p>
        </w:tc>
        <w:tc>
          <w:tcPr>
            <w:tcW w:w="6124" w:type="dxa"/>
            <w:vAlign w:val="center"/>
          </w:tcPr>
          <w:p w14:paraId="0B700E1F">
            <w:pPr>
              <w:spacing w:line="400" w:lineRule="exact"/>
              <w:jc w:val="left"/>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用工规模：与本单位签订劳动合同（劳务协议）的服务人员不少于20人。提供劳动合同复印件证明（加盖公章）</w:t>
            </w:r>
          </w:p>
        </w:tc>
        <w:tc>
          <w:tcPr>
            <w:tcW w:w="1984" w:type="dxa"/>
            <w:vAlign w:val="center"/>
          </w:tcPr>
          <w:p w14:paraId="696168A3">
            <w:pPr>
              <w:spacing w:line="400" w:lineRule="exact"/>
              <w:jc w:val="center"/>
              <w:rPr>
                <w:rFonts w:hint="eastAsia" w:ascii="宋体" w:hAnsi="宋体" w:eastAsia="宋体" w:cs="宋体"/>
                <w:color w:val="auto"/>
                <w:szCs w:val="21"/>
                <w:highlight w:val="none"/>
              </w:rPr>
            </w:pPr>
          </w:p>
        </w:tc>
      </w:tr>
      <w:tr w14:paraId="1CBC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4057F527">
            <w:pPr>
              <w:spacing w:line="400" w:lineRule="exact"/>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9</w:t>
            </w:r>
          </w:p>
        </w:tc>
        <w:tc>
          <w:tcPr>
            <w:tcW w:w="6124" w:type="dxa"/>
            <w:vAlign w:val="center"/>
          </w:tcPr>
          <w:p w14:paraId="7EDB78D0">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投标人认为需要提供的其他资格审查资料（如有）</w:t>
            </w:r>
          </w:p>
        </w:tc>
        <w:tc>
          <w:tcPr>
            <w:tcW w:w="1984" w:type="dxa"/>
            <w:vAlign w:val="center"/>
          </w:tcPr>
          <w:p w14:paraId="3562BBE3">
            <w:pPr>
              <w:spacing w:line="400" w:lineRule="exact"/>
              <w:jc w:val="center"/>
              <w:rPr>
                <w:rFonts w:hint="eastAsia" w:ascii="宋体" w:hAnsi="宋体" w:eastAsia="宋体" w:cs="宋体"/>
                <w:color w:val="auto"/>
                <w:szCs w:val="21"/>
                <w:highlight w:val="none"/>
              </w:rPr>
            </w:pPr>
          </w:p>
        </w:tc>
      </w:tr>
    </w:tbl>
    <w:p w14:paraId="2AE42E4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highlight w:val="none"/>
        </w:rPr>
        <w:t>商务技术标</w:t>
      </w:r>
      <w:r>
        <w:rPr>
          <w:rFonts w:hint="eastAsia" w:ascii="宋体" w:hAnsi="宋体" w:eastAsia="宋体" w:cs="宋体"/>
          <w:b/>
          <w:color w:val="auto"/>
          <w:szCs w:val="21"/>
          <w:highlight w:val="none"/>
        </w:rPr>
        <w:t>的组成</w:t>
      </w:r>
    </w:p>
    <w:tbl>
      <w:tblPr>
        <w:tblStyle w:val="2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24"/>
        <w:gridCol w:w="1984"/>
      </w:tblGrid>
      <w:tr w14:paraId="3805A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E23D845">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24" w:type="dxa"/>
            <w:vAlign w:val="center"/>
          </w:tcPr>
          <w:p w14:paraId="76D5BA56">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984" w:type="dxa"/>
            <w:vAlign w:val="center"/>
          </w:tcPr>
          <w:p w14:paraId="12664663">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605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6BD497D">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w:t>
            </w:r>
          </w:p>
        </w:tc>
        <w:tc>
          <w:tcPr>
            <w:tcW w:w="6124" w:type="dxa"/>
            <w:vAlign w:val="center"/>
          </w:tcPr>
          <w:p w14:paraId="6E40E502">
            <w:pPr>
              <w:spacing w:line="360" w:lineRule="auto"/>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投标函</w:t>
            </w:r>
          </w:p>
        </w:tc>
        <w:tc>
          <w:tcPr>
            <w:tcW w:w="1984" w:type="dxa"/>
            <w:vAlign w:val="center"/>
          </w:tcPr>
          <w:p w14:paraId="40D13CA7">
            <w:pPr>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附件二</w:t>
            </w:r>
          </w:p>
        </w:tc>
      </w:tr>
      <w:tr w14:paraId="1C88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DE6426D">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2.2</w:t>
            </w:r>
          </w:p>
        </w:tc>
        <w:tc>
          <w:tcPr>
            <w:tcW w:w="6124" w:type="dxa"/>
            <w:vAlign w:val="center"/>
          </w:tcPr>
          <w:p w14:paraId="3D0CDBA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技术规格、商务条款偏离表</w:t>
            </w:r>
          </w:p>
        </w:tc>
        <w:tc>
          <w:tcPr>
            <w:tcW w:w="1984" w:type="dxa"/>
            <w:vAlign w:val="center"/>
          </w:tcPr>
          <w:p w14:paraId="3F3164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附件三</w:t>
            </w:r>
          </w:p>
        </w:tc>
      </w:tr>
      <w:tr w14:paraId="2D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5E4096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w:t>
            </w:r>
          </w:p>
        </w:tc>
        <w:tc>
          <w:tcPr>
            <w:tcW w:w="6124" w:type="dxa"/>
            <w:vAlign w:val="center"/>
          </w:tcPr>
          <w:p w14:paraId="7AFB8EBA">
            <w:pPr>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投标人基本情况表</w:t>
            </w:r>
          </w:p>
        </w:tc>
        <w:tc>
          <w:tcPr>
            <w:tcW w:w="1984" w:type="dxa"/>
            <w:vAlign w:val="center"/>
          </w:tcPr>
          <w:p w14:paraId="56FD87C9">
            <w:pPr>
              <w:spacing w:line="360" w:lineRule="auto"/>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附件四</w:t>
            </w:r>
          </w:p>
        </w:tc>
      </w:tr>
      <w:tr w14:paraId="5CF2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3EA77681">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2.4</w:t>
            </w:r>
          </w:p>
        </w:tc>
        <w:tc>
          <w:tcPr>
            <w:tcW w:w="6124" w:type="dxa"/>
            <w:tcBorders>
              <w:top w:val="single" w:color="auto" w:sz="4" w:space="0"/>
              <w:left w:val="single" w:color="auto" w:sz="4" w:space="0"/>
              <w:bottom w:val="single" w:color="auto" w:sz="4" w:space="0"/>
              <w:right w:val="single" w:color="auto" w:sz="4" w:space="0"/>
            </w:tcBorders>
            <w:vAlign w:val="center"/>
          </w:tcPr>
          <w:p w14:paraId="5425FF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投标人的综合实力</w:t>
            </w:r>
          </w:p>
        </w:tc>
        <w:tc>
          <w:tcPr>
            <w:tcW w:w="1984" w:type="dxa"/>
            <w:tcBorders>
              <w:top w:val="single" w:color="auto" w:sz="4" w:space="0"/>
              <w:left w:val="single" w:color="auto" w:sz="4" w:space="0"/>
              <w:bottom w:val="single" w:color="auto" w:sz="4" w:space="0"/>
              <w:right w:val="single" w:color="auto" w:sz="4" w:space="0"/>
            </w:tcBorders>
            <w:vAlign w:val="center"/>
          </w:tcPr>
          <w:p w14:paraId="6E38C4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288F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Borders>
              <w:top w:val="single" w:color="auto" w:sz="4" w:space="0"/>
              <w:left w:val="single" w:color="auto" w:sz="4" w:space="0"/>
              <w:bottom w:val="single" w:color="auto" w:sz="4" w:space="0"/>
              <w:right w:val="single" w:color="auto" w:sz="4" w:space="0"/>
            </w:tcBorders>
            <w:vAlign w:val="center"/>
          </w:tcPr>
          <w:p w14:paraId="6A55CF35">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5</w:t>
            </w:r>
          </w:p>
        </w:tc>
        <w:tc>
          <w:tcPr>
            <w:tcW w:w="6124" w:type="dxa"/>
            <w:tcBorders>
              <w:top w:val="single" w:color="auto" w:sz="4" w:space="0"/>
              <w:left w:val="single" w:color="auto" w:sz="4" w:space="0"/>
              <w:bottom w:val="single" w:color="auto" w:sz="4" w:space="0"/>
              <w:right w:val="single" w:color="auto" w:sz="4" w:space="0"/>
            </w:tcBorders>
            <w:vAlign w:val="center"/>
          </w:tcPr>
          <w:p w14:paraId="46B4BD57">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color w:val="auto"/>
                <w:spacing w:val="6"/>
                <w:szCs w:val="21"/>
                <w:highlight w:val="none"/>
              </w:rPr>
              <w:t>项目</w:t>
            </w:r>
            <w:r>
              <w:rPr>
                <w:rFonts w:hint="eastAsia" w:ascii="宋体" w:hAnsi="宋体" w:eastAsia="宋体" w:cs="宋体"/>
                <w:snapToGrid w:val="0"/>
                <w:color w:val="auto"/>
                <w:kern w:val="0"/>
                <w:szCs w:val="21"/>
                <w:highlight w:val="none"/>
              </w:rPr>
              <w:t>业绩情况表</w:t>
            </w:r>
          </w:p>
        </w:tc>
        <w:tc>
          <w:tcPr>
            <w:tcW w:w="1984" w:type="dxa"/>
            <w:tcBorders>
              <w:top w:val="single" w:color="auto" w:sz="4" w:space="0"/>
              <w:left w:val="single" w:color="auto" w:sz="4" w:space="0"/>
              <w:bottom w:val="single" w:color="auto" w:sz="4" w:space="0"/>
              <w:right w:val="single" w:color="auto" w:sz="4" w:space="0"/>
            </w:tcBorders>
            <w:vAlign w:val="center"/>
          </w:tcPr>
          <w:p w14:paraId="6FA67D66">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五</w:t>
            </w:r>
          </w:p>
        </w:tc>
      </w:tr>
      <w:tr w14:paraId="4B38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7468A68">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p>
        </w:tc>
        <w:tc>
          <w:tcPr>
            <w:tcW w:w="6124" w:type="dxa"/>
            <w:vAlign w:val="center"/>
          </w:tcPr>
          <w:p w14:paraId="6B813A64">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拟投入本项目的工作人员</w:t>
            </w:r>
          </w:p>
        </w:tc>
        <w:tc>
          <w:tcPr>
            <w:tcW w:w="1984" w:type="dxa"/>
            <w:vAlign w:val="center"/>
          </w:tcPr>
          <w:p w14:paraId="56C9300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r>
              <w:rPr>
                <w:rFonts w:hint="eastAsia" w:ascii="宋体" w:hAnsi="宋体" w:eastAsia="宋体" w:cs="宋体"/>
                <w:color w:val="auto"/>
                <w:szCs w:val="21"/>
                <w:highlight w:val="none"/>
                <w:lang w:val="en-US" w:eastAsia="zh-CN"/>
              </w:rPr>
              <w:t>六</w:t>
            </w:r>
          </w:p>
        </w:tc>
      </w:tr>
      <w:tr w14:paraId="754B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2283FE35">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7</w:t>
            </w:r>
          </w:p>
        </w:tc>
        <w:tc>
          <w:tcPr>
            <w:tcW w:w="6124" w:type="dxa"/>
            <w:vAlign w:val="center"/>
          </w:tcPr>
          <w:p w14:paraId="21A90E12">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开展本项目的实验室条件</w:t>
            </w:r>
          </w:p>
        </w:tc>
        <w:tc>
          <w:tcPr>
            <w:tcW w:w="1984" w:type="dxa"/>
            <w:vAlign w:val="center"/>
          </w:tcPr>
          <w:p w14:paraId="2D31ACA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5FAC1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4D59F6FE">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8</w:t>
            </w:r>
          </w:p>
        </w:tc>
        <w:tc>
          <w:tcPr>
            <w:tcW w:w="6124" w:type="dxa"/>
            <w:vAlign w:val="center"/>
          </w:tcPr>
          <w:p w14:paraId="5B66EFCD">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开展本项目的设备条件</w:t>
            </w:r>
          </w:p>
        </w:tc>
        <w:tc>
          <w:tcPr>
            <w:tcW w:w="1984" w:type="dxa"/>
            <w:vAlign w:val="center"/>
          </w:tcPr>
          <w:p w14:paraId="298C9E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6E48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0A2444FC">
            <w:pPr>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9</w:t>
            </w:r>
          </w:p>
        </w:tc>
        <w:tc>
          <w:tcPr>
            <w:tcW w:w="6124" w:type="dxa"/>
            <w:vAlign w:val="center"/>
          </w:tcPr>
          <w:p w14:paraId="6DC98E30">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项目实施方案</w:t>
            </w:r>
          </w:p>
        </w:tc>
        <w:tc>
          <w:tcPr>
            <w:tcW w:w="1984" w:type="dxa"/>
            <w:vAlign w:val="center"/>
          </w:tcPr>
          <w:p w14:paraId="77D57F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4647D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134A2521">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2.10</w:t>
            </w:r>
          </w:p>
        </w:tc>
        <w:tc>
          <w:tcPr>
            <w:tcW w:w="6124" w:type="dxa"/>
            <w:vAlign w:val="center"/>
          </w:tcPr>
          <w:p w14:paraId="5AF18C2E">
            <w:pPr>
              <w:spacing w:line="360" w:lineRule="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应急服务保障</w:t>
            </w:r>
          </w:p>
        </w:tc>
        <w:tc>
          <w:tcPr>
            <w:tcW w:w="1984" w:type="dxa"/>
            <w:vAlign w:val="center"/>
          </w:tcPr>
          <w:p w14:paraId="413397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格式自拟</w:t>
            </w:r>
          </w:p>
        </w:tc>
      </w:tr>
      <w:tr w14:paraId="0467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vAlign w:val="center"/>
          </w:tcPr>
          <w:p w14:paraId="3141B4CC">
            <w:pPr>
              <w:spacing w:line="360" w:lineRule="auto"/>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2.11</w:t>
            </w:r>
          </w:p>
        </w:tc>
        <w:tc>
          <w:tcPr>
            <w:tcW w:w="6124" w:type="dxa"/>
            <w:vAlign w:val="center"/>
          </w:tcPr>
          <w:p w14:paraId="260BEF6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投标人认为需要提供的其他商务技术资料（如有）</w:t>
            </w:r>
          </w:p>
        </w:tc>
        <w:tc>
          <w:tcPr>
            <w:tcW w:w="1984" w:type="dxa"/>
            <w:vAlign w:val="center"/>
          </w:tcPr>
          <w:p w14:paraId="2F9F31DD">
            <w:pPr>
              <w:spacing w:line="360" w:lineRule="auto"/>
              <w:jc w:val="center"/>
              <w:rPr>
                <w:rFonts w:hint="eastAsia" w:ascii="宋体" w:hAnsi="宋体" w:eastAsia="宋体" w:cs="宋体"/>
                <w:color w:val="auto"/>
                <w:szCs w:val="21"/>
                <w:highlight w:val="none"/>
              </w:rPr>
            </w:pPr>
          </w:p>
        </w:tc>
      </w:tr>
    </w:tbl>
    <w:p w14:paraId="5B1B48C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3、价格标</w:t>
      </w:r>
    </w:p>
    <w:tbl>
      <w:tblPr>
        <w:tblStyle w:val="29"/>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24"/>
        <w:gridCol w:w="1984"/>
      </w:tblGrid>
      <w:tr w14:paraId="6B73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51" w:type="dxa"/>
            <w:vAlign w:val="center"/>
          </w:tcPr>
          <w:p w14:paraId="33F31508">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6124" w:type="dxa"/>
            <w:vAlign w:val="center"/>
          </w:tcPr>
          <w:p w14:paraId="317D04DF">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1984" w:type="dxa"/>
            <w:vAlign w:val="center"/>
          </w:tcPr>
          <w:p w14:paraId="60A921BE">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14:paraId="2754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1" w:type="dxa"/>
            <w:vAlign w:val="center"/>
          </w:tcPr>
          <w:p w14:paraId="618CA9DC">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6124" w:type="dxa"/>
            <w:vAlign w:val="center"/>
          </w:tcPr>
          <w:p w14:paraId="014A8AD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w:t>
            </w:r>
          </w:p>
        </w:tc>
        <w:tc>
          <w:tcPr>
            <w:tcW w:w="1984" w:type="dxa"/>
            <w:vAlign w:val="center"/>
          </w:tcPr>
          <w:p w14:paraId="20D434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eastAsia" w:ascii="宋体" w:hAnsi="宋体" w:cs="宋体"/>
                <w:color w:val="auto"/>
                <w:szCs w:val="21"/>
                <w:highlight w:val="none"/>
                <w:lang w:val="en-US" w:eastAsia="zh-CN"/>
              </w:rPr>
              <w:t>七</w:t>
            </w:r>
            <w:r>
              <w:rPr>
                <w:rFonts w:hint="eastAsia" w:ascii="宋体" w:hAnsi="宋体" w:eastAsia="宋体" w:cs="宋体"/>
                <w:color w:val="auto"/>
                <w:szCs w:val="21"/>
                <w:highlight w:val="none"/>
              </w:rPr>
              <w:t>-1</w:t>
            </w:r>
          </w:p>
        </w:tc>
      </w:tr>
      <w:bookmarkEnd w:id="61"/>
    </w:tbl>
    <w:p w14:paraId="0090F29D">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64" w:name="_Toc50128391"/>
      <w:bookmarkStart w:id="65" w:name="_Toc527495474"/>
      <w:bookmarkStart w:id="66" w:name="_Toc121800407"/>
      <w:bookmarkStart w:id="67" w:name="_Toc404"/>
      <w:r>
        <w:rPr>
          <w:rFonts w:hint="eastAsia" w:ascii="宋体" w:hAnsi="宋体" w:eastAsia="宋体" w:cs="宋体"/>
          <w:b/>
          <w:color w:val="auto"/>
          <w:szCs w:val="21"/>
          <w:highlight w:val="none"/>
        </w:rPr>
        <w:t>★注：投标函、法定代表人授权委托书（或法定代表人资格证明书）、投标声明书、各类承诺函、开标一览表必须加盖单位公章。</w:t>
      </w:r>
      <w:bookmarkEnd w:id="64"/>
    </w:p>
    <w:p w14:paraId="0FC8BB40">
      <w:pPr>
        <w:snapToGrid w:val="0"/>
        <w:spacing w:line="360" w:lineRule="auto"/>
        <w:ind w:firstLine="413" w:firstLineChars="196"/>
        <w:jc w:val="left"/>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（二）投标文件的语言及计量</w:t>
      </w:r>
      <w:bookmarkEnd w:id="62"/>
      <w:bookmarkEnd w:id="65"/>
      <w:bookmarkEnd w:id="66"/>
      <w:bookmarkEnd w:id="67"/>
    </w:p>
    <w:p w14:paraId="0545E5F6">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★1.投标文件以及投标人与招标人就有关投标事宜的所有来往函电，均应以中文汉语书写。除签名、盖章、专用名称等特殊情形外，以中文汉语以外的文字表述的投标文件视同未提供。</w:t>
      </w:r>
    </w:p>
    <w:p w14:paraId="34A0E78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★2.投标计量单位，招标文件已有明确规定的，使用招标文件规定的计量单位；招标文件没有规定的，应采用中华人民共和国法定计量单位（例如货币单位：人民币元），否则视同未响应。</w:t>
      </w:r>
    </w:p>
    <w:p w14:paraId="2BFB0E12">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68" w:name="_Toc18319"/>
      <w:bookmarkStart w:id="69" w:name="_Toc527495475"/>
      <w:bookmarkStart w:id="70" w:name="_Toc30109"/>
      <w:bookmarkStart w:id="71" w:name="_Toc121800408"/>
      <w:r>
        <w:rPr>
          <w:rFonts w:hint="eastAsia" w:ascii="宋体" w:hAnsi="宋体" w:eastAsia="宋体" w:cs="宋体"/>
          <w:b/>
          <w:color w:val="auto"/>
          <w:szCs w:val="21"/>
          <w:highlight w:val="none"/>
        </w:rPr>
        <w:t>（三）投标报价</w:t>
      </w:r>
      <w:bookmarkEnd w:id="68"/>
      <w:bookmarkEnd w:id="69"/>
      <w:bookmarkEnd w:id="70"/>
      <w:bookmarkEnd w:id="71"/>
    </w:p>
    <w:p w14:paraId="269DF5D3">
      <w:pPr>
        <w:pStyle w:val="56"/>
        <w:spacing w:line="360" w:lineRule="auto"/>
        <w:ind w:firstLine="442"/>
        <w:rPr>
          <w:rFonts w:hint="eastAsia" w:ascii="宋体" w:hAnsi="宋体" w:eastAsia="宋体" w:cs="宋体"/>
          <w:b/>
          <w:bCs/>
          <w:color w:val="auto"/>
          <w:sz w:val="21"/>
          <w:szCs w:val="21"/>
          <w:highlight w:val="none"/>
        </w:rPr>
      </w:pPr>
      <w:bookmarkStart w:id="72" w:name="_Toc26553"/>
      <w:bookmarkStart w:id="73" w:name="_Toc527495476"/>
      <w:bookmarkStart w:id="74" w:name="_Toc27582"/>
      <w:r>
        <w:rPr>
          <w:rFonts w:hint="eastAsia" w:ascii="宋体" w:hAnsi="宋体" w:eastAsia="宋体" w:cs="宋体"/>
          <w:b/>
          <w:bCs/>
          <w:color w:val="auto"/>
          <w:sz w:val="21"/>
          <w:szCs w:val="21"/>
          <w:highlight w:val="none"/>
        </w:rPr>
        <w:t>1.投标报价应按招标文件中相关附表格式填写。</w:t>
      </w:r>
      <w:bookmarkEnd w:id="72"/>
      <w:bookmarkEnd w:id="73"/>
      <w:bookmarkEnd w:id="74"/>
    </w:p>
    <w:p w14:paraId="7696E88D">
      <w:pPr>
        <w:pStyle w:val="56"/>
        <w:spacing w:line="360" w:lineRule="auto"/>
        <w:ind w:firstLine="424" w:firstLineChars="201"/>
        <w:rPr>
          <w:rFonts w:hint="eastAsia" w:ascii="宋体" w:hAnsi="宋体" w:eastAsia="宋体" w:cs="宋体"/>
          <w:color w:val="auto"/>
          <w:sz w:val="22"/>
          <w:szCs w:val="22"/>
          <w:highlight w:val="none"/>
          <w:lang w:eastAsia="zh-CN"/>
        </w:rPr>
      </w:pPr>
      <w:bookmarkStart w:id="75" w:name="_Toc527495477"/>
      <w:bookmarkStart w:id="76" w:name="_Toc27262"/>
      <w:r>
        <w:rPr>
          <w:rFonts w:hint="eastAsia" w:ascii="宋体" w:hAnsi="宋体" w:eastAsia="宋体" w:cs="宋体"/>
          <w:b/>
          <w:color w:val="auto"/>
          <w:sz w:val="21"/>
          <w:szCs w:val="21"/>
          <w:highlight w:val="none"/>
        </w:rPr>
        <w:t>★2.</w:t>
      </w:r>
      <w:bookmarkEnd w:id="75"/>
      <w:bookmarkEnd w:id="76"/>
      <w:r>
        <w:rPr>
          <w:rFonts w:hint="eastAsia" w:ascii="宋体" w:hAnsi="宋体" w:eastAsia="宋体" w:cs="宋体"/>
          <w:color w:val="auto"/>
          <w:sz w:val="21"/>
          <w:szCs w:val="21"/>
          <w:highlight w:val="none"/>
        </w:rPr>
        <w:t xml:space="preserve"> 投标报价是指中标人在正确地完全履行合同义务后招标人应支付给中标人所有的服务价款，包含本项目的人力成本、设备成本、管理费、资料费用、调查费用、专家考察、咨询及审查费、正式报告印刷费、交通费、保险费、税费等完成本项目的所有费用，以及合同实施过程中的应预见和不可预见费用等完成合同规定责任和义务、达到合同目的的一切费用及利润等各项全部费用</w:t>
      </w:r>
      <w:r>
        <w:rPr>
          <w:rFonts w:hint="eastAsia" w:ascii="宋体" w:hAnsi="宋体" w:eastAsia="宋体" w:cs="宋体"/>
          <w:color w:val="auto"/>
          <w:sz w:val="21"/>
          <w:szCs w:val="21"/>
          <w:highlight w:val="none"/>
          <w:lang w:eastAsia="zh-CN"/>
        </w:rPr>
        <w:t>。</w:t>
      </w:r>
    </w:p>
    <w:p w14:paraId="62CA09BA">
      <w:pPr>
        <w:pStyle w:val="56"/>
        <w:spacing w:line="360" w:lineRule="auto"/>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★3.投标文件只允许有一个投标价，有选择的或有条件的报价将不予接受。</w:t>
      </w:r>
    </w:p>
    <w:p w14:paraId="6CADFE92">
      <w:pPr>
        <w:tabs>
          <w:tab w:val="left" w:pos="-180"/>
          <w:tab w:val="left" w:pos="180"/>
          <w:tab w:val="left" w:pos="360"/>
        </w:tabs>
        <w:spacing w:line="440" w:lineRule="exact"/>
        <w:ind w:left="1" w:firstLine="424" w:firstLine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★投标报价报出后，投标人不得以任何理由予以变更。任何包含价格调整的要求，将被认为是非实质性响应投标而予以拒绝。</w:t>
      </w:r>
    </w:p>
    <w:p w14:paraId="0365CA7D">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77" w:name="_Toc11291"/>
      <w:bookmarkStart w:id="78" w:name="_Toc26111"/>
      <w:bookmarkStart w:id="79" w:name="_Toc121800409"/>
      <w:bookmarkStart w:id="80" w:name="_Toc527495479"/>
      <w:r>
        <w:rPr>
          <w:rFonts w:hint="eastAsia" w:ascii="宋体" w:hAnsi="宋体" w:eastAsia="宋体" w:cs="宋体"/>
          <w:b/>
          <w:color w:val="auto"/>
          <w:szCs w:val="21"/>
          <w:highlight w:val="none"/>
        </w:rPr>
        <w:t>（四）投标文件的有效期</w:t>
      </w:r>
      <w:bookmarkEnd w:id="77"/>
      <w:bookmarkEnd w:id="78"/>
      <w:bookmarkEnd w:id="79"/>
      <w:bookmarkEnd w:id="80"/>
    </w:p>
    <w:p w14:paraId="4731AA07">
      <w:pPr>
        <w:pStyle w:val="7"/>
        <w:numPr>
          <w:ilvl w:val="0"/>
          <w:numId w:val="0"/>
        </w:numPr>
        <w:tabs>
          <w:tab w:val="left" w:pos="567"/>
          <w:tab w:val="clear" w:pos="360"/>
        </w:tabs>
        <w:snapToGrid w:val="0"/>
        <w:spacing w:line="360" w:lineRule="auto"/>
        <w:ind w:left="360" w:firstLine="6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★1.自投标截止日起</w:t>
      </w:r>
      <w:r>
        <w:rPr>
          <w:rFonts w:hint="eastAsia" w:ascii="宋体" w:hAnsi="宋体" w:eastAsia="宋体" w:cs="宋体"/>
          <w:b/>
          <w:color w:val="auto"/>
          <w:szCs w:val="21"/>
          <w:highlight w:val="none"/>
          <w:u w:val="single"/>
        </w:rPr>
        <w:t>90</w:t>
      </w:r>
      <w:r>
        <w:rPr>
          <w:rFonts w:hint="eastAsia" w:ascii="宋体" w:hAnsi="宋体" w:eastAsia="宋体" w:cs="宋体"/>
          <w:b/>
          <w:color w:val="auto"/>
          <w:szCs w:val="21"/>
          <w:highlight w:val="none"/>
        </w:rPr>
        <w:t>天投标文件应保持有效。有效期不足的投标文件将被拒绝。</w:t>
      </w:r>
    </w:p>
    <w:p w14:paraId="115A4BD2">
      <w:pPr>
        <w:pStyle w:val="7"/>
        <w:numPr>
          <w:ilvl w:val="0"/>
          <w:numId w:val="0"/>
        </w:numPr>
        <w:tabs>
          <w:tab w:val="left" w:pos="567"/>
          <w:tab w:val="clear" w:pos="360"/>
        </w:tabs>
        <w:snapToGrid w:val="0"/>
        <w:spacing w:line="360" w:lineRule="auto"/>
        <w:ind w:left="210" w:leftChars="1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2.在特殊情况下，招标人可与投标人协商延长投标书的有效期，这种要求和答复均以书面形式进行。</w:t>
      </w:r>
    </w:p>
    <w:p w14:paraId="591AC2DA">
      <w:pPr>
        <w:pStyle w:val="7"/>
        <w:numPr>
          <w:ilvl w:val="0"/>
          <w:numId w:val="0"/>
        </w:numPr>
        <w:tabs>
          <w:tab w:val="left" w:pos="567"/>
          <w:tab w:val="clear" w:pos="360"/>
        </w:tabs>
        <w:snapToGrid w:val="0"/>
        <w:spacing w:line="360" w:lineRule="auto"/>
        <w:ind w:left="210" w:leftChars="100" w:firstLine="420" w:firstLineChars="200"/>
        <w:rPr>
          <w:rFonts w:hint="eastAsia" w:ascii="宋体" w:hAnsi="宋体" w:eastAsia="宋体" w:cs="宋体"/>
          <w:color w:val="auto"/>
          <w:szCs w:val="21"/>
          <w:highlight w:val="none"/>
        </w:rPr>
      </w:pPr>
      <w:bookmarkStart w:id="81" w:name="_Toc527495480"/>
      <w:bookmarkStart w:id="82" w:name="_Toc10050"/>
      <w:bookmarkStart w:id="83" w:name="_Toc13025"/>
      <w:r>
        <w:rPr>
          <w:rFonts w:hint="eastAsia" w:ascii="宋体" w:hAnsi="宋体" w:eastAsia="宋体" w:cs="宋体"/>
          <w:color w:val="auto"/>
          <w:szCs w:val="21"/>
          <w:highlight w:val="none"/>
        </w:rPr>
        <w:t>3.投标人可拒绝接受延期要求而不会导致投标保证金被没收。同意延长有效期的投标人需要相应延长投标保证金的有效期，但不能修改投标文件。</w:t>
      </w:r>
      <w:bookmarkEnd w:id="81"/>
      <w:bookmarkEnd w:id="82"/>
      <w:bookmarkEnd w:id="83"/>
    </w:p>
    <w:p w14:paraId="028053ED">
      <w:pPr>
        <w:pStyle w:val="7"/>
        <w:numPr>
          <w:ilvl w:val="0"/>
          <w:numId w:val="0"/>
        </w:numPr>
        <w:tabs>
          <w:tab w:val="left" w:pos="567"/>
          <w:tab w:val="clear" w:pos="360"/>
        </w:tabs>
        <w:snapToGrid w:val="0"/>
        <w:spacing w:line="360" w:lineRule="auto"/>
        <w:ind w:left="210" w:leftChars="100" w:firstLine="420" w:firstLineChars="200"/>
        <w:rPr>
          <w:rFonts w:hint="eastAsia" w:ascii="宋体" w:hAnsi="宋体" w:eastAsia="宋体" w:cs="宋体"/>
          <w:color w:val="auto"/>
          <w:szCs w:val="21"/>
          <w:highlight w:val="none"/>
        </w:rPr>
      </w:pPr>
      <w:bookmarkStart w:id="84" w:name="_Toc26137"/>
      <w:bookmarkStart w:id="85" w:name="_Toc19039"/>
      <w:bookmarkStart w:id="86" w:name="_Toc527495481"/>
      <w:r>
        <w:rPr>
          <w:rFonts w:hint="eastAsia" w:ascii="宋体" w:hAnsi="宋体" w:eastAsia="宋体" w:cs="宋体"/>
          <w:color w:val="auto"/>
          <w:szCs w:val="21"/>
          <w:highlight w:val="none"/>
        </w:rPr>
        <w:t>4.中标人的投标文件自开标之日起至合同履行完毕止均应保持有效。</w:t>
      </w:r>
      <w:bookmarkEnd w:id="84"/>
      <w:bookmarkEnd w:id="85"/>
      <w:bookmarkEnd w:id="86"/>
    </w:p>
    <w:p w14:paraId="60896936">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87" w:name="_Toc1123"/>
      <w:bookmarkStart w:id="88" w:name="_Toc10656"/>
      <w:bookmarkStart w:id="89" w:name="_Toc527495482"/>
      <w:bookmarkStart w:id="90" w:name="_Toc121800410"/>
      <w:r>
        <w:rPr>
          <w:rFonts w:hint="eastAsia" w:ascii="宋体" w:hAnsi="宋体" w:eastAsia="宋体" w:cs="宋体"/>
          <w:b/>
          <w:color w:val="auto"/>
          <w:szCs w:val="21"/>
          <w:highlight w:val="none"/>
        </w:rPr>
        <w:t>（五）投标保证金</w:t>
      </w:r>
      <w:bookmarkEnd w:id="87"/>
      <w:bookmarkEnd w:id="88"/>
      <w:bookmarkEnd w:id="89"/>
      <w:bookmarkEnd w:id="90"/>
    </w:p>
    <w:p w14:paraId="4795EEA2">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★1.投标人须按规定提交投标保证金。否则，其投标将被拒绝。</w:t>
      </w:r>
    </w:p>
    <w:p w14:paraId="7BAE51DE">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2.保证金形式：</w:t>
      </w:r>
      <w:r>
        <w:rPr>
          <w:rFonts w:hint="eastAsia" w:ascii="宋体" w:hAnsi="宋体" w:eastAsia="宋体" w:cs="宋体"/>
          <w:bCs/>
          <w:color w:val="auto"/>
          <w:kern w:val="0"/>
          <w:szCs w:val="21"/>
          <w:highlight w:val="none"/>
        </w:rPr>
        <w:t>银行转账</w:t>
      </w:r>
      <w:r>
        <w:rPr>
          <w:rFonts w:hint="eastAsia" w:ascii="宋体" w:hAnsi="宋体" w:eastAsia="宋体" w:cs="宋体"/>
          <w:color w:val="auto"/>
          <w:szCs w:val="21"/>
          <w:highlight w:val="none"/>
        </w:rPr>
        <w:t>；</w:t>
      </w:r>
    </w:p>
    <w:p w14:paraId="1960700D">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3.未中标人的投标保证金将在中标通知书发出后 5个工作日内，向未中标人无息退还投标保证金。</w:t>
      </w:r>
    </w:p>
    <w:p w14:paraId="18F7D72B">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4.中标人应在中标通知书发出后30日</w:t>
      </w:r>
      <w:r>
        <w:rPr>
          <w:rFonts w:hint="eastAsia" w:ascii="宋体" w:hAnsi="宋体" w:cs="宋体"/>
          <w:color w:val="auto"/>
          <w:szCs w:val="21"/>
          <w:highlight w:val="none"/>
          <w:lang w:val="en-US" w:eastAsia="zh-CN"/>
        </w:rPr>
        <w:t>历天</w:t>
      </w:r>
      <w:r>
        <w:rPr>
          <w:rFonts w:hint="eastAsia" w:ascii="宋体" w:hAnsi="宋体" w:eastAsia="宋体" w:cs="宋体"/>
          <w:color w:val="auto"/>
          <w:szCs w:val="21"/>
          <w:highlight w:val="none"/>
        </w:rPr>
        <w:t>内与招标人签订合同，中标人的投标保证金在与招标人签订合同后5个工作日内一次性无息退还给中标人。</w:t>
      </w:r>
    </w:p>
    <w:p w14:paraId="3EF9C675">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5.投标人有下列情形之一的，投标保证金将不予退还：</w:t>
      </w:r>
    </w:p>
    <w:p w14:paraId="63275862">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（1）投标人在投标有效期内撤回投标文件的；</w:t>
      </w:r>
    </w:p>
    <w:p w14:paraId="41742302">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（2）未按规定提交履约保证金的；</w:t>
      </w:r>
    </w:p>
    <w:p w14:paraId="4ED22150">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（3）投标人在投标过程中弄虚作假，提供虚假材料的；</w:t>
      </w:r>
    </w:p>
    <w:p w14:paraId="105B77B4">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（4）中标人无正当理由不与招标人签订合同的；</w:t>
      </w:r>
    </w:p>
    <w:p w14:paraId="66055FFD">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（5）将中标项目转让给他人或者在投标文件中未说明且未经招标人同意，将中标项目分包给他人的；</w:t>
      </w:r>
    </w:p>
    <w:p w14:paraId="0F854E94">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（6）投标人在投标过程中违反有关法律法规的；</w:t>
      </w:r>
    </w:p>
    <w:p w14:paraId="3A225C93">
      <w:pPr>
        <w:snapToGrid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（7）其他严重扰乱招投标程序的；</w:t>
      </w:r>
    </w:p>
    <w:p w14:paraId="70E60CF0">
      <w:pPr>
        <w:snapToGrid w:val="0"/>
        <w:spacing w:line="360" w:lineRule="auto"/>
        <w:ind w:firstLine="413" w:firstLineChars="196"/>
        <w:jc w:val="left"/>
        <w:outlineLvl w:val="0"/>
        <w:rPr>
          <w:rFonts w:hint="eastAsia" w:ascii="宋体" w:hAnsi="宋体" w:eastAsia="宋体" w:cs="宋体"/>
          <w:b/>
          <w:color w:val="auto"/>
          <w:szCs w:val="21"/>
          <w:highlight w:val="none"/>
        </w:rPr>
      </w:pPr>
      <w:bookmarkStart w:id="91" w:name="_Toc121800411"/>
      <w:bookmarkStart w:id="92" w:name="_Toc2315"/>
      <w:bookmarkStart w:id="93" w:name="_Toc1814"/>
      <w:bookmarkStart w:id="94" w:name="_Toc527495483"/>
      <w:r>
        <w:rPr>
          <w:rFonts w:hint="eastAsia" w:ascii="宋体" w:hAnsi="宋体" w:eastAsia="宋体" w:cs="宋体"/>
          <w:b/>
          <w:color w:val="auto"/>
          <w:szCs w:val="21"/>
          <w:highlight w:val="none"/>
        </w:rPr>
        <w:t>（六）投标文件的签署</w:t>
      </w:r>
      <w:bookmarkEnd w:id="91"/>
      <w:bookmarkEnd w:id="92"/>
      <w:bookmarkEnd w:id="93"/>
      <w:bookmarkEnd w:id="94"/>
    </w:p>
    <w:p w14:paraId="5B706D6B">
      <w:pPr>
        <w:snapToGrid w:val="0"/>
        <w:spacing w:before="156" w:beforeLines="50" w:line="360" w:lineRule="auto"/>
        <w:ind w:firstLine="308" w:firstLineChars="147"/>
        <w:jc w:val="left"/>
        <w:rPr>
          <w:rFonts w:hint="eastAsia" w:ascii="宋体" w:hAnsi="宋体" w:eastAsia="宋体" w:cs="宋体"/>
          <w:bCs/>
          <w:color w:val="auto"/>
          <w:szCs w:val="21"/>
          <w:highlight w:val="none"/>
        </w:rPr>
      </w:pPr>
      <w:bookmarkStart w:id="95" w:name="_Toc121800412"/>
      <w:r>
        <w:rPr>
          <w:rFonts w:hint="eastAsia" w:ascii="宋体" w:hAnsi="宋体" w:eastAsia="宋体" w:cs="宋体"/>
          <w:bCs/>
          <w:color w:val="auto"/>
          <w:szCs w:val="21"/>
          <w:highlight w:val="none"/>
        </w:rPr>
        <w:t>1.投标人应按本招标文件规定的格式和顺序编制、标注页码，投标文件内容不完整、编排混乱导致投标文件被误读、漏读或者查找不到相关内容的，是投标人的责任。</w:t>
      </w:r>
    </w:p>
    <w:p w14:paraId="305F31CC">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2.将电子投标文件加密后递交至电子招标采购平台。</w:t>
      </w:r>
    </w:p>
    <w:p w14:paraId="1FC34AF5">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3.投标文件需打印或用不褪色的墨水填写，制作成电子加密投标文件后上传到电子招标采购平台。</w:t>
      </w:r>
    </w:p>
    <w:p w14:paraId="208EC6FB">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4.投标文件须由投标人在规定位置盖章并由法定代表人或法定代表人的授权委托人签署，投标人应写全称。</w:t>
      </w:r>
    </w:p>
    <w:p w14:paraId="72513351">
      <w:pPr>
        <w:snapToGrid w:val="0"/>
        <w:spacing w:before="156" w:beforeLines="50" w:line="360" w:lineRule="auto"/>
        <w:ind w:firstLine="308" w:firstLineChars="147"/>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5.投标文件不得涂改，若有修改错漏处，须加盖单位公章或者法定代表人或授权委托人签字或盖章。投标文件因字迹潦草或表达不清或电子文件质量差辨识不清等所引起的后果由投标人负责。</w:t>
      </w:r>
    </w:p>
    <w:p w14:paraId="60ACAA39">
      <w:pPr>
        <w:snapToGrid w:val="0"/>
        <w:spacing w:line="360" w:lineRule="auto"/>
        <w:ind w:firstLine="413" w:firstLineChars="196"/>
        <w:jc w:val="left"/>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（七）投标文件的上传、递交、修改和撤回</w:t>
      </w:r>
      <w:bookmarkEnd w:id="95"/>
    </w:p>
    <w:p w14:paraId="2A46D2C2">
      <w:pPr>
        <w:snapToGrid w:val="0"/>
        <w:spacing w:line="480" w:lineRule="exact"/>
        <w:ind w:firstLine="420"/>
        <w:jc w:val="left"/>
        <w:rPr>
          <w:rFonts w:hint="eastAsia" w:ascii="宋体" w:hAnsi="宋体" w:eastAsia="宋体" w:cs="宋体"/>
          <w:color w:val="auto"/>
          <w:highlight w:val="none"/>
        </w:rPr>
      </w:pPr>
      <w:bookmarkStart w:id="96" w:name="_Toc121800413"/>
      <w:r>
        <w:rPr>
          <w:rFonts w:hint="eastAsia" w:ascii="宋体" w:hAnsi="宋体" w:eastAsia="宋体" w:cs="宋体"/>
          <w:color w:val="auto"/>
          <w:szCs w:val="21"/>
          <w:highlight w:val="none"/>
        </w:rPr>
        <w:t>1.</w:t>
      </w:r>
      <w:r>
        <w:rPr>
          <w:rFonts w:hint="eastAsia" w:ascii="宋体" w:hAnsi="宋体" w:eastAsia="宋体" w:cs="宋体"/>
          <w:color w:val="auto"/>
          <w:highlight w:val="none"/>
        </w:rPr>
        <w:t xml:space="preserve"> 投标人应在投标截止时间前递交投标文件。</w:t>
      </w:r>
    </w:p>
    <w:p w14:paraId="54485367">
      <w:pPr>
        <w:snapToGrid w:val="0"/>
        <w:spacing w:line="480" w:lineRule="exact"/>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2. 投标人通过</w:t>
      </w:r>
      <w:r>
        <w:rPr>
          <w:rFonts w:hint="eastAsia" w:ascii="宋体" w:hAnsi="宋体" w:eastAsia="宋体" w:cs="宋体"/>
          <w:color w:val="auto"/>
          <w:szCs w:val="21"/>
          <w:highlight w:val="none"/>
        </w:rPr>
        <w:t>电子招标采购平台</w:t>
      </w:r>
      <w:r>
        <w:rPr>
          <w:rFonts w:hint="eastAsia" w:ascii="宋体" w:hAnsi="宋体" w:eastAsia="宋体" w:cs="宋体"/>
          <w:color w:val="auto"/>
          <w:highlight w:val="none"/>
        </w:rPr>
        <w:t>递交电子投标文件。</w:t>
      </w:r>
    </w:p>
    <w:p w14:paraId="1A2DFC71">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3.电子投标文件的拒收情形（因招标人或系统原因导致的除外）：</w:t>
      </w:r>
    </w:p>
    <w:p w14:paraId="40AAD9BB">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（1）.投标截止时间后送达（上传）的投标文件、未按招标文件要求上传的；</w:t>
      </w:r>
    </w:p>
    <w:p w14:paraId="33E211A5">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（2）.投标人未按规定加密的投标文件，应当拒收并提示；</w:t>
      </w:r>
    </w:p>
    <w:p w14:paraId="5ABBE8A6">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（3）.电子投标文件无法解密的；</w:t>
      </w:r>
    </w:p>
    <w:p w14:paraId="7D67803D">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（4）.电子投标文件解密后无法正确读取的；</w:t>
      </w:r>
    </w:p>
    <w:p w14:paraId="336254B3">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（5）.电子投标文件无法导入成功的。</w:t>
      </w:r>
    </w:p>
    <w:p w14:paraId="609BDA98">
      <w:pPr>
        <w:snapToGrid w:val="0"/>
        <w:spacing w:line="480" w:lineRule="exact"/>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4.在投标截止时间前，投标人可以修改或撤回已递交的投标文件，但应以书面形式通知招标人。投标截止时间前未完成投标文件传输的，视为撤回投标文件。</w:t>
      </w:r>
    </w:p>
    <w:p w14:paraId="5793D5C2">
      <w:pPr>
        <w:snapToGrid w:val="0"/>
        <w:spacing w:before="156" w:beforeLines="50" w:line="360" w:lineRule="auto"/>
        <w:ind w:firstLine="411" w:firstLineChars="196"/>
        <w:jc w:val="left"/>
        <w:outlineLvl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5.投标人修改或撤回已递交投标文件的通知，应按要求加盖单位公章。电子招标投标交易平台收到通知后，即时向投标人发出确认回执通知。</w:t>
      </w:r>
    </w:p>
    <w:p w14:paraId="13527E7C">
      <w:pPr>
        <w:snapToGrid w:val="0"/>
        <w:spacing w:line="360" w:lineRule="auto"/>
        <w:ind w:firstLine="411" w:firstLineChars="196"/>
        <w:jc w:val="left"/>
        <w:outlineLvl w:val="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（八）投标无效的情形</w:t>
      </w:r>
      <w:bookmarkEnd w:id="96"/>
    </w:p>
    <w:p w14:paraId="305274AE">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制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20CBD362">
      <w:pPr>
        <w:snapToGrid w:val="0"/>
        <w:spacing w:line="360" w:lineRule="auto"/>
        <w:ind w:firstLine="404" w:firstLineChars="200"/>
        <w:jc w:val="left"/>
        <w:rPr>
          <w:rFonts w:hint="eastAsia" w:ascii="宋体" w:hAnsi="宋体" w:eastAsia="宋体" w:cs="宋体"/>
          <w:b/>
          <w:bCs/>
          <w:color w:val="auto"/>
          <w:szCs w:val="21"/>
          <w:highlight w:val="none"/>
        </w:rPr>
      </w:pPr>
      <w:r>
        <w:rPr>
          <w:rFonts w:hint="eastAsia" w:ascii="宋体" w:hAnsi="宋体" w:eastAsia="宋体" w:cs="宋体"/>
          <w:color w:val="auto"/>
          <w:spacing w:val="-4"/>
          <w:szCs w:val="21"/>
          <w:highlight w:val="none"/>
        </w:rPr>
        <w:t>★</w:t>
      </w:r>
      <w:r>
        <w:rPr>
          <w:rFonts w:hint="eastAsia" w:ascii="宋体" w:hAnsi="宋体" w:eastAsia="宋体" w:cs="宋体"/>
          <w:b/>
          <w:bCs/>
          <w:color w:val="auto"/>
          <w:szCs w:val="21"/>
          <w:highlight w:val="none"/>
        </w:rPr>
        <w:t>在初步评审时，如发现下列情形之一的，投标文件将被视为无效：</w:t>
      </w:r>
    </w:p>
    <w:p w14:paraId="2111B8D4">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1.1投标人的资格条件不符合招标文件要求的；</w:t>
      </w:r>
    </w:p>
    <w:p w14:paraId="2F596D52">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1.2投标人未提交投标保证金或保证金金额不足，投标保证金不符合招标文件要求的；</w:t>
      </w:r>
    </w:p>
    <w:p w14:paraId="5AAC5F26">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1.3投标文件未按招标文件要求签字盖章，无法定代表人签字或签字人无法定代表人有效授权书的；</w:t>
      </w:r>
    </w:p>
    <w:p w14:paraId="18396EF7">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1.4投标有效期不足的；</w:t>
      </w:r>
    </w:p>
    <w:p w14:paraId="560B28C3">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作无效标处理；</w:t>
      </w:r>
    </w:p>
    <w:p w14:paraId="002E4199">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w:t>
      </w:r>
      <w:r>
        <w:rPr>
          <w:rFonts w:hint="eastAsia" w:ascii="宋体" w:hAnsi="宋体" w:eastAsia="宋体" w:cs="宋体"/>
          <w:color w:val="auto"/>
          <w:spacing w:val="-4"/>
          <w:szCs w:val="21"/>
          <w:highlight w:val="none"/>
        </w:rPr>
        <w:t>投标文件的实质性内容未使用中文表述、意思表述不明确、前后矛盾或者使用计量单位不符合招标文件要求的；</w:t>
      </w:r>
    </w:p>
    <w:p w14:paraId="10AFA73F">
      <w:pPr>
        <w:snapToGri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w:t>
      </w:r>
      <w:r>
        <w:rPr>
          <w:rFonts w:hint="eastAsia" w:ascii="宋体" w:hAnsi="宋体" w:eastAsia="宋体" w:cs="宋体"/>
          <w:color w:val="auto"/>
          <w:spacing w:val="-4"/>
          <w:szCs w:val="21"/>
          <w:highlight w:val="none"/>
        </w:rPr>
        <w:t>未实质性响应招标文件要求（与招标文件中标“★”的实质性条款偏离）或者投标文件有招标人不能接受的附加条件的；</w:t>
      </w:r>
    </w:p>
    <w:p w14:paraId="42BDA696">
      <w:pPr>
        <w:snapToGrid w:val="0"/>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1.8存在串标、抬标或弄虚作假情况的；</w:t>
      </w:r>
    </w:p>
    <w:p w14:paraId="6FC36362">
      <w:pPr>
        <w:snapToGrid w:val="0"/>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1.9法律、法规和招标文件规定的其他无效情形；</w:t>
      </w:r>
    </w:p>
    <w:p w14:paraId="6349BAE1">
      <w:pPr>
        <w:snapToGrid w:val="0"/>
        <w:spacing w:line="360" w:lineRule="auto"/>
        <w:ind w:firstLine="404"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rPr>
        <w:t>1.10不同投标人的电子投标文件编制时的计算机硬件信息中网卡MAC地址（如有）、硬盘（含移动存储介质）序列号（Optane_0000或0100_0000_0000_0000序列号除外）、互联网接入IP地址相同的，投标文件为无效标。</w:t>
      </w:r>
    </w:p>
    <w:p w14:paraId="157B8853">
      <w:pPr>
        <w:snapToGrid w:val="0"/>
        <w:spacing w:line="360" w:lineRule="auto"/>
        <w:ind w:left="551"/>
        <w:jc w:val="center"/>
        <w:outlineLvl w:val="0"/>
        <w:rPr>
          <w:rFonts w:hint="eastAsia" w:ascii="宋体" w:hAnsi="宋体" w:eastAsia="宋体" w:cs="宋体"/>
          <w:b/>
          <w:color w:val="auto"/>
          <w:kern w:val="0"/>
          <w:sz w:val="28"/>
          <w:szCs w:val="21"/>
          <w:highlight w:val="none"/>
        </w:rPr>
      </w:pPr>
      <w:bookmarkStart w:id="97" w:name="_Toc121800414"/>
      <w:r>
        <w:rPr>
          <w:rFonts w:hint="eastAsia" w:ascii="宋体" w:hAnsi="宋体" w:eastAsia="宋体" w:cs="宋体"/>
          <w:b/>
          <w:color w:val="auto"/>
          <w:kern w:val="0"/>
          <w:sz w:val="28"/>
          <w:szCs w:val="21"/>
          <w:highlight w:val="none"/>
        </w:rPr>
        <w:t>四、重新招标</w:t>
      </w:r>
      <w:bookmarkEnd w:id="97"/>
    </w:p>
    <w:p w14:paraId="547AA9B5">
      <w:pPr>
        <w:snapToGrid w:val="0"/>
        <w:spacing w:line="360" w:lineRule="auto"/>
        <w:ind w:left="181" w:leftChars="86" w:firstLine="210" w:firstLineChars="1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w:t>
      </w:r>
      <w:r>
        <w:rPr>
          <w:rFonts w:hint="eastAsia" w:ascii="宋体" w:hAnsi="宋体" w:cs="宋体"/>
          <w:color w:val="auto"/>
          <w:szCs w:val="21"/>
          <w:highlight w:val="none"/>
        </w:rPr>
        <w:t>投标截止时间</w:t>
      </w:r>
      <w:r>
        <w:rPr>
          <w:rFonts w:hint="eastAsia" w:ascii="宋体" w:hAnsi="宋体" w:cs="宋体"/>
          <w:color w:val="auto"/>
          <w:szCs w:val="21"/>
          <w:highlight w:val="none"/>
          <w:lang w:val="en-US" w:eastAsia="zh-CN"/>
        </w:rPr>
        <w:t>时</w:t>
      </w:r>
      <w:r>
        <w:rPr>
          <w:rFonts w:hint="eastAsia" w:ascii="宋体" w:hAnsi="宋体" w:cs="宋体"/>
          <w:color w:val="auto"/>
          <w:szCs w:val="21"/>
          <w:highlight w:val="none"/>
        </w:rPr>
        <w:t>，投标人不足</w:t>
      </w:r>
      <w:r>
        <w:rPr>
          <w:rFonts w:ascii="宋体" w:hAnsi="宋体" w:cs="宋体"/>
          <w:color w:val="auto"/>
          <w:szCs w:val="21"/>
          <w:highlight w:val="none"/>
        </w:rPr>
        <w:t>3家的，本项目无法开标，重新组织招标</w:t>
      </w:r>
      <w:r>
        <w:rPr>
          <w:rFonts w:hint="eastAsia" w:asciiTheme="minorEastAsia" w:hAnsiTheme="minorEastAsia" w:eastAsiaTheme="minorEastAsia" w:cstheme="minorEastAsia"/>
          <w:bCs/>
          <w:color w:val="auto"/>
          <w:szCs w:val="21"/>
          <w:highlight w:val="none"/>
        </w:rPr>
        <w:t>。</w:t>
      </w:r>
    </w:p>
    <w:p w14:paraId="791B0C80">
      <w:pPr>
        <w:snapToGrid w:val="0"/>
        <w:spacing w:line="360" w:lineRule="auto"/>
        <w:ind w:left="181" w:leftChars="86" w:firstLine="210" w:firstLineChars="10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宋体" w:hAnsi="宋体" w:cs="宋体"/>
          <w:color w:val="auto"/>
          <w:szCs w:val="21"/>
          <w:highlight w:val="none"/>
        </w:rPr>
        <w:t>开标后经评审，当有效标不足</w:t>
      </w:r>
      <w:r>
        <w:rPr>
          <w:rFonts w:ascii="宋体" w:hAnsi="宋体" w:cs="宋体"/>
          <w:color w:val="auto"/>
          <w:szCs w:val="21"/>
          <w:highlight w:val="none"/>
        </w:rPr>
        <w:t>3家时，评标委员会应否决全部投标，重新组织招标</w:t>
      </w:r>
      <w:r>
        <w:rPr>
          <w:rFonts w:hint="eastAsia" w:asciiTheme="minorEastAsia" w:hAnsiTheme="minorEastAsia" w:eastAsiaTheme="minorEastAsia" w:cstheme="minorEastAsia"/>
          <w:bCs/>
          <w:color w:val="auto"/>
          <w:szCs w:val="21"/>
          <w:highlight w:val="none"/>
        </w:rPr>
        <w:t>。</w:t>
      </w:r>
    </w:p>
    <w:p w14:paraId="75744B04">
      <w:pPr>
        <w:snapToGrid w:val="0"/>
        <w:spacing w:line="360" w:lineRule="auto"/>
        <w:ind w:left="181" w:leftChars="86" w:firstLine="210" w:firstLineChars="100"/>
        <w:rPr>
          <w:rFonts w:hint="eastAsia" w:ascii="宋体" w:hAnsi="宋体" w:eastAsia="宋体" w:cs="宋体"/>
          <w:bCs/>
          <w:color w:val="auto"/>
          <w:szCs w:val="21"/>
          <w:highlight w:val="none"/>
        </w:rPr>
      </w:pPr>
      <w:r>
        <w:rPr>
          <w:rFonts w:hint="eastAsia" w:asciiTheme="minorEastAsia" w:hAnsiTheme="minorEastAsia" w:eastAsiaTheme="minorEastAsia" w:cstheme="minorEastAsia"/>
          <w:bCs/>
          <w:color w:val="auto"/>
          <w:szCs w:val="21"/>
          <w:highlight w:val="none"/>
        </w:rPr>
        <w:t>3.中标候选人均未与招标人签订合同的</w:t>
      </w:r>
      <w:r>
        <w:rPr>
          <w:rFonts w:hint="eastAsia" w:asciiTheme="minorEastAsia" w:hAnsiTheme="minorEastAsia" w:eastAsiaTheme="minorEastAsia" w:cstheme="minorEastAsia"/>
          <w:bCs/>
          <w:color w:val="auto"/>
          <w:szCs w:val="21"/>
          <w:highlight w:val="none"/>
          <w:lang w:eastAsia="zh-CN"/>
        </w:rPr>
        <w:t>，</w:t>
      </w:r>
      <w:r>
        <w:rPr>
          <w:rFonts w:ascii="宋体" w:hAnsi="宋体" w:cs="宋体"/>
          <w:color w:val="auto"/>
          <w:szCs w:val="21"/>
          <w:highlight w:val="none"/>
        </w:rPr>
        <w:t>重新组织招标</w:t>
      </w:r>
      <w:r>
        <w:rPr>
          <w:rFonts w:hint="eastAsia" w:asciiTheme="minorEastAsia" w:hAnsiTheme="minorEastAsia" w:eastAsiaTheme="minorEastAsia" w:cstheme="minorEastAsia"/>
          <w:bCs/>
          <w:color w:val="auto"/>
          <w:szCs w:val="21"/>
          <w:highlight w:val="none"/>
        </w:rPr>
        <w:t>。</w:t>
      </w:r>
    </w:p>
    <w:p w14:paraId="5B6C49A4">
      <w:pPr>
        <w:snapToGrid w:val="0"/>
        <w:spacing w:line="360" w:lineRule="auto"/>
        <w:jc w:val="center"/>
        <w:outlineLvl w:val="0"/>
        <w:rPr>
          <w:rFonts w:hint="eastAsia" w:ascii="宋体" w:hAnsi="宋体" w:eastAsia="宋体" w:cs="宋体"/>
          <w:b/>
          <w:color w:val="auto"/>
          <w:kern w:val="0"/>
          <w:sz w:val="28"/>
          <w:szCs w:val="21"/>
          <w:highlight w:val="none"/>
        </w:rPr>
      </w:pPr>
      <w:bookmarkStart w:id="98" w:name="_Toc121800415"/>
      <w:r>
        <w:rPr>
          <w:rFonts w:hint="eastAsia" w:ascii="宋体" w:hAnsi="宋体" w:eastAsia="宋体" w:cs="宋体"/>
          <w:b/>
          <w:color w:val="auto"/>
          <w:kern w:val="0"/>
          <w:sz w:val="28"/>
          <w:szCs w:val="21"/>
          <w:highlight w:val="none"/>
        </w:rPr>
        <w:t>五、开标</w:t>
      </w:r>
      <w:bookmarkEnd w:id="98"/>
    </w:p>
    <w:p w14:paraId="1CBAA18A">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bookmarkStart w:id="99" w:name="_Hlk112923055"/>
      <w:r>
        <w:rPr>
          <w:rFonts w:hint="eastAsia" w:ascii="宋体" w:hAnsi="宋体" w:eastAsia="宋体" w:cs="宋体"/>
          <w:b/>
          <w:color w:val="auto"/>
          <w:sz w:val="21"/>
          <w:szCs w:val="21"/>
          <w:highlight w:val="none"/>
        </w:rPr>
        <w:t>（一）开标准备</w:t>
      </w:r>
    </w:p>
    <w:p w14:paraId="49BFB375">
      <w:pPr>
        <w:snapToGrid w:val="0"/>
        <w:spacing w:line="360" w:lineRule="auto"/>
        <w:ind w:left="181" w:leftChars="86"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人将在规定的时间和地点进行开标，投标人的法定代表人或其授权代表应在投标截止时间之后三十分钟内在“浙江海港投标管家”工具端—进入项目—开标—远程开标模块，进行开标结果确定，如超时未确认，视作投标人已对开标结果确认无误。</w:t>
      </w:r>
    </w:p>
    <w:p w14:paraId="2F840A92">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（二）开标程序：</w:t>
      </w:r>
    </w:p>
    <w:bookmarkEnd w:id="99"/>
    <w:p w14:paraId="14525D95">
      <w:pPr>
        <w:pStyle w:val="17"/>
        <w:snapToGrid w:val="0"/>
        <w:spacing w:before="156" w:after="156" w:line="360" w:lineRule="auto"/>
        <w:ind w:firstLine="420" w:firstLineChars="200"/>
        <w:rPr>
          <w:rFonts w:hint="eastAsia" w:ascii="宋体" w:hAnsi="宋体" w:eastAsia="宋体" w:cs="宋体"/>
          <w:color w:val="auto"/>
          <w:sz w:val="21"/>
          <w:szCs w:val="21"/>
          <w:highlight w:val="none"/>
        </w:rPr>
      </w:pPr>
      <w:bookmarkStart w:id="100" w:name="_Toc121800416"/>
      <w:r>
        <w:rPr>
          <w:rFonts w:hint="eastAsia" w:ascii="宋体" w:hAnsi="宋体" w:eastAsia="宋体" w:cs="宋体"/>
          <w:color w:val="auto"/>
          <w:sz w:val="21"/>
          <w:szCs w:val="21"/>
          <w:highlight w:val="none"/>
        </w:rPr>
        <w:t>1.开标会由招标人或代理机构主持，主持人宣布开标会议开始；</w:t>
      </w:r>
    </w:p>
    <w:p w14:paraId="48820C66">
      <w:pPr>
        <w:pStyle w:val="17"/>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2.主持人介绍参加开标会的人员名单； </w:t>
      </w:r>
    </w:p>
    <w:p w14:paraId="5EBFFE1C">
      <w:pPr>
        <w:pStyle w:val="17"/>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3.主持人发起投标文件解密；</w:t>
      </w:r>
    </w:p>
    <w:p w14:paraId="331E9EFD">
      <w:pPr>
        <w:pStyle w:val="17"/>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4.所有投标解密后开启电子投标文件；</w:t>
      </w:r>
    </w:p>
    <w:p w14:paraId="15D7CBC0">
      <w:pPr>
        <w:pStyle w:val="17"/>
        <w:snapToGrid w:val="0"/>
        <w:spacing w:before="156" w:after="156"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5.开启电子投标文件后公布开标结果；</w:t>
      </w:r>
    </w:p>
    <w:p w14:paraId="79877327">
      <w:pPr>
        <w:pStyle w:val="17"/>
        <w:snapToGrid w:val="0"/>
        <w:spacing w:before="156" w:after="156" w:line="360" w:lineRule="auto"/>
        <w:ind w:left="689" w:leftChars="228" w:hanging="210" w:hanging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6.开标会议结束。</w:t>
      </w:r>
    </w:p>
    <w:p w14:paraId="21E152DB">
      <w:pPr>
        <w:snapToGrid w:val="0"/>
        <w:spacing w:line="360" w:lineRule="auto"/>
        <w:jc w:val="center"/>
        <w:outlineLvl w:val="0"/>
        <w:rPr>
          <w:rFonts w:hint="eastAsia" w:ascii="宋体" w:hAnsi="宋体" w:eastAsia="宋体" w:cs="宋体"/>
          <w:b/>
          <w:color w:val="auto"/>
          <w:kern w:val="0"/>
          <w:sz w:val="28"/>
          <w:szCs w:val="21"/>
          <w:highlight w:val="none"/>
        </w:rPr>
      </w:pPr>
      <w:r>
        <w:rPr>
          <w:rFonts w:hint="eastAsia" w:ascii="宋体" w:hAnsi="宋体" w:eastAsia="宋体" w:cs="宋体"/>
          <w:b/>
          <w:color w:val="auto"/>
          <w:kern w:val="0"/>
          <w:sz w:val="28"/>
          <w:szCs w:val="21"/>
          <w:highlight w:val="none"/>
        </w:rPr>
        <w:t>六、评标</w:t>
      </w:r>
      <w:bookmarkEnd w:id="100"/>
    </w:p>
    <w:p w14:paraId="4A6FAC96">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（一）组建评标委员会</w:t>
      </w:r>
    </w:p>
    <w:p w14:paraId="7CF44EB4">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本项目评标委员会由评审专家和招标人代表共5人组成。</w:t>
      </w:r>
    </w:p>
    <w:p w14:paraId="0082A252">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（二）评标的原则</w:t>
      </w:r>
    </w:p>
    <w:p w14:paraId="02917B9D">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本项目采用不公开方式评标，评标的依据为招标文件和投标文件。</w:t>
      </w:r>
    </w:p>
    <w:p w14:paraId="32524BCE">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bCs/>
          <w:color w:val="auto"/>
          <w:sz w:val="21"/>
          <w:szCs w:val="21"/>
          <w:highlight w:val="none"/>
        </w:rPr>
        <w:t>评标程序</w:t>
      </w:r>
    </w:p>
    <w:p w14:paraId="73CC8DD1">
      <w:pPr>
        <w:snapToGrid w:val="0"/>
        <w:spacing w:line="360" w:lineRule="auto"/>
        <w:ind w:firstLine="413" w:firstLineChars="19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1.形式审查</w:t>
      </w:r>
    </w:p>
    <w:p w14:paraId="6F700D75">
      <w:pPr>
        <w:snapToGrid w:val="0"/>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招标人的工作人员协助评标委员会对投标人的资格和投标文件的完整性、合法性等进行审查。</w:t>
      </w:r>
    </w:p>
    <w:p w14:paraId="469B28C1">
      <w:pPr>
        <w:snapToGrid w:val="0"/>
        <w:spacing w:line="360" w:lineRule="auto"/>
        <w:ind w:firstLine="413" w:firstLineChars="196"/>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2.实质审查与比较</w:t>
      </w:r>
    </w:p>
    <w:p w14:paraId="6F701DED">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（1）评标委员会审查投标文件的实质性内容是否符合招标文件的实质性要求。</w:t>
      </w:r>
    </w:p>
    <w:p w14:paraId="1D056E2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（2）评标委员会将根据投标人的投标文件进行审查、核对,如有疑问,将对投标人进行询标,投标人要向评标委员会澄清有关问题,并最终以书面形式进行答复。</w:t>
      </w:r>
    </w:p>
    <w:p w14:paraId="198C3D8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投标人代表未到场或者拒绝澄清或者澄清的内容改变了投标文件的实质性内容的，评标委员会有权对该投标文件作出不利于投标人的评判。</w:t>
      </w:r>
    </w:p>
    <w:p w14:paraId="43F6B541">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（3）各投标人的商务技术得分为所有评委的有效评分的算术平均数(计算保留两位小数)。</w:t>
      </w:r>
    </w:p>
    <w:p w14:paraId="77BEF89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（4）评标委员会根据本项目的评分标准计算各投标人的价格标得分。</w:t>
      </w:r>
    </w:p>
    <w:p w14:paraId="05166F3F">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（5）评标委员会完成评标后,评委对各部分得分汇总,计算出本项目最终得分。评标委员会按评标原则推荐中标候选人同时起草评标报告。</w:t>
      </w:r>
    </w:p>
    <w:p w14:paraId="647B2DCD">
      <w:pPr>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（四）澄清问题的形式</w:t>
      </w:r>
    </w:p>
    <w:p w14:paraId="49D6E24B">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0D08FABB">
      <w:pPr>
        <w:pStyle w:val="17"/>
        <w:snapToGrid w:val="0"/>
        <w:spacing w:beforeLines="0" w:afterLines="0" w:line="360" w:lineRule="auto"/>
        <w:ind w:left="690" w:leftChars="228" w:hanging="211" w:hangingChars="1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（五）错误修正</w:t>
      </w:r>
    </w:p>
    <w:p w14:paraId="14BCEF91">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投标文件如果出现计算或表达上的错误，修正错误的原则如下：</w:t>
      </w:r>
    </w:p>
    <w:p w14:paraId="7B4F5DB2">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1.投标文件的大写金额和小写金额不一致的，以大写金额为准；</w:t>
      </w:r>
    </w:p>
    <w:p w14:paraId="6F218129">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2.总价金额与按单价汇总金额不一致的，以单价金额计算结果为准；</w:t>
      </w:r>
    </w:p>
    <w:p w14:paraId="10465F19">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3.对不同文字文本投标文件的解释发生异议的，以中文文本为准。</w:t>
      </w:r>
    </w:p>
    <w:p w14:paraId="1597D58B">
      <w:pPr>
        <w:pStyle w:val="17"/>
        <w:snapToGrid w:val="0"/>
        <w:spacing w:beforeLines="0" w:afterLines="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591DCEB5">
      <w:pPr>
        <w:pStyle w:val="17"/>
        <w:tabs>
          <w:tab w:val="left" w:pos="630"/>
        </w:tabs>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（六）评标原则和评标办法</w:t>
      </w:r>
    </w:p>
    <w:p w14:paraId="698AAAF4">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9B6DEB3">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2.评标办法。本项目评标办法是</w:t>
      </w:r>
      <w:r>
        <w:rPr>
          <w:rFonts w:hint="eastAsia" w:ascii="宋体" w:hAnsi="宋体" w:eastAsia="宋体" w:cs="宋体"/>
          <w:color w:val="auto"/>
          <w:sz w:val="21"/>
          <w:szCs w:val="21"/>
          <w:highlight w:val="none"/>
          <w:u w:val="single"/>
        </w:rPr>
        <w:t>综合评分法</w:t>
      </w:r>
      <w:r>
        <w:rPr>
          <w:rFonts w:hint="eastAsia" w:ascii="宋体" w:hAnsi="宋体" w:eastAsia="宋体" w:cs="宋体"/>
          <w:color w:val="auto"/>
          <w:sz w:val="21"/>
          <w:szCs w:val="21"/>
          <w:highlight w:val="none"/>
        </w:rPr>
        <w:t>，具体评标内容及评分标准等详见《第</w:t>
      </w:r>
      <w:r>
        <w:rPr>
          <w:rFonts w:hint="eastAsia" w:ascii="宋体" w:hAnsi="宋体" w:eastAsia="宋体" w:cs="宋体"/>
          <w:bCs/>
          <w:color w:val="auto"/>
          <w:sz w:val="21"/>
          <w:szCs w:val="21"/>
          <w:highlight w:val="none"/>
          <w:u w:val="single"/>
        </w:rPr>
        <w:t>四</w:t>
      </w:r>
      <w:r>
        <w:rPr>
          <w:rFonts w:hint="eastAsia" w:ascii="宋体" w:hAnsi="宋体" w:eastAsia="宋体" w:cs="宋体"/>
          <w:color w:val="auto"/>
          <w:sz w:val="21"/>
          <w:szCs w:val="21"/>
          <w:highlight w:val="none"/>
        </w:rPr>
        <w:t>章：评标办法及评分标准》。</w:t>
      </w:r>
    </w:p>
    <w:p w14:paraId="310202BF">
      <w:pPr>
        <w:pStyle w:val="17"/>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（七）评标过程的监控</w:t>
      </w:r>
    </w:p>
    <w:p w14:paraId="35B37DDF">
      <w:pPr>
        <w:pStyle w:val="17"/>
        <w:snapToGrid w:val="0"/>
        <w:spacing w:beforeLines="0" w:afterLines="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投标人在评标过程中所进行的试图影响评标结果的不公正活动，可能导致其投标被拒绝。</w:t>
      </w:r>
    </w:p>
    <w:p w14:paraId="1443C198">
      <w:pPr>
        <w:pStyle w:val="17"/>
        <w:snapToGrid w:val="0"/>
        <w:spacing w:beforeLines="0" w:afterLines="0" w:line="360" w:lineRule="auto"/>
        <w:ind w:left="690" w:leftChars="228" w:hanging="211" w:hanging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（八）中标候选人</w:t>
      </w:r>
    </w:p>
    <w:p w14:paraId="76EF5F1B">
      <w:pPr>
        <w:snapToGrid w:val="0"/>
        <w:spacing w:line="360" w:lineRule="auto"/>
        <w:ind w:firstLine="422" w:firstLineChars="200"/>
        <w:rPr>
          <w:rFonts w:hint="eastAsia" w:ascii="宋体" w:hAnsi="宋体" w:eastAsia="宋体" w:cs="宋体"/>
          <w:b/>
          <w:bCs/>
          <w:color w:val="auto"/>
          <w:kern w:val="0"/>
          <w:szCs w:val="21"/>
          <w:highlight w:val="none"/>
        </w:rPr>
      </w:pPr>
      <w:bookmarkStart w:id="101" w:name="_Hlk112924491"/>
      <w:r>
        <w:rPr>
          <w:rFonts w:hint="eastAsia" w:ascii="宋体" w:hAnsi="宋体" w:eastAsia="宋体" w:cs="宋体"/>
          <w:b/>
          <w:bCs/>
          <w:color w:val="auto"/>
          <w:kern w:val="0"/>
          <w:szCs w:val="21"/>
          <w:highlight w:val="none"/>
        </w:rPr>
        <w:t>1.评标委员会根据各投标人的综合得分高低排定顺序，推荐综合得分最高的投标人为中标候选人</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得分相同投标报价低的排序优先；得分且投标报价相同的，抽签决定</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。招标人根据评标委员会推荐的中标候选人确定中标人。</w:t>
      </w:r>
    </w:p>
    <w:bookmarkEnd w:id="101"/>
    <w:p w14:paraId="45D2730A">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2.中标人拖延、拒签合同或拒交履约保证金的或在本次招标活动中存在违法违规行为,将被扣罚投标保证金并取消中标资格。</w:t>
      </w:r>
    </w:p>
    <w:p w14:paraId="0B9289CA">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 中标候选人放弃中标；因不可抗力提出不能履行合同；或者招标文件规定应当提交履约保证金而在规定的期限内未能提交的；或未能在规定时间内与招标人签订合同的；或者经质疑，招标人审查后，确因中标候选人在本次招标活动中存在违法违规行为或其他原因使质疑成立的，招标人重新招标。</w:t>
      </w:r>
    </w:p>
    <w:p w14:paraId="7555023E">
      <w:pPr>
        <w:tabs>
          <w:tab w:val="left" w:pos="540"/>
        </w:tabs>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4.招标人对决标结果不做任何解释，也不保证最低报价中标。</w:t>
      </w:r>
    </w:p>
    <w:p w14:paraId="4E48AE55">
      <w:pPr>
        <w:pStyle w:val="17"/>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（九）合同授予</w:t>
      </w:r>
    </w:p>
    <w:p w14:paraId="722AF75B">
      <w:pPr>
        <w:tabs>
          <w:tab w:val="left" w:pos="540"/>
        </w:tabs>
        <w:spacing w:line="360" w:lineRule="auto"/>
        <w:ind w:firstLine="527" w:firstLineChars="250"/>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1.评审结束后，招标人将对评标专家推荐的中标候选人进行最终审查，审查内容主要是中标人是否有能力（财务、技术和生产能力）履行合同。</w:t>
      </w:r>
      <w:r>
        <w:rPr>
          <w:rFonts w:hint="eastAsia" w:ascii="宋体" w:hAnsi="宋体" w:eastAsia="宋体" w:cs="宋体"/>
          <w:bCs/>
          <w:color w:val="auto"/>
          <w:szCs w:val="21"/>
          <w:highlight w:val="none"/>
        </w:rPr>
        <w:t>审查通过，招标人将把中标合同授予该中标人，审查未通过，招标人将拒绝其中标，</w:t>
      </w:r>
      <w:r>
        <w:rPr>
          <w:rFonts w:hint="eastAsia" w:ascii="宋体" w:hAnsi="宋体" w:eastAsia="宋体" w:cs="宋体"/>
          <w:color w:val="auto"/>
          <w:szCs w:val="21"/>
          <w:highlight w:val="none"/>
        </w:rPr>
        <w:t>并重新招标</w:t>
      </w:r>
      <w:r>
        <w:rPr>
          <w:rFonts w:hint="eastAsia" w:ascii="宋体" w:hAnsi="宋体" w:eastAsia="宋体" w:cs="宋体"/>
          <w:bCs/>
          <w:color w:val="auto"/>
          <w:szCs w:val="21"/>
          <w:highlight w:val="none"/>
        </w:rPr>
        <w:t>。</w:t>
      </w:r>
    </w:p>
    <w:p w14:paraId="7C85FA03">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评标专家确定的中标候选人经招标人审查合格后在本项目招标指定信息发布媒体上公示，评标结果公示期限为3个工作日。各投标人对评标结果如有异议，可在规定时间内以书面形式向招标人进行署名投诉或提出质疑，但需对投诉或质疑内容的真实性承担法律责任。</w:t>
      </w:r>
    </w:p>
    <w:p w14:paraId="2508949E">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3.公示期结束后，招标人向中标人发出中标通知书，中标通知书是合同的一个组成部分,对招标人和中标人均具有同等法律效力。</w:t>
      </w:r>
    </w:p>
    <w:p w14:paraId="60C1FC61">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4.招标人与中标人应当在《中标通知书》发出之日起30日内签订合同。同时，招标人对合同内容进行审查，如发现与采购结果和投标承诺内容不一致的，应予以纠正。</w:t>
      </w:r>
    </w:p>
    <w:p w14:paraId="371DF9A9">
      <w:pPr>
        <w:pStyle w:val="17"/>
        <w:snapToGrid w:val="0"/>
        <w:spacing w:beforeLines="0" w:afterLines="0" w:line="360" w:lineRule="auto"/>
        <w:ind w:firstLine="413" w:firstLineChars="196"/>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（十）履约保证金</w:t>
      </w:r>
    </w:p>
    <w:p w14:paraId="6A5D4E92">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1.中标人在收到中标通知书后，签订合同</w:t>
      </w:r>
      <w:r>
        <w:rPr>
          <w:rFonts w:hint="eastAsia" w:ascii="宋体" w:hAnsi="宋体" w:eastAsia="宋体" w:cs="宋体"/>
          <w:color w:val="auto"/>
          <w:sz w:val="21"/>
          <w:szCs w:val="21"/>
          <w:highlight w:val="none"/>
        </w:rPr>
        <w:t>前须向</w:t>
      </w:r>
      <w:r>
        <w:rPr>
          <w:rFonts w:hint="eastAsia" w:ascii="宋体" w:hAnsi="宋体" w:cs="宋体"/>
          <w:color w:val="auto"/>
          <w:sz w:val="21"/>
          <w:szCs w:val="21"/>
          <w:highlight w:val="none"/>
          <w:lang w:eastAsia="zh-CN"/>
        </w:rPr>
        <w:t>温州港南岳港务有限公司、温州港益嘉港务有限公司</w:t>
      </w:r>
      <w:r>
        <w:rPr>
          <w:rFonts w:hint="eastAsia" w:ascii="宋体" w:hAnsi="宋体" w:cs="宋体"/>
          <w:color w:val="auto"/>
          <w:sz w:val="21"/>
          <w:szCs w:val="21"/>
          <w:highlight w:val="none"/>
          <w:lang w:val="en-US" w:eastAsia="zh-CN"/>
        </w:rPr>
        <w:t>分别</w:t>
      </w:r>
      <w:r>
        <w:rPr>
          <w:rFonts w:hint="eastAsia" w:ascii="宋体" w:hAnsi="宋体" w:eastAsia="宋体" w:cs="宋体"/>
          <w:color w:val="auto"/>
          <w:sz w:val="21"/>
          <w:szCs w:val="21"/>
          <w:highlight w:val="none"/>
        </w:rPr>
        <w:t>提交合同金额5%履约保证金，并且要保证履约保证金在合同履行期间的有效性。</w:t>
      </w:r>
    </w:p>
    <w:p w14:paraId="31715B91">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2.履约保证金用于补偿招标人因中标人不能完成其合同义务而蒙受的损失。</w:t>
      </w:r>
    </w:p>
    <w:p w14:paraId="26D80D57">
      <w:pPr>
        <w:tabs>
          <w:tab w:val="left" w:pos="540"/>
        </w:tabs>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3.履约保证金自合同签订之日起至服务期结束之日止有效。有效期满后，招标人应及时将履约保证金无息退还给中标人。</w:t>
      </w:r>
    </w:p>
    <w:p w14:paraId="26B32F0E">
      <w:pPr>
        <w:spacing w:line="440" w:lineRule="exact"/>
        <w:ind w:left="42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（十一）招标代理服务费</w:t>
      </w:r>
    </w:p>
    <w:p w14:paraId="47FDA049">
      <w:pPr>
        <w:spacing w:line="440" w:lineRule="exact"/>
        <w:ind w:left="420"/>
        <w:rPr>
          <w:rFonts w:hint="eastAsia" w:asciiTheme="minorEastAsia" w:hAnsiTheme="minorEastAsia" w:eastAsiaTheme="minorEastAsia" w:cstheme="minorEastAsia"/>
          <w:b/>
          <w:color w:val="auto"/>
          <w:sz w:val="22"/>
          <w:szCs w:val="22"/>
          <w:highlight w:val="none"/>
        </w:rPr>
      </w:pPr>
      <w:r>
        <w:rPr>
          <w:rFonts w:hint="eastAsia" w:ascii="宋体" w:hAnsi="宋体" w:eastAsia="宋体" w:cs="宋体"/>
          <w:b/>
          <w:color w:val="auto"/>
          <w:sz w:val="22"/>
          <w:szCs w:val="22"/>
          <w:highlight w:val="none"/>
        </w:rPr>
        <w:t>本次招标，</w:t>
      </w:r>
      <w:r>
        <w:rPr>
          <w:rFonts w:hint="eastAsia" w:ascii="宋体" w:hAnsi="宋体" w:eastAsia="宋体" w:cs="宋体"/>
          <w:b/>
          <w:bCs/>
          <w:color w:val="auto"/>
          <w:sz w:val="22"/>
          <w:szCs w:val="22"/>
          <w:highlight w:val="none"/>
        </w:rPr>
        <w:t>招标代理服务费</w:t>
      </w:r>
      <w:r>
        <w:rPr>
          <w:rFonts w:hint="eastAsia" w:ascii="宋体" w:hAnsi="宋体" w:eastAsia="宋体" w:cs="宋体"/>
          <w:b/>
          <w:color w:val="auto"/>
          <w:sz w:val="22"/>
          <w:szCs w:val="22"/>
          <w:highlight w:val="none"/>
        </w:rPr>
        <w:t>按人民币</w:t>
      </w:r>
      <w:r>
        <w:rPr>
          <w:rFonts w:hint="eastAsia" w:asciiTheme="minorEastAsia" w:hAnsiTheme="minorEastAsia" w:eastAsiaTheme="minorEastAsia" w:cstheme="minorEastAsia"/>
          <w:b/>
          <w:color w:val="auto"/>
          <w:sz w:val="22"/>
          <w:szCs w:val="22"/>
          <w:highlight w:val="none"/>
          <w:lang w:val="en-US" w:eastAsia="zh-CN"/>
        </w:rPr>
        <w:t>叁仟陆佰</w:t>
      </w:r>
      <w:r>
        <w:rPr>
          <w:rFonts w:hint="eastAsia" w:ascii="宋体" w:hAnsi="宋体" w:eastAsia="宋体" w:cs="宋体"/>
          <w:b/>
          <w:color w:val="auto"/>
          <w:sz w:val="22"/>
          <w:szCs w:val="22"/>
          <w:highlight w:val="none"/>
        </w:rPr>
        <w:t>元整（¥</w:t>
      </w:r>
      <w:r>
        <w:rPr>
          <w:rFonts w:hint="eastAsia" w:ascii="宋体" w:hAnsi="宋体" w:cs="宋体"/>
          <w:b/>
          <w:color w:val="auto"/>
          <w:sz w:val="22"/>
          <w:szCs w:val="22"/>
          <w:highlight w:val="none"/>
          <w:lang w:val="en-US" w:eastAsia="zh-CN"/>
        </w:rPr>
        <w:t xml:space="preserve">3600 </w:t>
      </w:r>
      <w:r>
        <w:rPr>
          <w:rFonts w:hint="eastAsia" w:ascii="宋体" w:hAnsi="宋体" w:eastAsia="宋体" w:cs="宋体"/>
          <w:b/>
          <w:color w:val="auto"/>
          <w:sz w:val="22"/>
          <w:szCs w:val="22"/>
          <w:highlight w:val="none"/>
        </w:rPr>
        <w:t>.00）</w:t>
      </w:r>
      <w:r>
        <w:rPr>
          <w:rFonts w:hint="eastAsia" w:ascii="宋体" w:hAnsi="宋体" w:eastAsia="宋体" w:cs="宋体"/>
          <w:b/>
          <w:bCs/>
          <w:color w:val="auto"/>
          <w:sz w:val="22"/>
          <w:szCs w:val="22"/>
          <w:highlight w:val="none"/>
        </w:rPr>
        <w:t>包干计取，</w:t>
      </w:r>
      <w:r>
        <w:rPr>
          <w:rFonts w:hint="eastAsia" w:ascii="宋体" w:hAnsi="宋体" w:eastAsia="宋体" w:cs="宋体"/>
          <w:b/>
          <w:color w:val="auto"/>
          <w:sz w:val="22"/>
          <w:szCs w:val="22"/>
          <w:highlight w:val="none"/>
        </w:rPr>
        <w:t>由中标人在领取中标（成交）通知书之前将代理服务费用支付给招标代理机构</w:t>
      </w:r>
      <w:r>
        <w:rPr>
          <w:rFonts w:hint="eastAsia" w:ascii="宋体" w:hAnsi="宋体" w:cs="宋体"/>
          <w:b/>
          <w:color w:val="auto"/>
          <w:sz w:val="22"/>
          <w:szCs w:val="22"/>
          <w:highlight w:val="none"/>
          <w:lang w:eastAsia="zh-CN"/>
        </w:rPr>
        <w:t>（</w:t>
      </w:r>
      <w:r>
        <w:rPr>
          <w:rFonts w:hint="eastAsia" w:ascii="宋体" w:hAnsi="宋体" w:cs="宋体"/>
          <w:b/>
          <w:color w:val="auto"/>
          <w:sz w:val="22"/>
          <w:szCs w:val="22"/>
          <w:highlight w:val="none"/>
          <w:lang w:val="en-US" w:eastAsia="zh-CN"/>
        </w:rPr>
        <w:t>或其授权分公司</w:t>
      </w:r>
      <w:r>
        <w:rPr>
          <w:rFonts w:hint="eastAsia" w:ascii="宋体" w:hAnsi="宋体" w:cs="宋体"/>
          <w:b/>
          <w:color w:val="auto"/>
          <w:sz w:val="22"/>
          <w:szCs w:val="22"/>
          <w:highlight w:val="none"/>
          <w:lang w:eastAsia="zh-CN"/>
        </w:rPr>
        <w:t>）。</w:t>
      </w:r>
    </w:p>
    <w:p w14:paraId="7513B00B">
      <w:pPr>
        <w:numPr>
          <w:ilvl w:val="0"/>
          <w:numId w:val="2"/>
        </w:numPr>
        <w:spacing w:line="440" w:lineRule="exact"/>
        <w:ind w:left="420"/>
        <w:rPr>
          <w:rFonts w:hint="eastAsia" w:ascii="宋体" w:hAnsi="宋体"/>
          <w:b/>
          <w:bCs/>
          <w:color w:val="auto"/>
          <w:szCs w:val="21"/>
          <w:highlight w:val="none"/>
        </w:rPr>
      </w:pPr>
      <w:r>
        <w:rPr>
          <w:rFonts w:hint="eastAsia" w:ascii="宋体" w:hAnsi="宋体"/>
          <w:b/>
          <w:bCs/>
          <w:color w:val="auto"/>
          <w:szCs w:val="21"/>
          <w:highlight w:val="none"/>
        </w:rPr>
        <w:t>电子招标采购平台交易服务费</w:t>
      </w:r>
    </w:p>
    <w:p w14:paraId="037C4C9B">
      <w:pPr>
        <w:widowControl/>
        <w:spacing w:line="440" w:lineRule="exact"/>
        <w:ind w:right="62"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本项目采用电子招标，中标人须在明确中标后、获取中标通知书前将相应的交易服务费缴入平台指定的集团账户（在“投标管家”工具中查看）。</w:t>
      </w:r>
    </w:p>
    <w:p w14:paraId="246A0834">
      <w:pPr>
        <w:widowControl/>
        <w:spacing w:line="440" w:lineRule="exact"/>
        <w:ind w:right="62"/>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具体收费标准如下：</w:t>
      </w:r>
    </w:p>
    <w:p w14:paraId="00E62DAF">
      <w:pPr>
        <w:numPr>
          <w:ilvl w:val="0"/>
          <w:numId w:val="0"/>
        </w:numPr>
        <w:tabs>
          <w:tab w:val="left" w:pos="1498"/>
        </w:tabs>
        <w:spacing w:line="440" w:lineRule="exact"/>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ab/>
      </w:r>
    </w:p>
    <w:p w14:paraId="073C5A13">
      <w:pPr>
        <w:numPr>
          <w:ilvl w:val="0"/>
          <w:numId w:val="0"/>
        </w:numPr>
        <w:spacing w:line="440" w:lineRule="exact"/>
        <w:rPr>
          <w:rFonts w:hint="eastAsia" w:ascii="宋体" w:hAnsi="宋体" w:eastAsia="宋体"/>
          <w:b/>
          <w:bCs/>
          <w:color w:val="auto"/>
          <w:szCs w:val="21"/>
          <w:highlight w:val="none"/>
          <w:lang w:eastAsia="zh-CN"/>
        </w:rPr>
      </w:pPr>
    </w:p>
    <w:p w14:paraId="462D398C">
      <w:pPr>
        <w:numPr>
          <w:ilvl w:val="0"/>
          <w:numId w:val="0"/>
        </w:numPr>
        <w:spacing w:line="440" w:lineRule="exact"/>
        <w:rPr>
          <w:rFonts w:hint="eastAsia" w:ascii="宋体" w:hAnsi="宋体" w:eastAsia="宋体"/>
          <w:b/>
          <w:bCs/>
          <w:color w:val="auto"/>
          <w:szCs w:val="21"/>
          <w:highlight w:val="none"/>
          <w:lang w:eastAsia="zh-CN"/>
        </w:rPr>
      </w:pPr>
    </w:p>
    <w:p w14:paraId="4DB77E4C">
      <w:pPr>
        <w:numPr>
          <w:ilvl w:val="0"/>
          <w:numId w:val="0"/>
        </w:numPr>
        <w:spacing w:line="440" w:lineRule="exact"/>
        <w:rPr>
          <w:rFonts w:hint="eastAsia" w:ascii="宋体" w:hAnsi="宋体" w:eastAsia="宋体"/>
          <w:b/>
          <w:bCs/>
          <w:color w:val="auto"/>
          <w:szCs w:val="21"/>
          <w:highlight w:val="none"/>
          <w:lang w:eastAsia="zh-CN"/>
        </w:rPr>
      </w:pPr>
    </w:p>
    <w:p w14:paraId="4E33C2FF">
      <w:pPr>
        <w:numPr>
          <w:ilvl w:val="0"/>
          <w:numId w:val="0"/>
        </w:numPr>
        <w:spacing w:line="440" w:lineRule="exact"/>
        <w:rPr>
          <w:rFonts w:hint="eastAsia" w:ascii="宋体" w:hAnsi="宋体" w:eastAsia="宋体"/>
          <w:b/>
          <w:bCs/>
          <w:color w:val="auto"/>
          <w:szCs w:val="21"/>
          <w:highlight w:val="none"/>
          <w:lang w:eastAsia="zh-CN"/>
        </w:rPr>
      </w:pPr>
    </w:p>
    <w:p w14:paraId="4D5592AB">
      <w:pPr>
        <w:numPr>
          <w:ilvl w:val="0"/>
          <w:numId w:val="0"/>
        </w:numPr>
        <w:spacing w:line="440" w:lineRule="exact"/>
        <w:rPr>
          <w:rFonts w:hint="eastAsia" w:ascii="宋体" w:hAnsi="宋体" w:eastAsia="宋体"/>
          <w:b/>
          <w:bCs/>
          <w:color w:val="auto"/>
          <w:szCs w:val="21"/>
          <w:highlight w:val="none"/>
          <w:lang w:eastAsia="zh-CN"/>
        </w:rPr>
      </w:pPr>
    </w:p>
    <w:p w14:paraId="5D744D01">
      <w:pPr>
        <w:numPr>
          <w:ilvl w:val="0"/>
          <w:numId w:val="0"/>
        </w:numPr>
        <w:spacing w:line="440" w:lineRule="exact"/>
        <w:rPr>
          <w:rFonts w:hint="eastAsia" w:ascii="宋体" w:hAnsi="宋体" w:eastAsia="宋体"/>
          <w:b/>
          <w:bCs/>
          <w:color w:val="auto"/>
          <w:szCs w:val="21"/>
          <w:highlight w:val="none"/>
          <w:lang w:eastAsia="zh-CN"/>
        </w:rPr>
      </w:pPr>
    </w:p>
    <w:p w14:paraId="2DD19988">
      <w:pPr>
        <w:numPr>
          <w:ilvl w:val="0"/>
          <w:numId w:val="0"/>
        </w:numPr>
        <w:spacing w:line="440" w:lineRule="exact"/>
        <w:rPr>
          <w:rFonts w:hint="eastAsia" w:ascii="宋体" w:hAnsi="宋体" w:eastAsia="宋体"/>
          <w:b/>
          <w:bCs/>
          <w:color w:val="auto"/>
          <w:szCs w:val="21"/>
          <w:highlight w:val="none"/>
          <w:lang w:eastAsia="zh-CN"/>
        </w:rPr>
      </w:pPr>
    </w:p>
    <w:p w14:paraId="4149CFB6">
      <w:pPr>
        <w:numPr>
          <w:ilvl w:val="0"/>
          <w:numId w:val="0"/>
        </w:numPr>
        <w:spacing w:line="440" w:lineRule="exact"/>
        <w:rPr>
          <w:rFonts w:hint="eastAsia" w:ascii="宋体" w:hAnsi="宋体" w:eastAsia="宋体"/>
          <w:b/>
          <w:bCs/>
          <w:color w:val="auto"/>
          <w:szCs w:val="21"/>
          <w:highlight w:val="none"/>
          <w:lang w:eastAsia="zh-CN"/>
        </w:rPr>
      </w:pPr>
    </w:p>
    <w:p w14:paraId="0E290BB8">
      <w:pPr>
        <w:numPr>
          <w:ilvl w:val="0"/>
          <w:numId w:val="0"/>
        </w:numPr>
        <w:spacing w:line="440" w:lineRule="exact"/>
        <w:rPr>
          <w:rFonts w:hint="eastAsia" w:ascii="宋体" w:hAnsi="宋体" w:eastAsia="宋体"/>
          <w:b/>
          <w:bCs/>
          <w:color w:val="auto"/>
          <w:szCs w:val="21"/>
          <w:highlight w:val="none"/>
          <w:lang w:eastAsia="zh-CN"/>
        </w:rPr>
      </w:pPr>
    </w:p>
    <w:p w14:paraId="494B2A75">
      <w:pPr>
        <w:numPr>
          <w:ilvl w:val="0"/>
          <w:numId w:val="0"/>
        </w:numPr>
        <w:spacing w:line="440" w:lineRule="exact"/>
        <w:rPr>
          <w:rFonts w:hint="eastAsia" w:ascii="宋体" w:hAnsi="宋体" w:eastAsia="宋体"/>
          <w:b/>
          <w:bCs/>
          <w:color w:val="auto"/>
          <w:szCs w:val="21"/>
          <w:highlight w:val="none"/>
          <w:lang w:eastAsia="zh-CN"/>
        </w:rPr>
      </w:pPr>
    </w:p>
    <w:p w14:paraId="3063F5AF">
      <w:pPr>
        <w:numPr>
          <w:ilvl w:val="0"/>
          <w:numId w:val="0"/>
        </w:numPr>
        <w:spacing w:line="240" w:lineRule="auto"/>
        <w:rPr>
          <w:rFonts w:hint="eastAsia" w:ascii="宋体" w:hAnsi="宋体" w:eastAsia="宋体"/>
          <w:b/>
          <w:bCs/>
          <w:color w:val="auto"/>
          <w:szCs w:val="21"/>
          <w:highlight w:val="none"/>
          <w:lang w:eastAsia="zh-CN"/>
        </w:rPr>
      </w:pPr>
      <w:r>
        <w:rPr>
          <w:rFonts w:hint="eastAsia" w:ascii="宋体" w:hAnsi="宋体" w:eastAsia="宋体"/>
          <w:b/>
          <w:bCs/>
          <w:color w:val="auto"/>
          <w:szCs w:val="21"/>
          <w:highlight w:val="none"/>
          <w:lang w:eastAsia="zh-CN"/>
        </w:rPr>
        <w:drawing>
          <wp:inline distT="0" distB="0" distL="114300" distR="114300">
            <wp:extent cx="5514975" cy="5572125"/>
            <wp:effectExtent l="0" t="0" r="9525" b="9525"/>
            <wp:docPr id="12" name="图片 12" descr="3a3c5e96-827a-4d61-b023-f635f056d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a3c5e96-827a-4d61-b023-f635f056d3e2"/>
                    <pic:cNvPicPr>
                      <a:picLocks noChangeAspect="1"/>
                    </pic:cNvPicPr>
                  </pic:nvPicPr>
                  <pic:blipFill>
                    <a:blip r:embed="rId8"/>
                    <a:stretch>
                      <a:fillRect/>
                    </a:stretch>
                  </pic:blipFill>
                  <pic:spPr>
                    <a:xfrm>
                      <a:off x="0" y="0"/>
                      <a:ext cx="5514975" cy="5572125"/>
                    </a:xfrm>
                    <a:prstGeom prst="rect">
                      <a:avLst/>
                    </a:prstGeom>
                  </pic:spPr>
                </pic:pic>
              </a:graphicData>
            </a:graphic>
          </wp:inline>
        </w:drawing>
      </w:r>
    </w:p>
    <w:p w14:paraId="0E9A6475">
      <w:pPr>
        <w:numPr>
          <w:ilvl w:val="0"/>
          <w:numId w:val="0"/>
        </w:numPr>
        <w:spacing w:line="440" w:lineRule="exact"/>
        <w:rPr>
          <w:rFonts w:hint="eastAsia" w:ascii="宋体" w:hAnsi="宋体" w:eastAsia="宋体"/>
          <w:b/>
          <w:bCs/>
          <w:color w:val="auto"/>
          <w:szCs w:val="21"/>
          <w:highlight w:val="none"/>
          <w:lang w:eastAsia="zh-CN"/>
        </w:rPr>
      </w:pPr>
    </w:p>
    <w:p w14:paraId="1415FCE2">
      <w:pPr>
        <w:numPr>
          <w:ilvl w:val="0"/>
          <w:numId w:val="0"/>
        </w:numPr>
        <w:spacing w:line="440" w:lineRule="exact"/>
        <w:rPr>
          <w:rFonts w:hint="eastAsia" w:ascii="宋体" w:hAnsi="宋体" w:eastAsia="宋体"/>
          <w:b/>
          <w:bCs/>
          <w:color w:val="auto"/>
          <w:szCs w:val="21"/>
          <w:highlight w:val="none"/>
          <w:lang w:eastAsia="zh-CN"/>
        </w:rPr>
      </w:pPr>
    </w:p>
    <w:p w14:paraId="63C8525F">
      <w:pPr>
        <w:numPr>
          <w:ilvl w:val="0"/>
          <w:numId w:val="0"/>
        </w:numPr>
        <w:spacing w:line="440" w:lineRule="exact"/>
        <w:rPr>
          <w:rFonts w:hint="eastAsia" w:ascii="宋体" w:hAnsi="宋体" w:eastAsia="宋体"/>
          <w:b/>
          <w:bCs/>
          <w:color w:val="auto"/>
          <w:szCs w:val="21"/>
          <w:highlight w:val="none"/>
          <w:lang w:eastAsia="zh-CN"/>
        </w:rPr>
      </w:pPr>
    </w:p>
    <w:p w14:paraId="50DD95AF">
      <w:pPr>
        <w:numPr>
          <w:ilvl w:val="0"/>
          <w:numId w:val="0"/>
        </w:numPr>
        <w:spacing w:line="440" w:lineRule="exact"/>
        <w:rPr>
          <w:rFonts w:hint="eastAsia" w:ascii="宋体" w:hAnsi="宋体" w:eastAsia="宋体"/>
          <w:b/>
          <w:bCs/>
          <w:color w:val="auto"/>
          <w:szCs w:val="21"/>
          <w:highlight w:val="none"/>
          <w:lang w:eastAsia="zh-CN"/>
        </w:rPr>
      </w:pPr>
    </w:p>
    <w:p w14:paraId="6287681E">
      <w:pPr>
        <w:numPr>
          <w:ilvl w:val="0"/>
          <w:numId w:val="0"/>
        </w:numPr>
        <w:spacing w:line="440" w:lineRule="exact"/>
        <w:rPr>
          <w:rFonts w:hint="eastAsia" w:ascii="宋体" w:hAnsi="宋体" w:eastAsia="宋体"/>
          <w:b/>
          <w:bCs/>
          <w:color w:val="auto"/>
          <w:szCs w:val="21"/>
          <w:highlight w:val="none"/>
          <w:lang w:eastAsia="zh-CN"/>
        </w:rPr>
      </w:pPr>
    </w:p>
    <w:p w14:paraId="1957BF68">
      <w:pPr>
        <w:numPr>
          <w:ilvl w:val="0"/>
          <w:numId w:val="0"/>
        </w:numPr>
        <w:spacing w:line="440" w:lineRule="exact"/>
        <w:rPr>
          <w:rFonts w:hint="eastAsia" w:ascii="宋体" w:hAnsi="宋体" w:eastAsia="宋体"/>
          <w:b/>
          <w:bCs/>
          <w:color w:val="auto"/>
          <w:szCs w:val="21"/>
          <w:highlight w:val="none"/>
          <w:lang w:eastAsia="zh-CN"/>
        </w:rPr>
      </w:pPr>
    </w:p>
    <w:p w14:paraId="7298A536">
      <w:pPr>
        <w:numPr>
          <w:ilvl w:val="0"/>
          <w:numId w:val="0"/>
        </w:numPr>
        <w:spacing w:line="440" w:lineRule="exact"/>
        <w:rPr>
          <w:rFonts w:hint="eastAsia" w:ascii="宋体" w:hAnsi="宋体" w:eastAsia="宋体"/>
          <w:b/>
          <w:bCs/>
          <w:color w:val="auto"/>
          <w:szCs w:val="21"/>
          <w:highlight w:val="none"/>
          <w:lang w:eastAsia="zh-CN"/>
        </w:rPr>
      </w:pPr>
    </w:p>
    <w:p w14:paraId="29B1D22A">
      <w:pPr>
        <w:numPr>
          <w:ilvl w:val="0"/>
          <w:numId w:val="0"/>
        </w:numPr>
        <w:spacing w:line="440" w:lineRule="exact"/>
        <w:rPr>
          <w:rFonts w:hint="eastAsia" w:ascii="宋体" w:hAnsi="宋体" w:eastAsia="宋体"/>
          <w:b/>
          <w:bCs/>
          <w:color w:val="auto"/>
          <w:szCs w:val="21"/>
          <w:highlight w:val="none"/>
          <w:lang w:eastAsia="zh-CN"/>
        </w:rPr>
      </w:pPr>
    </w:p>
    <w:p w14:paraId="04501CB3">
      <w:pPr>
        <w:numPr>
          <w:ilvl w:val="0"/>
          <w:numId w:val="0"/>
        </w:numPr>
        <w:spacing w:line="440" w:lineRule="exact"/>
        <w:rPr>
          <w:rFonts w:hint="eastAsia" w:ascii="宋体" w:hAnsi="宋体" w:eastAsia="宋体"/>
          <w:b/>
          <w:bCs/>
          <w:color w:val="auto"/>
          <w:szCs w:val="21"/>
          <w:highlight w:val="none"/>
          <w:lang w:eastAsia="zh-CN"/>
        </w:rPr>
      </w:pPr>
    </w:p>
    <w:p w14:paraId="651B5C9C">
      <w:pPr>
        <w:numPr>
          <w:ilvl w:val="0"/>
          <w:numId w:val="0"/>
        </w:numPr>
        <w:spacing w:line="440" w:lineRule="exact"/>
        <w:rPr>
          <w:rFonts w:hint="eastAsia" w:ascii="宋体" w:hAnsi="宋体" w:eastAsia="宋体"/>
          <w:b/>
          <w:bCs/>
          <w:color w:val="auto"/>
          <w:szCs w:val="21"/>
          <w:highlight w:val="none"/>
          <w:lang w:eastAsia="zh-CN"/>
        </w:rPr>
      </w:pPr>
    </w:p>
    <w:p w14:paraId="011EFFA0">
      <w:pPr>
        <w:numPr>
          <w:ilvl w:val="0"/>
          <w:numId w:val="0"/>
        </w:numPr>
        <w:spacing w:line="440" w:lineRule="exact"/>
        <w:rPr>
          <w:rFonts w:hint="eastAsia" w:ascii="宋体" w:hAnsi="宋体" w:eastAsia="宋体"/>
          <w:b/>
          <w:bCs/>
          <w:color w:val="auto"/>
          <w:szCs w:val="21"/>
          <w:highlight w:val="none"/>
          <w:lang w:eastAsia="zh-CN"/>
        </w:rPr>
      </w:pPr>
    </w:p>
    <w:p w14:paraId="3310EFCF">
      <w:pPr>
        <w:pStyle w:val="2"/>
        <w:spacing w:line="240" w:lineRule="auto"/>
        <w:rPr>
          <w:rFonts w:hint="eastAsia" w:ascii="宋体" w:hAnsi="宋体" w:eastAsia="宋体" w:cs="宋体"/>
          <w:color w:val="auto"/>
          <w:highlight w:val="none"/>
        </w:rPr>
      </w:pPr>
      <w:bookmarkStart w:id="102" w:name="_Toc31873"/>
      <w:bookmarkStart w:id="103" w:name="_Toc14035"/>
      <w:r>
        <w:rPr>
          <w:rFonts w:hint="eastAsia" w:ascii="宋体" w:hAnsi="宋体" w:eastAsia="宋体" w:cs="宋体"/>
          <w:color w:val="auto"/>
          <w:highlight w:val="none"/>
        </w:rPr>
        <w:t>第四章   评标办法及评分标准</w:t>
      </w:r>
      <w:bookmarkEnd w:id="102"/>
      <w:bookmarkEnd w:id="103"/>
    </w:p>
    <w:p w14:paraId="69F556FD">
      <w:pPr>
        <w:pStyle w:val="10"/>
        <w:spacing w:before="156" w:beforeLines="50" w:after="156" w:afterLines="50" w:line="360" w:lineRule="auto"/>
        <w:rPr>
          <w:rFonts w:hint="eastAsia" w:ascii="宋体" w:hAnsi="宋体" w:eastAsia="宋体" w:cs="宋体"/>
          <w:b/>
          <w:color w:val="auto"/>
          <w:szCs w:val="21"/>
          <w:highlight w:val="none"/>
        </w:rPr>
      </w:pPr>
      <w:bookmarkStart w:id="104" w:name="_Toc221356961"/>
      <w:bookmarkStart w:id="105" w:name="_Toc221356898"/>
      <w:r>
        <w:rPr>
          <w:rFonts w:hint="eastAsia" w:ascii="宋体" w:hAnsi="宋体" w:eastAsia="宋体" w:cs="宋体"/>
          <w:b/>
          <w:color w:val="auto"/>
          <w:szCs w:val="21"/>
          <w:highlight w:val="none"/>
        </w:rPr>
        <w:t>一、总则</w:t>
      </w:r>
      <w:bookmarkEnd w:id="104"/>
      <w:bookmarkEnd w:id="105"/>
    </w:p>
    <w:p w14:paraId="384427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遵循公平、公正、科学、择优原则和诚实、信誉、效率的服务原则。本着科学、严谨的态度，认真进行评标，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2AB507A3">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二、评标组织</w:t>
      </w:r>
    </w:p>
    <w:p w14:paraId="6AEEB5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评标工作由招标人依法组建5人评标专家成员负责，评标全过程由有关部门指导监督。</w:t>
      </w:r>
    </w:p>
    <w:p w14:paraId="7163974B">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三、评标程序</w:t>
      </w:r>
    </w:p>
    <w:p w14:paraId="08378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由招标人或招标代理机构对各投标人的投标资格进行审查；然后对合格投标人的商务技术标进行评审。最后价格标评审，计算综合得分，提交评审报告。</w:t>
      </w:r>
    </w:p>
    <w:p w14:paraId="2F1D72D5">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四、评标办法</w:t>
      </w:r>
    </w:p>
    <w:p w14:paraId="2FCAB7CE">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本次采购采用百分制综合评分法，即投标人最大限度地满足招标文件实质性要求的基础上，按照招标文件的各项因素进行综合评审后，以综合得分高低的顺序推荐中标候选人的评标方法。根据采购要求，</w:t>
      </w:r>
      <w:r>
        <w:rPr>
          <w:rFonts w:hint="eastAsia" w:ascii="宋体" w:hAnsi="宋体" w:eastAsia="宋体" w:cs="宋体"/>
          <w:b/>
          <w:color w:val="auto"/>
          <w:szCs w:val="21"/>
          <w:highlight w:val="none"/>
        </w:rPr>
        <w:t>总分设定为100分；其中商务技术标</w:t>
      </w:r>
      <w:r>
        <w:rPr>
          <w:rFonts w:hint="eastAsia" w:ascii="宋体" w:hAnsi="宋体" w:cs="宋体"/>
          <w:b/>
          <w:color w:val="auto"/>
          <w:szCs w:val="21"/>
          <w:highlight w:val="none"/>
          <w:u w:val="single"/>
          <w:lang w:val="en-US" w:eastAsia="zh-CN"/>
        </w:rPr>
        <w:t>15</w:t>
      </w:r>
      <w:r>
        <w:rPr>
          <w:rFonts w:hint="eastAsia" w:ascii="宋体" w:hAnsi="宋体" w:eastAsia="宋体" w:cs="宋体"/>
          <w:b/>
          <w:color w:val="auto"/>
          <w:szCs w:val="21"/>
          <w:highlight w:val="none"/>
        </w:rPr>
        <w:t>分、价格标</w:t>
      </w:r>
      <w:r>
        <w:rPr>
          <w:rFonts w:hint="eastAsia" w:ascii="宋体" w:hAnsi="宋体" w:cs="宋体"/>
          <w:b/>
          <w:color w:val="auto"/>
          <w:szCs w:val="21"/>
          <w:highlight w:val="none"/>
          <w:u w:val="single"/>
          <w:lang w:val="en-US" w:eastAsia="zh-CN"/>
        </w:rPr>
        <w:t>85</w:t>
      </w:r>
      <w:r>
        <w:rPr>
          <w:rFonts w:hint="eastAsia" w:ascii="宋体" w:hAnsi="宋体" w:eastAsia="宋体" w:cs="宋体"/>
          <w:b/>
          <w:color w:val="auto"/>
          <w:szCs w:val="21"/>
          <w:highlight w:val="none"/>
        </w:rPr>
        <w:t>分。</w:t>
      </w:r>
      <w:bookmarkStart w:id="106" w:name="_Toc221356902"/>
      <w:bookmarkStart w:id="107" w:name="_Toc221356965"/>
    </w:p>
    <w:p w14:paraId="01BE8BD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五、</w:t>
      </w:r>
      <w:bookmarkEnd w:id="106"/>
      <w:bookmarkEnd w:id="107"/>
      <w:r>
        <w:rPr>
          <w:rFonts w:hint="eastAsia" w:ascii="宋体" w:hAnsi="宋体" w:eastAsia="宋体" w:cs="宋体"/>
          <w:b/>
          <w:bCs/>
          <w:color w:val="auto"/>
          <w:szCs w:val="21"/>
          <w:highlight w:val="none"/>
        </w:rPr>
        <w:t>评分标准</w:t>
      </w:r>
    </w:p>
    <w:p w14:paraId="7D2828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1、商务技术标评分</w:t>
      </w:r>
      <w:r>
        <w:rPr>
          <w:rFonts w:hint="eastAsia" w:ascii="宋体" w:hAnsi="宋体" w:cs="宋体"/>
          <w:b/>
          <w:color w:val="auto"/>
          <w:szCs w:val="21"/>
          <w:highlight w:val="none"/>
          <w:lang w:val="en-US" w:eastAsia="zh-CN"/>
        </w:rPr>
        <w:t>15</w:t>
      </w:r>
      <w:r>
        <w:rPr>
          <w:rFonts w:hint="eastAsia" w:ascii="宋体" w:hAnsi="宋体" w:eastAsia="宋体" w:cs="宋体"/>
          <w:b/>
          <w:color w:val="auto"/>
          <w:szCs w:val="21"/>
          <w:highlight w:val="none"/>
        </w:rPr>
        <w:t>分</w:t>
      </w:r>
    </w:p>
    <w:p w14:paraId="33E878FC">
      <w:pPr>
        <w:spacing w:line="360" w:lineRule="auto"/>
        <w:ind w:firstLine="420" w:firstLineChars="200"/>
        <w:rPr>
          <w:rFonts w:hint="eastAsia" w:ascii="宋体" w:hAnsi="宋体" w:eastAsia="宋体" w:cs="宋体"/>
          <w:color w:val="auto"/>
          <w:sz w:val="22"/>
          <w:szCs w:val="22"/>
          <w:highlight w:val="none"/>
        </w:rPr>
      </w:pPr>
      <w:r>
        <w:rPr>
          <w:rFonts w:hint="eastAsia" w:ascii="宋体" w:hAnsi="宋体" w:eastAsia="宋体" w:cs="宋体"/>
          <w:color w:val="auto"/>
          <w:szCs w:val="21"/>
          <w:highlight w:val="none"/>
        </w:rPr>
        <w:t>各评标专家成员按下列评分项目进行评定，每人一张评分计算表，由评标专家成员各自评定打分并记实名。如任何一张表的一项评分内容分值超过规定的范围，则该张表无效。评标专家成员对各投标人的各项评分内容评分合计值的算术平均值为该投标人商务技术部分的最终得分（四舍五入，保留小数点后二位）。</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864"/>
        <w:gridCol w:w="673"/>
        <w:gridCol w:w="6167"/>
      </w:tblGrid>
      <w:tr w14:paraId="513FE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4" w:type="dxa"/>
            <w:vAlign w:val="center"/>
          </w:tcPr>
          <w:p w14:paraId="01889DB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64" w:type="dxa"/>
            <w:vAlign w:val="center"/>
          </w:tcPr>
          <w:p w14:paraId="32E7C1D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673" w:type="dxa"/>
            <w:vAlign w:val="center"/>
          </w:tcPr>
          <w:p w14:paraId="69B4CF6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167" w:type="dxa"/>
          </w:tcPr>
          <w:p w14:paraId="0C56A0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评分细则</w:t>
            </w:r>
          </w:p>
        </w:tc>
      </w:tr>
      <w:tr w14:paraId="74B2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754" w:type="dxa"/>
            <w:vAlign w:val="center"/>
          </w:tcPr>
          <w:p w14:paraId="269162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64" w:type="dxa"/>
            <w:vAlign w:val="center"/>
          </w:tcPr>
          <w:p w14:paraId="321E804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企业综合实力</w:t>
            </w:r>
          </w:p>
        </w:tc>
        <w:tc>
          <w:tcPr>
            <w:tcW w:w="673" w:type="dxa"/>
            <w:vAlign w:val="center"/>
          </w:tcPr>
          <w:p w14:paraId="687A4CA4">
            <w:pPr>
              <w:pStyle w:val="17"/>
              <w:snapToGrid w:val="0"/>
              <w:spacing w:before="156" w:after="156" w:line="340" w:lineRule="exact"/>
              <w:jc w:val="center"/>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2</w:t>
            </w:r>
          </w:p>
        </w:tc>
        <w:tc>
          <w:tcPr>
            <w:tcW w:w="6167" w:type="dxa"/>
            <w:vAlign w:val="center"/>
          </w:tcPr>
          <w:p w14:paraId="29876D02">
            <w:pPr>
              <w:pStyle w:val="17"/>
              <w:snapToGrid w:val="0"/>
              <w:spacing w:before="156" w:after="156" w:line="340" w:lineRule="exact"/>
              <w:ind w:firstLine="21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根据投标人在行业中的市场信誉、人员组成及资质情况，由评委横向比较进行评分，其中A档：</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r>
              <w:rPr>
                <w:rFonts w:hint="eastAsia" w:hAnsi="宋体" w:cs="宋体"/>
                <w:color w:val="auto"/>
                <w:sz w:val="21"/>
                <w:szCs w:val="21"/>
                <w:highlight w:val="none"/>
                <w:lang w:val="en-US" w:eastAsia="zh-CN"/>
              </w:rPr>
              <w:t>1.3</w:t>
            </w:r>
            <w:r>
              <w:rPr>
                <w:rFonts w:hint="eastAsia" w:ascii="宋体" w:hAnsi="宋体" w:eastAsia="宋体" w:cs="宋体"/>
                <w:color w:val="auto"/>
                <w:sz w:val="21"/>
                <w:szCs w:val="21"/>
                <w:highlight w:val="none"/>
              </w:rPr>
              <w:t>；B档:</w:t>
            </w:r>
            <w:r>
              <w:rPr>
                <w:rFonts w:hint="eastAsia" w:hAnsi="宋体" w:cs="宋体"/>
                <w:color w:val="auto"/>
                <w:sz w:val="21"/>
                <w:szCs w:val="21"/>
                <w:highlight w:val="none"/>
                <w:lang w:val="en-US" w:eastAsia="zh-CN"/>
              </w:rPr>
              <w:t>1.3</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0.6</w:t>
            </w:r>
            <w:r>
              <w:rPr>
                <w:rFonts w:hint="eastAsia" w:ascii="宋体" w:hAnsi="宋体" w:eastAsia="宋体" w:cs="宋体"/>
                <w:color w:val="auto"/>
                <w:sz w:val="21"/>
                <w:szCs w:val="21"/>
                <w:highlight w:val="none"/>
              </w:rPr>
              <w:t>；C档:</w:t>
            </w:r>
            <w:r>
              <w:rPr>
                <w:rFonts w:hint="eastAsia" w:hAnsi="宋体" w:cs="宋体"/>
                <w:color w:val="auto"/>
                <w:sz w:val="21"/>
                <w:szCs w:val="21"/>
                <w:highlight w:val="none"/>
                <w:lang w:val="en-US" w:eastAsia="zh-CN"/>
              </w:rPr>
              <w:t>0.6</w:t>
            </w:r>
            <w:r>
              <w:rPr>
                <w:rFonts w:hint="eastAsia" w:ascii="宋体" w:hAnsi="宋体" w:eastAsia="宋体" w:cs="宋体"/>
                <w:color w:val="auto"/>
                <w:sz w:val="21"/>
                <w:szCs w:val="21"/>
                <w:highlight w:val="none"/>
              </w:rPr>
              <w:t>-0。</w:t>
            </w:r>
          </w:p>
        </w:tc>
      </w:tr>
      <w:tr w14:paraId="1FFB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54" w:type="dxa"/>
            <w:vAlign w:val="center"/>
          </w:tcPr>
          <w:p w14:paraId="7D45679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864" w:type="dxa"/>
            <w:vAlign w:val="center"/>
          </w:tcPr>
          <w:p w14:paraId="3C8D46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开展本项目的设备条件</w:t>
            </w:r>
          </w:p>
        </w:tc>
        <w:tc>
          <w:tcPr>
            <w:tcW w:w="673" w:type="dxa"/>
            <w:vAlign w:val="center"/>
          </w:tcPr>
          <w:p w14:paraId="0EF29B22">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6167" w:type="dxa"/>
            <w:vAlign w:val="center"/>
          </w:tcPr>
          <w:p w14:paraId="7D5D04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的满足有害生物监测本底调查的仪器设备（智能数字显微镜、高级体式显微镜、生物显微镜、线虫分离器、有害生物远程鉴定系统、体式解剖镜、人工气候箱、恒温培养箱、植物培养箱）（提供设备清单、图片和购置发票，缺一不可），每提供1种得1分，最多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34D7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754" w:type="dxa"/>
            <w:vAlign w:val="center"/>
          </w:tcPr>
          <w:p w14:paraId="216E6604">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864" w:type="dxa"/>
            <w:vAlign w:val="center"/>
          </w:tcPr>
          <w:p w14:paraId="1EEC8D8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项目业绩</w:t>
            </w:r>
          </w:p>
        </w:tc>
        <w:tc>
          <w:tcPr>
            <w:tcW w:w="673" w:type="dxa"/>
            <w:vAlign w:val="center"/>
          </w:tcPr>
          <w:p w14:paraId="694F18D4">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6167" w:type="dxa"/>
            <w:vAlign w:val="center"/>
          </w:tcPr>
          <w:p w14:paraId="7D23F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年1月1日起（以合同签订时间为准）已完成或承担过有害生物本底调查、监测的相关业绩，每个项目业绩得1分，最多得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分。（提供合同复印件，同一</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单位</w:t>
            </w:r>
            <w:r>
              <w:rPr>
                <w:rFonts w:hint="eastAsia" w:ascii="宋体" w:hAnsi="宋体" w:cs="宋体"/>
                <w:color w:val="auto"/>
                <w:sz w:val="21"/>
                <w:szCs w:val="21"/>
                <w:highlight w:val="none"/>
                <w:lang w:val="en-US" w:eastAsia="zh-CN"/>
              </w:rPr>
              <w:t>合同</w:t>
            </w:r>
            <w:r>
              <w:rPr>
                <w:rFonts w:hint="eastAsia" w:ascii="宋体" w:hAnsi="宋体" w:eastAsia="宋体" w:cs="宋体"/>
                <w:color w:val="auto"/>
                <w:sz w:val="21"/>
                <w:szCs w:val="21"/>
                <w:highlight w:val="none"/>
              </w:rPr>
              <w:t>不重复得分）</w:t>
            </w:r>
          </w:p>
        </w:tc>
      </w:tr>
      <w:tr w14:paraId="114B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754" w:type="dxa"/>
            <w:vAlign w:val="center"/>
          </w:tcPr>
          <w:p w14:paraId="3E05A36A">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1864" w:type="dxa"/>
            <w:vAlign w:val="center"/>
          </w:tcPr>
          <w:p w14:paraId="47DFBAF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w:t>
            </w:r>
          </w:p>
        </w:tc>
        <w:tc>
          <w:tcPr>
            <w:tcW w:w="673" w:type="dxa"/>
            <w:vAlign w:val="center"/>
          </w:tcPr>
          <w:p w14:paraId="304B2033">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6167" w:type="dxa"/>
            <w:vAlign w:val="center"/>
          </w:tcPr>
          <w:p w14:paraId="5189A2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（1）针对本项目实施区域的熟悉程度及针对该区域的难点、服务实施建议进行横向比较，综合评分：（0-1）。</w:t>
            </w:r>
          </w:p>
          <w:p w14:paraId="79AB489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（2）在不同时间对各类别地域、重点场所实施监测评估工作的难点、要点和关键部分的阐述及实施意见横向比较，综合评分：（0-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312B27F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（3）针对病媒生物不同种类密度的监测评估技术方法与措施横向比较，综合评分：（0-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303CE22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（4）对不同类别环境可能存在的每种害虫监测工作计划的安排及应急响应制度和应急技术规范横向比较，综合评分：（0-</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p>
        </w:tc>
      </w:tr>
      <w:tr w14:paraId="4FFB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54" w:type="dxa"/>
            <w:vAlign w:val="center"/>
          </w:tcPr>
          <w:p w14:paraId="1C6E4E4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864" w:type="dxa"/>
            <w:vAlign w:val="center"/>
          </w:tcPr>
          <w:p w14:paraId="07759A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应急服务保障</w:t>
            </w:r>
          </w:p>
        </w:tc>
        <w:tc>
          <w:tcPr>
            <w:tcW w:w="673" w:type="dxa"/>
            <w:vAlign w:val="center"/>
          </w:tcPr>
          <w:p w14:paraId="3A5E28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167" w:type="dxa"/>
            <w:vAlign w:val="center"/>
          </w:tcPr>
          <w:p w14:paraId="6D0CC1A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投标人服务承诺、提供的后续服务，响应计划包括服务能力、应急服务的快速响应能力和其他服务承诺等,由评委根据承诺情况横向比较，综合评分：</w:t>
            </w:r>
          </w:p>
          <w:p w14:paraId="773D249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其中：A档：3-2.1分，B档：2-1.1分，C档：1-0分。</w:t>
            </w:r>
          </w:p>
        </w:tc>
      </w:tr>
    </w:tbl>
    <w:p w14:paraId="45DBBCE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2、价格标评分</w:t>
      </w:r>
      <w:r>
        <w:rPr>
          <w:rFonts w:hint="eastAsia" w:ascii="宋体" w:hAnsi="宋体" w:cs="宋体"/>
          <w:b/>
          <w:color w:val="auto"/>
          <w:szCs w:val="21"/>
          <w:highlight w:val="none"/>
          <w:lang w:val="en-US" w:eastAsia="zh-CN"/>
        </w:rPr>
        <w:t>85</w:t>
      </w:r>
      <w:r>
        <w:rPr>
          <w:rFonts w:hint="eastAsia" w:ascii="宋体" w:hAnsi="宋体" w:eastAsia="宋体" w:cs="宋体"/>
          <w:b/>
          <w:color w:val="auto"/>
          <w:szCs w:val="21"/>
          <w:highlight w:val="none"/>
        </w:rPr>
        <w:t>分</w:t>
      </w:r>
    </w:p>
    <w:p w14:paraId="6D98BEB1">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 评标基准价： </w:t>
      </w:r>
    </w:p>
    <w:p w14:paraId="4A45963B">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评标基准价=经评审合格的投标人有效报价的</w:t>
      </w:r>
      <w:r>
        <w:rPr>
          <w:rFonts w:hint="eastAsia" w:ascii="宋体" w:hAnsi="宋体" w:cs="宋体"/>
          <w:color w:val="auto"/>
          <w:szCs w:val="21"/>
          <w:highlight w:val="none"/>
          <w:lang w:val="en-US" w:eastAsia="zh-CN"/>
        </w:rPr>
        <w:t>最低</w:t>
      </w:r>
      <w:r>
        <w:rPr>
          <w:rFonts w:hint="eastAsia" w:ascii="宋体" w:hAnsi="宋体" w:eastAsia="宋体" w:cs="宋体"/>
          <w:color w:val="auto"/>
          <w:szCs w:val="21"/>
          <w:highlight w:val="none"/>
        </w:rPr>
        <w:t xml:space="preserve">值； </w:t>
      </w:r>
    </w:p>
    <w:p w14:paraId="2163931F">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 其他投标报价的价格分公式： </w:t>
      </w:r>
    </w:p>
    <w:p w14:paraId="5104376D">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投标价等于基准价的得</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 xml:space="preserve">分， </w:t>
      </w:r>
    </w:p>
    <w:p w14:paraId="794448FC">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投标价高于基准价的计算公式：价格分=</w:t>
      </w:r>
      <w:r>
        <w:rPr>
          <w:rFonts w:hint="eastAsia" w:ascii="宋体" w:hAnsi="宋体" w:cs="宋体"/>
          <w:color w:val="auto"/>
          <w:szCs w:val="21"/>
          <w:highlight w:val="none"/>
          <w:lang w:val="en-US" w:eastAsia="zh-CN"/>
        </w:rPr>
        <w:t>85</w:t>
      </w:r>
      <w:r>
        <w:rPr>
          <w:rFonts w:hint="eastAsia" w:ascii="宋体" w:hAnsi="宋体" w:eastAsia="宋体" w:cs="宋体"/>
          <w:color w:val="auto"/>
          <w:szCs w:val="21"/>
          <w:highlight w:val="none"/>
        </w:rPr>
        <w:t>-（投标价-基准价）/基准价*100*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 xml:space="preserve">。 </w:t>
      </w:r>
    </w:p>
    <w:p w14:paraId="29DE54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价格分保留小数点后两位，第三位四舍五入。</w:t>
      </w:r>
    </w:p>
    <w:p w14:paraId="7DF756B3">
      <w:pPr>
        <w:spacing w:line="360" w:lineRule="auto"/>
        <w:ind w:firstLine="422" w:firstLineChars="200"/>
        <w:rPr>
          <w:rFonts w:hint="eastAsia" w:ascii="宋体" w:hAnsi="宋体" w:eastAsia="宋体" w:cs="宋体"/>
          <w:b/>
          <w:bCs/>
          <w:color w:val="auto"/>
          <w:szCs w:val="21"/>
          <w:highlight w:val="none"/>
          <w:u w:val="single"/>
        </w:rPr>
      </w:pPr>
      <w:r>
        <w:rPr>
          <w:rFonts w:hint="eastAsia" w:ascii="宋体" w:hAnsi="宋体" w:eastAsia="宋体" w:cs="宋体"/>
          <w:b/>
          <w:color w:val="auto"/>
          <w:szCs w:val="21"/>
          <w:highlight w:val="none"/>
        </w:rPr>
        <w:t>2.3★最高限价</w:t>
      </w:r>
      <w:r>
        <w:rPr>
          <w:rFonts w:hint="eastAsia" w:ascii="宋体" w:hAnsi="宋体" w:eastAsia="宋体" w:cs="宋体"/>
          <w:b/>
          <w:bCs/>
          <w:color w:val="auto"/>
          <w:kern w:val="0"/>
          <w:szCs w:val="21"/>
          <w:highlight w:val="none"/>
        </w:rPr>
        <w:t>：</w:t>
      </w:r>
      <w:r>
        <w:rPr>
          <w:rFonts w:hint="eastAsia" w:ascii="宋体" w:hAnsi="宋体" w:cs="宋体"/>
          <w:color w:val="auto"/>
          <w:szCs w:val="21"/>
          <w:highlight w:val="none"/>
          <w:lang w:val="en-US" w:eastAsia="zh-CN"/>
        </w:rPr>
        <w:t>每年限价42万元，2年总限价84万元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42万元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42万元）</w:t>
      </w:r>
    </w:p>
    <w:p w14:paraId="1971B22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2.4投标人报价不得超过最高限价，否则投标文件作无效标处理。所有投标人报价均超最高限价，重新组织招标。</w:t>
      </w:r>
    </w:p>
    <w:p w14:paraId="16EFD4E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3、说明</w:t>
      </w:r>
    </w:p>
    <w:p w14:paraId="330DE4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有效投标人的综合得分为商务技术分和价格分的总和，计算公式为：综合得分=商务技术得分+价格得分。</w:t>
      </w:r>
    </w:p>
    <w:p w14:paraId="2B057A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3.2本次招标由评标委员会推荐中标候选人，招标人根据评标委员会的推荐结果进行最终确认。</w:t>
      </w:r>
    </w:p>
    <w:p w14:paraId="5EE68BB4">
      <w:pPr>
        <w:spacing w:line="360" w:lineRule="auto"/>
        <w:ind w:firstLine="420" w:firstLineChars="200"/>
        <w:rPr>
          <w:rFonts w:hint="eastAsia" w:ascii="宋体" w:hAnsi="宋体" w:eastAsia="宋体" w:cs="宋体"/>
          <w:color w:val="auto"/>
          <w:szCs w:val="21"/>
          <w:highlight w:val="none"/>
        </w:rPr>
      </w:pPr>
      <w:bookmarkStart w:id="108" w:name="_Hlk112924122"/>
      <w:r>
        <w:rPr>
          <w:rFonts w:hint="eastAsia" w:ascii="宋体" w:hAnsi="宋体" w:eastAsia="宋体" w:cs="宋体"/>
          <w:color w:val="auto"/>
          <w:szCs w:val="21"/>
          <w:highlight w:val="none"/>
        </w:rPr>
        <w:t>3.3、评标专家按综合得分由高到低顺序排列，综合得分第一名的投标人作为该项目中标候选人</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向招标人推荐，并提交评标报告（得分相同投标报价低的排序第一；如果均相同，则抽签决定）。</w:t>
      </w:r>
    </w:p>
    <w:bookmarkEnd w:id="108"/>
    <w:p w14:paraId="69685C8C">
      <w:pPr>
        <w:spacing w:line="360" w:lineRule="auto"/>
        <w:ind w:firstLine="422" w:firstLineChars="200"/>
        <w:rPr>
          <w:rFonts w:hint="eastAsia" w:ascii="宋体" w:hAnsi="宋体" w:eastAsia="宋体" w:cs="宋体"/>
          <w:b/>
          <w:color w:val="auto"/>
          <w:szCs w:val="21"/>
          <w:highlight w:val="none"/>
        </w:rPr>
      </w:pPr>
      <w:bookmarkStart w:id="109" w:name="_Toc221356967"/>
      <w:bookmarkStart w:id="110" w:name="_Toc221356904"/>
      <w:r>
        <w:rPr>
          <w:rFonts w:hint="eastAsia" w:ascii="宋体" w:hAnsi="宋体" w:eastAsia="宋体" w:cs="宋体"/>
          <w:b/>
          <w:color w:val="auto"/>
          <w:szCs w:val="21"/>
          <w:highlight w:val="none"/>
        </w:rPr>
        <w:t>六、确定中标人</w:t>
      </w:r>
      <w:bookmarkEnd w:id="109"/>
      <w:bookmarkEnd w:id="110"/>
    </w:p>
    <w:p w14:paraId="56615C62">
      <w:pPr>
        <w:spacing w:line="360" w:lineRule="auto"/>
        <w:ind w:firstLine="420" w:firstLineChars="200"/>
        <w:rPr>
          <w:rFonts w:hint="eastAsia" w:ascii="宋体" w:hAnsi="宋体" w:eastAsia="宋体" w:cs="宋体"/>
          <w:color w:val="auto"/>
          <w:szCs w:val="21"/>
          <w:highlight w:val="none"/>
        </w:rPr>
      </w:pPr>
      <w:bookmarkStart w:id="111" w:name="_Toc221356905"/>
      <w:bookmarkStart w:id="112" w:name="_Toc221356968"/>
      <w:r>
        <w:rPr>
          <w:rFonts w:hint="eastAsia" w:ascii="宋体" w:hAnsi="宋体" w:eastAsia="宋体" w:cs="宋体"/>
          <w:color w:val="auto"/>
          <w:szCs w:val="21"/>
          <w:highlight w:val="none"/>
        </w:rPr>
        <w:t>评标结束后，招标人将在采购指定信息媒体“浙江海港电子招标采购平台（http://hgdzzb.nbport.com.cn/）、温州港集团有限公司网站（https://www.wzport.com/wzport/wzgzz/sy/index.html）”</w:t>
      </w:r>
      <w:r>
        <w:rPr>
          <w:rFonts w:hint="eastAsia" w:asciiTheme="minorEastAsia" w:hAnsiTheme="minorEastAsia" w:eastAsiaTheme="minorEastAsia" w:cstheme="minorEastAsia"/>
          <w:color w:val="auto"/>
          <w:szCs w:val="21"/>
          <w:highlight w:val="none"/>
          <w:lang w:val="en-US" w:eastAsia="zh-CN"/>
        </w:rPr>
        <w:t>、</w:t>
      </w:r>
      <w:r>
        <w:rPr>
          <w:rFonts w:hint="eastAsia" w:ascii="宋体" w:hAnsi="宋体" w:eastAsia="宋体" w:cs="宋体"/>
          <w:color w:val="auto"/>
          <w:kern w:val="2"/>
          <w:sz w:val="21"/>
          <w:szCs w:val="21"/>
          <w:highlight w:val="none"/>
          <w:lang w:val="en-US" w:eastAsia="zh-CN" w:bidi="ar-SA"/>
        </w:rPr>
        <w:t xml:space="preserve">浙江政府采购网（非政府采购）（https://zfcg.czt.zj.gov.cn/） </w:t>
      </w:r>
      <w:r>
        <w:rPr>
          <w:rFonts w:hint="eastAsia" w:ascii="宋体" w:hAnsi="宋体" w:eastAsia="宋体" w:cs="宋体"/>
          <w:color w:val="auto"/>
          <w:szCs w:val="21"/>
          <w:highlight w:val="none"/>
        </w:rPr>
        <w:t>等网站上发布，评标结果公示。公示期结束，在规定期限内无异议则招标机构将向中标人发出中标通知书。</w:t>
      </w:r>
    </w:p>
    <w:p w14:paraId="0DD9293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七、投标人义务</w:t>
      </w:r>
      <w:bookmarkEnd w:id="111"/>
      <w:bookmarkEnd w:id="112"/>
    </w:p>
    <w:p w14:paraId="35A98EAA">
      <w:pPr>
        <w:ind w:firstLine="420" w:firstLineChars="200"/>
        <w:rPr>
          <w:rFonts w:hint="eastAsia" w:ascii="宋体" w:hAnsi="宋体" w:eastAsia="宋体" w:cs="宋体"/>
          <w:color w:val="auto"/>
          <w:sz w:val="22"/>
          <w:highlight w:val="none"/>
        </w:rPr>
      </w:pPr>
      <w:r>
        <w:rPr>
          <w:rFonts w:hint="eastAsia" w:ascii="宋体" w:hAnsi="宋体" w:eastAsia="宋体" w:cs="宋体"/>
          <w:color w:val="auto"/>
          <w:szCs w:val="21"/>
          <w:highlight w:val="none"/>
        </w:rPr>
        <w:t>投标人应随时接受评标专家的询标，解答包括有关的商务、技术问题等。评标结束，所有评标资料存招标机构备查。</w:t>
      </w:r>
    </w:p>
    <w:p w14:paraId="36108B04">
      <w:pPr>
        <w:pStyle w:val="11"/>
        <w:rPr>
          <w:rFonts w:hint="eastAsia" w:ascii="宋体" w:hAnsi="宋体" w:eastAsia="宋体" w:cs="宋体"/>
          <w:color w:val="auto"/>
          <w:highlight w:val="none"/>
        </w:rPr>
      </w:pPr>
    </w:p>
    <w:p w14:paraId="7D26AD3B">
      <w:pPr>
        <w:pStyle w:val="2"/>
        <w:spacing w:line="240" w:lineRule="auto"/>
        <w:rPr>
          <w:rFonts w:hint="eastAsia" w:ascii="宋体" w:hAnsi="宋体" w:eastAsia="宋体" w:cs="宋体"/>
          <w:color w:val="auto"/>
          <w:highlight w:val="none"/>
        </w:rPr>
      </w:pPr>
      <w:r>
        <w:rPr>
          <w:rFonts w:hint="eastAsia" w:ascii="宋体" w:hAnsi="宋体" w:eastAsia="宋体" w:cs="宋体"/>
          <w:color w:val="auto"/>
          <w:sz w:val="22"/>
          <w:highlight w:val="none"/>
        </w:rPr>
        <w:br w:type="page"/>
      </w:r>
      <w:bookmarkStart w:id="113" w:name="_Toc20070"/>
      <w:bookmarkStart w:id="114" w:name="_Toc24615"/>
      <w:bookmarkStart w:id="115" w:name="_Toc7311"/>
      <w:bookmarkStart w:id="116" w:name="_Toc32414"/>
      <w:bookmarkStart w:id="117" w:name="_Toc23236"/>
      <w:bookmarkStart w:id="118" w:name="_Toc28504"/>
      <w:bookmarkStart w:id="119" w:name="_Toc26146"/>
      <w:bookmarkStart w:id="120" w:name="_Toc4815"/>
      <w:r>
        <w:rPr>
          <w:rFonts w:hint="eastAsia" w:ascii="宋体" w:hAnsi="宋体" w:eastAsia="宋体" w:cs="宋体"/>
          <w:color w:val="auto"/>
          <w:highlight w:val="none"/>
        </w:rPr>
        <w:t>第五章</w:t>
      </w:r>
      <w:bookmarkEnd w:id="54"/>
      <w:bookmarkEnd w:id="113"/>
      <w:r>
        <w:rPr>
          <w:rFonts w:hint="eastAsia" w:ascii="宋体" w:hAnsi="宋体" w:eastAsia="宋体" w:cs="宋体"/>
          <w:color w:val="auto"/>
          <w:highlight w:val="none"/>
        </w:rPr>
        <w:t xml:space="preserve">   合同主要条款</w:t>
      </w:r>
      <w:bookmarkEnd w:id="114"/>
      <w:bookmarkEnd w:id="115"/>
      <w:bookmarkEnd w:id="116"/>
      <w:bookmarkEnd w:id="117"/>
      <w:bookmarkEnd w:id="118"/>
      <w:bookmarkEnd w:id="119"/>
      <w:bookmarkEnd w:id="120"/>
    </w:p>
    <w:p w14:paraId="639ABB09">
      <w:pPr>
        <w:spacing w:line="400" w:lineRule="exact"/>
        <w:ind w:left="210"/>
        <w:rPr>
          <w:rFonts w:hint="eastAsia" w:ascii="宋体" w:hAnsi="宋体" w:eastAsia="宋体" w:cs="宋体"/>
          <w:color w:val="auto"/>
          <w:szCs w:val="21"/>
          <w:highlight w:val="none"/>
        </w:rPr>
      </w:pPr>
      <w:bookmarkStart w:id="121" w:name="印发机关"/>
      <w:bookmarkEnd w:id="121"/>
      <w:bookmarkStart w:id="122" w:name="抄送"/>
      <w:bookmarkEnd w:id="122"/>
      <w:bookmarkStart w:id="123" w:name="CarbonCopy"/>
      <w:bookmarkEnd w:id="123"/>
      <w:bookmarkStart w:id="124" w:name="PrintTime"/>
      <w:bookmarkEnd w:id="124"/>
      <w:bookmarkStart w:id="125" w:name="Signature"/>
      <w:bookmarkEnd w:id="125"/>
      <w:bookmarkStart w:id="126" w:name="附件"/>
      <w:bookmarkEnd w:id="126"/>
      <w:bookmarkStart w:id="127" w:name="印发日期"/>
      <w:bookmarkEnd w:id="127"/>
      <w:bookmarkStart w:id="128" w:name="签发日期"/>
      <w:bookmarkEnd w:id="128"/>
      <w:bookmarkStart w:id="129" w:name="_Toc50128409"/>
      <w:bookmarkStart w:id="130" w:name="_Toc3800"/>
      <w:bookmarkStart w:id="131" w:name="_Toc6991"/>
      <w:bookmarkStart w:id="132" w:name="_Toc17227"/>
      <w:bookmarkStart w:id="133" w:name="_Toc16054"/>
      <w:bookmarkStart w:id="134" w:name="_Toc7845"/>
      <w:bookmarkStart w:id="135" w:name="_Toc19081"/>
      <w:bookmarkStart w:id="136" w:name="_Toc8872"/>
      <w:bookmarkStart w:id="137" w:name="_Toc24476"/>
      <w:bookmarkStart w:id="138" w:name="_Toc21745"/>
    </w:p>
    <w:p w14:paraId="01699585">
      <w:pPr>
        <w:spacing w:line="440" w:lineRule="exact"/>
        <w:rPr>
          <w:rFonts w:hint="eastAsia" w:ascii="宋体" w:hAnsi="宋体" w:eastAsia="宋体" w:cs="宋体"/>
          <w:b/>
          <w:bCs/>
          <w:color w:val="auto"/>
          <w:sz w:val="21"/>
          <w:szCs w:val="21"/>
          <w:highlight w:val="none"/>
          <w:lang w:val="zh-TW" w:eastAsia="zh-CN"/>
        </w:rPr>
      </w:pPr>
      <w:r>
        <w:rPr>
          <w:rFonts w:hint="eastAsia" w:ascii="宋体" w:hAnsi="宋体" w:eastAsia="宋体" w:cs="宋体"/>
          <w:b/>
          <w:bCs/>
          <w:color w:val="auto"/>
          <w:sz w:val="21"/>
          <w:szCs w:val="21"/>
          <w:highlight w:val="none"/>
          <w:lang w:val="zh-TW" w:eastAsia="zh-TW"/>
        </w:rPr>
        <w:t>甲方（委托方）名称：</w:t>
      </w:r>
    </w:p>
    <w:p w14:paraId="5A572616">
      <w:pPr>
        <w:tabs>
          <w:tab w:val="left" w:pos="6015"/>
        </w:tabs>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注册地址：</w:t>
      </w:r>
      <w:r>
        <w:rPr>
          <w:rFonts w:hint="eastAsia" w:ascii="宋体" w:hAnsi="宋体" w:eastAsia="宋体" w:cs="宋体"/>
          <w:b/>
          <w:bCs/>
          <w:color w:val="auto"/>
          <w:sz w:val="21"/>
          <w:szCs w:val="21"/>
          <w:highlight w:val="none"/>
        </w:rPr>
        <w:t xml:space="preserve"> </w:t>
      </w:r>
    </w:p>
    <w:p w14:paraId="4D32B212">
      <w:pPr>
        <w:spacing w:line="360" w:lineRule="auto"/>
        <w:rPr>
          <w:rFonts w:hint="eastAsia" w:ascii="宋体" w:hAnsi="宋体" w:eastAsia="宋体" w:cs="宋体"/>
          <w:b/>
          <w:bCs/>
          <w:color w:val="auto"/>
          <w:sz w:val="21"/>
          <w:szCs w:val="21"/>
          <w:highlight w:val="none"/>
          <w:lang w:val="zh-TW"/>
        </w:rPr>
      </w:pPr>
      <w:r>
        <w:rPr>
          <w:rFonts w:hint="eastAsia" w:ascii="宋体" w:hAnsi="宋体" w:eastAsia="宋体" w:cs="宋体"/>
          <w:b/>
          <w:bCs/>
          <w:color w:val="auto"/>
          <w:sz w:val="21"/>
          <w:szCs w:val="21"/>
          <w:highlight w:val="none"/>
          <w:lang w:val="zh-TW" w:eastAsia="zh-TW"/>
        </w:rPr>
        <w:t>法定代表人：</w:t>
      </w:r>
    </w:p>
    <w:p w14:paraId="6AB7E51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指定联系人：</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z w:val="21"/>
          <w:szCs w:val="21"/>
          <w:highlight w:val="none"/>
          <w:lang w:val="zh-TW" w:eastAsia="zh-TW"/>
        </w:rPr>
        <w:t>电话：</w:t>
      </w:r>
    </w:p>
    <w:p w14:paraId="65CA300B">
      <w:pPr>
        <w:spacing w:line="360" w:lineRule="auto"/>
        <w:ind w:left="1928" w:hanging="1687" w:hangingChars="800"/>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指定通讯地址：</w:t>
      </w:r>
    </w:p>
    <w:p w14:paraId="5115E0A9">
      <w:pPr>
        <w:spacing w:line="360" w:lineRule="auto"/>
        <w:rPr>
          <w:rFonts w:hint="eastAsia" w:ascii="宋体" w:hAnsi="宋体" w:eastAsia="宋体" w:cs="宋体"/>
          <w:b/>
          <w:bCs/>
          <w:color w:val="auto"/>
          <w:sz w:val="21"/>
          <w:szCs w:val="21"/>
          <w:highlight w:val="none"/>
        </w:rPr>
      </w:pPr>
    </w:p>
    <w:p w14:paraId="41F2EF5B">
      <w:pPr>
        <w:spacing w:line="360" w:lineRule="auto"/>
        <w:rPr>
          <w:rFonts w:hint="eastAsia" w:ascii="宋体" w:hAnsi="宋体" w:eastAsia="宋体" w:cs="宋体"/>
          <w:b/>
          <w:bCs/>
          <w:color w:val="auto"/>
          <w:sz w:val="21"/>
          <w:szCs w:val="21"/>
          <w:highlight w:val="none"/>
          <w:lang w:val="zh-TW" w:eastAsia="zh-TW"/>
        </w:rPr>
      </w:pPr>
      <w:r>
        <w:rPr>
          <w:rFonts w:hint="eastAsia" w:ascii="宋体" w:hAnsi="宋体" w:eastAsia="宋体" w:cs="宋体"/>
          <w:b/>
          <w:bCs/>
          <w:color w:val="auto"/>
          <w:sz w:val="21"/>
          <w:szCs w:val="21"/>
          <w:highlight w:val="none"/>
          <w:lang w:val="zh-TW" w:eastAsia="zh-TW"/>
        </w:rPr>
        <w:t>乙方（受托方）名称：</w:t>
      </w:r>
    </w:p>
    <w:p w14:paraId="6A30F887">
      <w:pPr>
        <w:spacing w:line="360" w:lineRule="auto"/>
        <w:ind w:left="1205" w:hanging="1054" w:hangingChars="5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注册地址：</w:t>
      </w:r>
    </w:p>
    <w:p w14:paraId="4390A2A2">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法定代表人：</w:t>
      </w:r>
      <w:r>
        <w:rPr>
          <w:rFonts w:hint="eastAsia" w:ascii="宋体" w:hAnsi="宋体" w:eastAsia="宋体" w:cs="宋体"/>
          <w:b/>
          <w:bCs/>
          <w:color w:val="auto"/>
          <w:sz w:val="21"/>
          <w:szCs w:val="21"/>
          <w:highlight w:val="none"/>
        </w:rPr>
        <w:t xml:space="preserve"> </w:t>
      </w:r>
    </w:p>
    <w:p w14:paraId="55ADA6DD">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TW" w:eastAsia="zh-TW"/>
        </w:rPr>
        <w:t>指定联系人：             电话：</w:t>
      </w:r>
    </w:p>
    <w:p w14:paraId="355A4DAD">
      <w:pPr>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zh-TW" w:eastAsia="zh-TW"/>
        </w:rPr>
        <w:t xml:space="preserve">指定通讯地址： </w:t>
      </w:r>
    </w:p>
    <w:p w14:paraId="47C260E3">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将其所在地及周边的有害生物本底调查工作委托乙方完成，并支付服务报酬。双方经过平等协商，在真实、充分地表达各自意愿的基础上，根据《中华人民共和国民法典》的规定，达成如下协议，并由双方共同恪守。</w:t>
      </w:r>
    </w:p>
    <w:p w14:paraId="6AC46C98">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color w:val="auto"/>
          <w:sz w:val="21"/>
          <w:szCs w:val="21"/>
          <w:highlight w:val="none"/>
        </w:rPr>
        <w:tab/>
      </w:r>
      <w:r>
        <w:rPr>
          <w:rFonts w:hint="eastAsia" w:ascii="宋体" w:hAnsi="宋体" w:eastAsia="宋体" w:cs="宋体"/>
          <w:b/>
          <w:color w:val="auto"/>
          <w:sz w:val="21"/>
          <w:szCs w:val="21"/>
          <w:highlight w:val="none"/>
        </w:rPr>
        <w:t>技术服务的依据、内容和方式</w:t>
      </w:r>
    </w:p>
    <w:p w14:paraId="022FF786">
      <w:pPr>
        <w:snapToGrid w:val="0"/>
        <w:ind w:firstLine="210" w:firstLineChars="100"/>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甲方委托乙方</w:t>
      </w:r>
      <w:r>
        <w:rPr>
          <w:rFonts w:hint="eastAsia" w:ascii="宋体" w:hAnsi="宋体" w:eastAsia="宋体" w:cs="宋体"/>
          <w:bCs/>
          <w:color w:val="auto"/>
          <w:sz w:val="21"/>
          <w:szCs w:val="21"/>
          <w:highlight w:val="none"/>
        </w:rPr>
        <w:t>以</w:t>
      </w:r>
      <w:r>
        <w:rPr>
          <w:rFonts w:hint="eastAsia" w:ascii="宋体" w:hAnsi="宋体" w:cs="宋体"/>
          <w:bCs/>
          <w:color w:val="auto"/>
          <w:sz w:val="21"/>
          <w:szCs w:val="21"/>
          <w:highlight w:val="none"/>
          <w:lang w:eastAsia="zh-CN"/>
        </w:rPr>
        <w:t>温州港南岳港务有限公司、温州港益嘉港务有限公司</w:t>
      </w:r>
      <w:r>
        <w:rPr>
          <w:rFonts w:hint="eastAsia" w:ascii="宋体" w:hAnsi="宋体" w:eastAsia="宋体" w:cs="宋体"/>
          <w:bCs/>
          <w:color w:val="auto"/>
          <w:sz w:val="21"/>
          <w:szCs w:val="21"/>
          <w:highlight w:val="none"/>
        </w:rPr>
        <w:t>运营区域为中心，根据实地情况，由监管区边界向外围延伸50m，进行本底调查。调查主要分为四部分：昆虫调查、杂草调查、病</w:t>
      </w:r>
      <w:r>
        <w:rPr>
          <w:rFonts w:hint="eastAsia" w:ascii="宋体" w:hAnsi="宋体" w:cs="宋体"/>
          <w:bCs/>
          <w:color w:val="auto"/>
          <w:sz w:val="21"/>
          <w:szCs w:val="21"/>
          <w:highlight w:val="none"/>
          <w:lang w:val="en-US" w:eastAsia="zh-CN"/>
        </w:rPr>
        <w:t>虫</w:t>
      </w:r>
      <w:r>
        <w:rPr>
          <w:rFonts w:hint="eastAsia" w:ascii="宋体" w:hAnsi="宋体" w:eastAsia="宋体" w:cs="宋体"/>
          <w:bCs/>
          <w:color w:val="auto"/>
          <w:sz w:val="21"/>
          <w:szCs w:val="21"/>
          <w:highlight w:val="none"/>
        </w:rPr>
        <w:t>害与线虫调查</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rPr>
        <w:t>乙方在合同规定的时间内出具海关认可的</w:t>
      </w:r>
      <w:r>
        <w:rPr>
          <w:rFonts w:hint="eastAsia" w:ascii="宋体" w:hAnsi="宋体" w:eastAsia="宋体" w:cs="宋体"/>
          <w:color w:val="auto"/>
          <w:sz w:val="21"/>
          <w:szCs w:val="21"/>
          <w:highlight w:val="none"/>
          <w:lang w:val="en-US" w:eastAsia="zh-CN"/>
        </w:rPr>
        <w:t>调查</w:t>
      </w:r>
      <w:r>
        <w:rPr>
          <w:rFonts w:hint="eastAsia" w:ascii="宋体" w:hAnsi="宋体" w:eastAsia="宋体" w:cs="宋体"/>
          <w:color w:val="auto"/>
          <w:sz w:val="21"/>
          <w:szCs w:val="21"/>
          <w:highlight w:val="none"/>
        </w:rPr>
        <w:t>报告。</w:t>
      </w:r>
    </w:p>
    <w:p w14:paraId="12673958">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第二条乙方技术服务的工作要求</w:t>
      </w:r>
    </w:p>
    <w:p w14:paraId="1E3D3F76">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1、项目服务时间：本合同生效后，为期一年</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合同一年一签</w:t>
      </w:r>
      <w:r>
        <w:rPr>
          <w:rFonts w:hint="eastAsia" w:ascii="宋体" w:hAnsi="宋体" w:eastAsia="宋体" w:cs="宋体"/>
          <w:color w:val="auto"/>
          <w:sz w:val="21"/>
          <w:szCs w:val="21"/>
          <w:highlight w:val="none"/>
        </w:rPr>
        <w:t>。</w:t>
      </w:r>
    </w:p>
    <w:p w14:paraId="46CBA3E1">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2、统筹协调：按甲方要求，组织和参与各种协调会议。</w:t>
      </w:r>
    </w:p>
    <w:p w14:paraId="4A939DB9">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整体项目实施过程中，乙方须定期向甲方进行项目中间汇报，或响应甲方要求召开项目工作会议，甲方有权对整体项目的服务情况进行阶段性审查，乙方须无条件地接受和配合甲方的相关审查工作。所有的中间汇报或响应甲方要求召开的项目工作会议须由乙方委派的项目负责人主持。若乙方的投标承诺优于上述进度安排，甲方可按投标承诺作调整。</w:t>
      </w:r>
    </w:p>
    <w:p w14:paraId="4B79FE3B">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第三条甲方仅向乙方提供运营区域布置图，乙方使用完毕后需及时返还，乙方所需的其他材料应自行解决。</w:t>
      </w:r>
    </w:p>
    <w:p w14:paraId="46A466F8">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第四条技术服务报酬及支付方式</w:t>
      </w:r>
    </w:p>
    <w:p w14:paraId="5EDB221A">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1、技术服务报酬总额为:￥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，大写：</w:t>
      </w:r>
      <w:r>
        <w:rPr>
          <w:rFonts w:hint="eastAsia" w:ascii="宋体" w:hAnsi="宋体" w:cs="宋体"/>
          <w:color w:val="auto"/>
          <w:sz w:val="21"/>
          <w:szCs w:val="21"/>
          <w:highlight w:val="none"/>
          <w:u w:val="single"/>
          <w:lang w:val="en-US" w:eastAsia="zh-CN"/>
        </w:rPr>
        <w:t xml:space="preserve">    元整</w:t>
      </w:r>
      <w:r>
        <w:rPr>
          <w:rFonts w:hint="eastAsia" w:ascii="宋体" w:hAnsi="宋体" w:eastAsia="宋体" w:cs="宋体"/>
          <w:color w:val="auto"/>
          <w:sz w:val="21"/>
          <w:szCs w:val="21"/>
          <w:highlight w:val="none"/>
        </w:rPr>
        <w:t>。</w:t>
      </w:r>
    </w:p>
    <w:p w14:paraId="1CFFE382">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技术服务报酬为</w:t>
      </w:r>
      <w:r>
        <w:rPr>
          <w:rFonts w:hint="eastAsia" w:ascii="宋体" w:hAnsi="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包干，包含本项目的人力成本、设备成本、管理费、资料费用、调查费用、专家考察、咨询及审查费、正式报告印刷费、交通费、保险费、税费等完成本项目的所有费用。上述技术服务报酬已经涵盖了乙方在履行本合同中可能发生的包括人工费、材料价格上涨在内的一切风险。在合同执行过程中，甲方将不再另行支付与本项目相关的任何费用。</w:t>
      </w:r>
    </w:p>
    <w:p w14:paraId="17C797FE">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2、支付方式：</w:t>
      </w:r>
    </w:p>
    <w:p w14:paraId="701484FD">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乙方出具项目实施总调查报告，并得到海关认可后，甲方向乙方支付合同金额100%。乙方必须在甲方支付报酬前开具增值税专用发票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税点6%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。甲方未收到合格发票前，有权暂停支付并不承担任何违约责任。</w:t>
      </w:r>
    </w:p>
    <w:p w14:paraId="44227D16">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第五条乙方应遵守的保密义务</w:t>
      </w:r>
    </w:p>
    <w:p w14:paraId="7A9FB7B2">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密内容包括技术信息和经营信息。乙方在项目实施过程中，对甲方所提供的所有相关资料、数据，未经甲方书面同意不得向任何第三人泄露或挪作本合同约定用途外使用，且保密责任不因合同的终止或解除而失效，否则乙方须赔偿甲方因此造成的一切损失。如甲方提出要求，乙方须无条件与甲方签订保密协议。项目完成后，乙方须把甲方提供的所有资料、数据完整归还甲方，在未征得甲方同意前，乙方不得留存任何复制品。</w:t>
      </w:r>
    </w:p>
    <w:p w14:paraId="2580BF47">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第六条本合同的变更必须由双方协商一致，并以书面形式签订补充协议确定。</w:t>
      </w:r>
    </w:p>
    <w:p w14:paraId="7BD93D3A">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第七条双方确定，按以下标准和方式对乙方提交的技术咨询工作成果文件进行</w:t>
      </w:r>
      <w:r>
        <w:rPr>
          <w:rFonts w:hint="eastAsia" w:ascii="宋体" w:hAnsi="宋体" w:cs="宋体"/>
          <w:b/>
          <w:color w:val="auto"/>
          <w:sz w:val="21"/>
          <w:szCs w:val="21"/>
          <w:highlight w:val="none"/>
          <w:lang w:val="en-US" w:eastAsia="zh-CN"/>
        </w:rPr>
        <w:t>确认</w:t>
      </w:r>
      <w:r>
        <w:rPr>
          <w:rFonts w:hint="eastAsia" w:ascii="宋体" w:hAnsi="宋体" w:eastAsia="宋体" w:cs="宋体"/>
          <w:b/>
          <w:color w:val="auto"/>
          <w:sz w:val="21"/>
          <w:szCs w:val="21"/>
          <w:highlight w:val="none"/>
        </w:rPr>
        <w:t>：</w:t>
      </w:r>
    </w:p>
    <w:p w14:paraId="160E94B3">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1、乙方提交技术服务工作成果的要求：</w:t>
      </w:r>
    </w:p>
    <w:p w14:paraId="0BED60B9">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生效后，乙方应尽快与甲方组织碰头交流会议，并提出项目的工作统筹大纲和具体实施方案及细节处理方案，甲方将组织审查上述内容，大纲与方案甲方通过后乙方应按其详细内容执行。在计划实施过程中，甲方对乙方的进度安排，可根据实际情况进行调整，乙方须予以服从。乙方也可根据实际情况提出调整建议，但最终调整内容必须经甲方的书面认可方能执行。</w:t>
      </w:r>
    </w:p>
    <w:p w14:paraId="63C0CF3C">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（2）乙方须根据甲方所需项目相关资料的数量及要求，完整地向甲方提供。若甲方要求对资料的数量进行补充时，乙方须予以服从，并按要求补充，对于资料补充乙方不再额外收取费用。</w:t>
      </w:r>
    </w:p>
    <w:p w14:paraId="7C8F2544">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2、技术服务工作的标准：服务工作必须符合本项目招标文件及合同的有关要求和国家（或行业）有关法律法规及标准规范。</w:t>
      </w:r>
    </w:p>
    <w:p w14:paraId="42E02614">
      <w:pPr>
        <w:snapToGrid w:val="0"/>
        <w:ind w:firstLine="210" w:firstLineChars="1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3、审查的时间和地点：由甲方确定。</w:t>
      </w:r>
    </w:p>
    <w:p w14:paraId="4893C808">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第八条若因乙方编制的技术导则或对各项目方案的审查意见发生技术问题，而导致甲方或项目业主造成损失的，乙方应承担因此所造成的损失，甲方保留追究法律诉讼的权利。</w:t>
      </w:r>
    </w:p>
    <w:p w14:paraId="79932461">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第九条技术服务成果的知识产权</w:t>
      </w:r>
    </w:p>
    <w:p w14:paraId="2AB0B8B7">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1、本项目的所有成果若著作权等知识产权和所有权益归甲方所有。乙方不得引用、发表和向第三者提供，除非征得甲方书面同意。</w:t>
      </w:r>
    </w:p>
    <w:p w14:paraId="4A76B498">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2、甲方引用乙方的工作成果所完成的新的技术成果，属于甲方所有，甲方可依法享有就该项技术成果取得的精神权利、经济权利和其他权利。</w:t>
      </w:r>
    </w:p>
    <w:p w14:paraId="63D56E89">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论发生何种情形（包括但不限于合同提前终止或解除），乙方的阶段性工作成果归属甲方所有，并且甲方引用乙方的阶段性工作成果所完成的新的技术成果，属于甲方所有，甲方可依法享有就该项技术成果取得的精神权利、经济权利和其他权利。</w:t>
      </w:r>
    </w:p>
    <w:p w14:paraId="41B8D34B">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第十条双方确定，在本合同有效期内，甲方指定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为甲方项目联系人，乙方指定</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为乙方项目联系人。项目联系人承担以下责任：</w:t>
      </w:r>
    </w:p>
    <w:p w14:paraId="5D694BDA">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1、负责双方的沟通联系事宜；</w:t>
      </w:r>
    </w:p>
    <w:p w14:paraId="48542C1E">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2、及时准确地传达代表方的意愿和要求。一方变更项目联系人的，应当及时以书面形式通知另一方。未及时通知并影响本合同履行或造成损失的，应承担相应的责任。</w:t>
      </w:r>
    </w:p>
    <w:p w14:paraId="362E15C8">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第十一条双方确定，因</w:t>
      </w:r>
      <w:r>
        <w:rPr>
          <w:rFonts w:hint="eastAsia" w:ascii="宋体" w:hAnsi="宋体" w:eastAsia="宋体" w:cs="宋体"/>
          <w:color w:val="auto"/>
          <w:sz w:val="21"/>
          <w:szCs w:val="21"/>
          <w:highlight w:val="none"/>
        </w:rPr>
        <w:t>不可抗力</w:t>
      </w:r>
      <w:r>
        <w:rPr>
          <w:rFonts w:hint="eastAsia" w:ascii="宋体" w:hAnsi="宋体" w:eastAsia="宋体" w:cs="宋体"/>
          <w:b/>
          <w:color w:val="auto"/>
          <w:sz w:val="21"/>
          <w:szCs w:val="21"/>
          <w:highlight w:val="none"/>
        </w:rPr>
        <w:t>，致使本合同的履行成为不必要或不可能，任何一方可以解除本合同。</w:t>
      </w:r>
    </w:p>
    <w:p w14:paraId="42B3A412">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第十二条双方因履行本合同而发生的争议，应协商、调解解决。协商、调解不成的，确定按以下第 2 种方式处理：</w:t>
      </w:r>
    </w:p>
    <w:p w14:paraId="770649A8">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1、提交仲裁委员会仲裁；</w:t>
      </w:r>
    </w:p>
    <w:p w14:paraId="1059A0FD">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2、依法向甲方所在地的人民法院提起诉讼。</w:t>
      </w:r>
    </w:p>
    <w:p w14:paraId="38014174">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第十三条违约责任及其他事项</w:t>
      </w:r>
    </w:p>
    <w:p w14:paraId="2C500855">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1、乙方有下列情形之一的，甲方有权要求乙方退还已收取的报酬，并有权提前单方解除本合同，要求乙方向甲方支付本合同总额30%的违约金。另若因此造成甲方损失的，甲方保留向乙方追究赔偿责任的权利：</w:t>
      </w:r>
    </w:p>
    <w:p w14:paraId="3557B564">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（1）服务工作违反本合同约定致使服务质量严重偏离甲方下达的任务要求的。</w:t>
      </w:r>
    </w:p>
    <w:p w14:paraId="239889D3">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（2）乙方未能履行合同义务，或未能统筹协调整体服务工作且经甲方通知拒绝整改。</w:t>
      </w:r>
    </w:p>
    <w:p w14:paraId="196BB743">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（3）乙方未经甲方书面同意，擅自修改工作成果。</w:t>
      </w:r>
    </w:p>
    <w:p w14:paraId="3073E606">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（4）乙方未经甲方书面同意，擅自将项目分包或转包的。</w:t>
      </w:r>
    </w:p>
    <w:p w14:paraId="28511ECC">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2、若由于甲方原因导致本合同无法履行而提前终止，经双方协商后，甲方按乙方实际已完成的工作向乙方支付相应的项目费用。</w:t>
      </w:r>
    </w:p>
    <w:p w14:paraId="7611365B">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3、若由于乙方原因导致本合同提前终止，甲方不再向乙方支付尚未支付的本项目费用余额，且乙方应退还甲方已经支付的技术服务费。</w:t>
      </w:r>
    </w:p>
    <w:p w14:paraId="02F63491">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项目实施期间，乙方项目组主要成员未经甲方书面同意不得调整，且项目负责人不允许变更。必要时，乙方项目组及项目负责人在项目实施期间须提供长期跟踪服务。若甲方发现乙方项目组成员及项目负责人没有提供长期跟踪服务或接甲方通知后3小时内不能到达指定地点的，视为乙方违约，甲方有权在未付服务报酬中直接扣除乙方每人次人民币伍仟元的违约金。如果本合同约定的技术服务报酬费不足以扣除的，乙方应按上述5000元/人次的标准向甲方支付违约金。</w:t>
      </w:r>
    </w:p>
    <w:p w14:paraId="19C99295">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在交付技术服务工作成果后，应按规定参加有关的成果审查，根据审查结论对成果内容做必要的调整和补充，且乙方不另外收费；乙方对其技术服务工作成果的完整性、真实性、准确性负责。若乙方怠于履行上述调整、补充义务的，甲方有权要求乙方支付违约金20000元。</w:t>
      </w:r>
    </w:p>
    <w:p w14:paraId="79D68F4D">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6、乙方在合同履行过程中如果使用了自有或他人的专利和专有技术，所需费用由乙方自行承担；如果乙方向甲方交付的工作成果涉及第三人权利而引发争议，由乙方承担由此引起的一切经济和法律责任。</w:t>
      </w:r>
    </w:p>
    <w:p w14:paraId="16419440">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服务工作完成后，乙方须提供必要的后续技术服务（本处后续技术咨询服务指的是对项目技术服务工作期内涉及的内容所进行的必要解释和指导，服务方式可通过电话、电子邮件或传真、现场指导等形式），费用已包含在本合同第四条技术服务报酬总额中。</w:t>
      </w:r>
    </w:p>
    <w:p w14:paraId="1DF24914">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8、政府根据现行税法所征收的一切税费均由各缴税责任方独立承担。</w:t>
      </w:r>
    </w:p>
    <w:p w14:paraId="708AE0A4">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9、甲方享有成果文件的自主出版权。</w:t>
      </w:r>
    </w:p>
    <w:p w14:paraId="6E270C2F">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所有经双方签署确认的文件（包括会议纪要、补充协议、往来信函）、招标文件及答疑补遗文件、乙方投标文件及其相关承诺附件和《中标通知书》均为本合同不可分割的有效组成部分，与本合同具有同等的法律效力和履约义务，其生效日期为有效签署或盖章确认之日期。</w:t>
      </w:r>
    </w:p>
    <w:p w14:paraId="69568325">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优先解释顺序如下：</w:t>
      </w:r>
    </w:p>
    <w:p w14:paraId="7ECD3803">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（1）双方在合同执行过程中共同达成的书面补充和修正文件；</w:t>
      </w:r>
    </w:p>
    <w:p w14:paraId="3A07B2FE">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w:t>
      </w:r>
    </w:p>
    <w:p w14:paraId="58B20BAF">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（3）中标通知书；</w:t>
      </w:r>
    </w:p>
    <w:p w14:paraId="592E956C">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（4）招标文件及答疑补遗文件；</w:t>
      </w:r>
    </w:p>
    <w:p w14:paraId="1C12DA8D">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（5）乙方投标文件及其相关承诺附件；</w:t>
      </w:r>
    </w:p>
    <w:p w14:paraId="4FDFEC24">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（6）标准、规范及有关技术文件。</w:t>
      </w:r>
    </w:p>
    <w:p w14:paraId="704837CC">
      <w:pPr>
        <w:snapToGrid w:val="0"/>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如乙方在投标文件及其相关承诺附件中作出有比招标文件及答疑补遗文件和本合同更有利于甲方的响应（该是否有利于甲方的解释权双方同意最终归甲方所有），则乙方投标文件及其相关承诺附件中更有利于甲方的相关条款内容的解释顺序优于招标文件及答疑补遗文件和本合同，乙方须按这些响应承诺履行。</w:t>
      </w:r>
    </w:p>
    <w:p w14:paraId="24B91630">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第十四条乙方应确保在整个合同有效期内，乙方及乙方为履行本合同所派出的主要技术人员应具备提供</w:t>
      </w:r>
      <w:r>
        <w:rPr>
          <w:rFonts w:hint="eastAsia" w:ascii="宋体" w:hAnsi="宋体" w:cs="宋体"/>
          <w:b/>
          <w:color w:val="auto"/>
          <w:sz w:val="21"/>
          <w:szCs w:val="21"/>
          <w:highlight w:val="none"/>
          <w:lang w:eastAsia="zh-CN"/>
        </w:rPr>
        <w:t>温州港南岳港务有限公司、温州港益嘉港务有限公司植物有害生物本底调查</w:t>
      </w:r>
      <w:r>
        <w:rPr>
          <w:rFonts w:hint="eastAsia" w:ascii="宋体" w:hAnsi="宋体" w:eastAsia="宋体" w:cs="宋体"/>
          <w:b/>
          <w:color w:val="auto"/>
          <w:sz w:val="21"/>
          <w:szCs w:val="21"/>
          <w:highlight w:val="none"/>
        </w:rPr>
        <w:t>技术服务的法定资质、技术条件和技术水平。</w:t>
      </w:r>
    </w:p>
    <w:p w14:paraId="21344A83">
      <w:pPr>
        <w:snapToGrid w:val="0"/>
        <w:ind w:firstLine="211"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第十五条本合同</w:t>
      </w:r>
      <w:r>
        <w:rPr>
          <w:rFonts w:hint="eastAsia" w:ascii="宋体" w:hAnsi="宋体" w:cs="宋体"/>
          <w:b/>
          <w:color w:val="auto"/>
          <w:sz w:val="21"/>
          <w:szCs w:val="21"/>
          <w:highlight w:val="none"/>
          <w:lang w:val="en-US" w:eastAsia="zh-CN"/>
        </w:rPr>
        <w:t>壹</w:t>
      </w:r>
      <w:r>
        <w:rPr>
          <w:rFonts w:hint="eastAsia" w:ascii="宋体" w:hAnsi="宋体" w:eastAsia="宋体" w:cs="宋体"/>
          <w:b/>
          <w:color w:val="auto"/>
          <w:sz w:val="21"/>
          <w:szCs w:val="21"/>
          <w:highlight w:val="none"/>
        </w:rPr>
        <w:t>式肆份，双方各执贰份，具有同等法律效力。</w:t>
      </w:r>
    </w:p>
    <w:p w14:paraId="497619C3">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附件1：廉洁协议书</w:t>
      </w:r>
    </w:p>
    <w:p w14:paraId="163D208B">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附件2：安全生产管理协议</w:t>
      </w:r>
    </w:p>
    <w:p w14:paraId="32A92B91">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附件3：环境保护管理协议</w:t>
      </w:r>
    </w:p>
    <w:p w14:paraId="5F52EC12">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附件4：消防安全管理协议</w:t>
      </w:r>
    </w:p>
    <w:p w14:paraId="19897AF3">
      <w:pPr>
        <w:spacing w:line="460" w:lineRule="exact"/>
        <w:ind w:left="660" w:hanging="630" w:hangingChars="3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附件5：相关方入港安全告知书</w:t>
      </w:r>
    </w:p>
    <w:p w14:paraId="52B92B97">
      <w:pPr>
        <w:spacing w:line="460" w:lineRule="exact"/>
        <w:ind w:left="660" w:hanging="630" w:hangingChars="300"/>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附件</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：合作伙伴合规承诺书</w:t>
      </w:r>
    </w:p>
    <w:p w14:paraId="5DC81ED3">
      <w:pPr>
        <w:snapToGrid w:val="0"/>
        <w:ind w:firstLine="210" w:firstLineChars="100"/>
        <w:rPr>
          <w:rFonts w:hint="eastAsia" w:ascii="宋体" w:hAnsi="宋体" w:eastAsia="宋体" w:cs="宋体"/>
          <w:color w:val="auto"/>
          <w:sz w:val="21"/>
          <w:szCs w:val="21"/>
          <w:highlight w:val="none"/>
        </w:rPr>
      </w:pPr>
    </w:p>
    <w:p w14:paraId="7DF5FE1C">
      <w:pPr>
        <w:snapToGrid w:val="0"/>
        <w:ind w:firstLine="210" w:firstLineChars="100"/>
        <w:rPr>
          <w:rFonts w:hint="eastAsia" w:ascii="宋体" w:hAnsi="宋体" w:eastAsia="宋体" w:cs="宋体"/>
          <w:color w:val="auto"/>
          <w:sz w:val="21"/>
          <w:szCs w:val="21"/>
          <w:highlight w:val="none"/>
        </w:rPr>
      </w:pPr>
    </w:p>
    <w:p w14:paraId="25DF1433">
      <w:pPr>
        <w:snapToGrid w:val="0"/>
        <w:ind w:firstLine="210" w:firstLineChars="100"/>
        <w:rPr>
          <w:rFonts w:hint="eastAsia" w:ascii="宋体" w:hAnsi="宋体" w:eastAsia="宋体" w:cs="宋体"/>
          <w:color w:val="auto"/>
          <w:sz w:val="21"/>
          <w:szCs w:val="21"/>
          <w:highlight w:val="none"/>
        </w:rPr>
      </w:pPr>
    </w:p>
    <w:p w14:paraId="7941803A">
      <w:pPr>
        <w:snapToGrid w:val="0"/>
        <w:ind w:firstLine="210" w:firstLineChars="100"/>
        <w:rPr>
          <w:rFonts w:hint="eastAsia" w:ascii="宋体" w:hAnsi="宋体" w:eastAsia="宋体" w:cs="宋体"/>
          <w:color w:val="auto"/>
          <w:sz w:val="21"/>
          <w:szCs w:val="21"/>
          <w:highlight w:val="none"/>
        </w:rPr>
      </w:pPr>
    </w:p>
    <w:p w14:paraId="242FB65C">
      <w:pPr>
        <w:snapToGrid w:val="0"/>
        <w:ind w:firstLine="210" w:firstLineChars="100"/>
        <w:rPr>
          <w:rFonts w:hint="eastAsia" w:ascii="宋体" w:hAnsi="宋体" w:eastAsia="宋体" w:cs="宋体"/>
          <w:color w:val="auto"/>
          <w:sz w:val="21"/>
          <w:szCs w:val="21"/>
          <w:highlight w:val="none"/>
        </w:rPr>
      </w:pPr>
    </w:p>
    <w:p w14:paraId="428FAF01">
      <w:pPr>
        <w:autoSpaceDE w:val="0"/>
        <w:autoSpaceDN w:val="0"/>
        <w:adjustRightInd w:val="0"/>
        <w:snapToGrid w:val="0"/>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                            乙方（盖章）：</w:t>
      </w:r>
    </w:p>
    <w:p w14:paraId="76104D61">
      <w:pPr>
        <w:autoSpaceDE w:val="0"/>
        <w:autoSpaceDN w:val="0"/>
        <w:adjustRightInd w:val="0"/>
        <w:snapToGrid w:val="0"/>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                      法定代表人（签字）：</w:t>
      </w:r>
    </w:p>
    <w:p w14:paraId="7B82A40B">
      <w:pPr>
        <w:autoSpaceDE w:val="0"/>
        <w:autoSpaceDN w:val="0"/>
        <w:adjustRightInd w:val="0"/>
        <w:snapToGrid w:val="0"/>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1A97D263">
      <w:pPr>
        <w:autoSpaceDE w:val="0"/>
        <w:autoSpaceDN w:val="0"/>
        <w:adjustRightInd w:val="0"/>
        <w:snapToGrid w:val="0"/>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                                邮政编码：</w:t>
      </w:r>
    </w:p>
    <w:p w14:paraId="00E91766">
      <w:pPr>
        <w:autoSpaceDE w:val="0"/>
        <w:autoSpaceDN w:val="0"/>
        <w:adjustRightInd w:val="0"/>
        <w:snapToGrid w:val="0"/>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59A73501">
      <w:pPr>
        <w:autoSpaceDE w:val="0"/>
        <w:autoSpaceDN w:val="0"/>
        <w:adjustRightInd w:val="0"/>
        <w:snapToGrid w:val="0"/>
        <w:ind w:firstLine="420" w:firstLineChars="200"/>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5F7BA1EA">
      <w:pPr>
        <w:autoSpaceDE w:val="0"/>
        <w:autoSpaceDN w:val="0"/>
        <w:adjustRightInd w:val="0"/>
        <w:snapToGrid w:val="0"/>
        <w:ind w:firstLine="411" w:firstLineChars="196"/>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0FEB3C7D">
      <w:pPr>
        <w:pStyle w:val="17"/>
        <w:snapToGrid w:val="0"/>
        <w:spacing w:before="120" w:after="12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                                    账号：</w:t>
      </w:r>
    </w:p>
    <w:p w14:paraId="09B14B5C">
      <w:pPr>
        <w:snapToGrid w:val="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合同签订日期：      年  月  日</w:t>
      </w:r>
    </w:p>
    <w:p w14:paraId="24EF7E9A">
      <w:pPr>
        <w:rPr>
          <w:rFonts w:hint="eastAsia" w:ascii="宋体" w:hAnsi="宋体" w:eastAsia="宋体" w:cs="宋体"/>
          <w:color w:val="auto"/>
          <w:szCs w:val="21"/>
          <w:highlight w:val="none"/>
        </w:rPr>
      </w:pPr>
    </w:p>
    <w:p w14:paraId="6EE8055F">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8FD98D">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附件1：</w:t>
      </w:r>
    </w:p>
    <w:p w14:paraId="3ADD4C7A">
      <w:pPr>
        <w:spacing w:line="440" w:lineRule="exact"/>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廉洁协议书</w:t>
      </w:r>
    </w:p>
    <w:p w14:paraId="62CEB7EC">
      <w:pPr>
        <w:spacing w:line="440" w:lineRule="exact"/>
        <w:ind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p>
    <w:p w14:paraId="1294F370">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乙方： </w:t>
      </w:r>
    </w:p>
    <w:p w14:paraId="6DD6F05F">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双方本年度生产经营合同编号： </w:t>
      </w:r>
    </w:p>
    <w:p w14:paraId="21073D60">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为进一步完善监督制约机制，确保工作质量和预防职务犯罪，规范生产经营从业人员的行为和加强个人廉洁自律，根据国家及温州港集团有关廉洁建设规定，并结合实际特订立本协议如下：</w:t>
      </w:r>
    </w:p>
    <w:p w14:paraId="5EA869F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一、双方职责</w:t>
      </w:r>
    </w:p>
    <w:p w14:paraId="4312BABA">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1.甲乙双方应当自觉遵守国家法律法规以及有关廉洁建设的各项规定。</w:t>
      </w:r>
    </w:p>
    <w:p w14:paraId="2D2297B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2.甲乙双方应当严格执行合同规定，自觉按合同办事。</w:t>
      </w:r>
    </w:p>
    <w:p w14:paraId="61DBD840">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3.双方业务活动坚持公开、公正、诚信的原则（除法律认定的商业秘密或合同文件另有规定之外），不得损害国家利益和企业利益。</w:t>
      </w:r>
    </w:p>
    <w:p w14:paraId="662BB345">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4.甲乙双方工作人员发现对方在业务活动中有违反本协议约定的违法违纪行为的，应当及时提醒和督促对方纠正，情节严重的，有权向有关纪检监察部门检举、揭发。</w:t>
      </w:r>
    </w:p>
    <w:p w14:paraId="4A683AF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二、双方廉洁义务</w:t>
      </w:r>
    </w:p>
    <w:p w14:paraId="1D3B3B55">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1.甲方义务</w:t>
      </w:r>
    </w:p>
    <w:p w14:paraId="289936D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（1）甲方工作人员应保持与乙方的正常工作交往，不得接受乙方的借款、礼金、有价证券和贵重物品，不得在乙方报销任何应由个人支付的费用，不得以任何形式向乙方索要和收受回扣或变相收受贿赂。</w:t>
      </w:r>
    </w:p>
    <w:p w14:paraId="3B04F84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（2）甲方工作人员不得参加可能对公正执行公务有影响的宴请和娱乐活动。</w:t>
      </w:r>
    </w:p>
    <w:p w14:paraId="1181C334">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（3）甲方工作人员不得要求或者接收乙方为其住房装修、婚丧嫁娶、家属和子女的工作安排以及出国等提供方便。</w:t>
      </w:r>
    </w:p>
    <w:p w14:paraId="3A83D0F8">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（4）甲方工作人员不得向乙方介绍亲属或亲友从事与甲方工作有关的经济活动。</w:t>
      </w:r>
    </w:p>
    <w:p w14:paraId="5B1DCCF7">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（5）乙方如发现甲方工作人员有违反上述协议者，应及时向甲方上级主管单位举报。甲方不得以任何借口对乙方进行报复。</w:t>
      </w:r>
    </w:p>
    <w:p w14:paraId="59F74583">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2.乙方义务</w:t>
      </w:r>
    </w:p>
    <w:p w14:paraId="35D8B5AC">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（1）乙方应当通过正常途径开展相关业务工作，不得向甲方工作人员及第三方提供借款，赠送礼金、有价证券和贵重物品等。</w:t>
      </w:r>
    </w:p>
    <w:p w14:paraId="723A92E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（2）乙方不得为谋取私利擅自与甲方工作人员及中介机构就有关工作问题进行私下商谈或达成默契。</w:t>
      </w:r>
    </w:p>
    <w:p w14:paraId="6A70059C">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（3）乙方不得以洽谈业务、签订经济合同为借口，邀请甲方工作人员外出旅游和进入营业性高消费娱乐场所。</w:t>
      </w:r>
    </w:p>
    <w:p w14:paraId="1E9E5342">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（4）乙方不得为甲方单位或个人购置或者提供通信工具、交通工具、家电、高档办公用品等。</w:t>
      </w:r>
    </w:p>
    <w:p w14:paraId="333F10FB">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（5）乙方如发现甲方工作人员有违反上述协议者，应向甲方上级主管单位举报。甲方不得以任何借口对乙方进行报复。 </w:t>
      </w:r>
    </w:p>
    <w:p w14:paraId="6E948AF3">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（6）甲方工作人员明示或暗示乙方给予贿赂或报酬的，乙方必须予以拒绝，并将情况通报甲方纪检监察部门（电话： 0577-56688130）。</w:t>
      </w:r>
    </w:p>
    <w:p w14:paraId="5D0367D2">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三、违约责任</w:t>
      </w:r>
    </w:p>
    <w:p w14:paraId="2C7CA24E">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1.如发现甲方工作人员违反上述协议者， 按甲方制度进行调查，并由甲方按其制度进行处理，由此导致乙方遭受的损失由甲方承担。甲方认为情节严重的，有权解除《合同》，甲方承担合同提前终止的违约责任。</w:t>
      </w:r>
    </w:p>
    <w:p w14:paraId="107D2D3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2.如发现乙方工作人员违反上述协议，按乙方制度进行调查，并由乙方按其制度进行处理，由此导致甲方的损失由乙方承担。甲方认为情节严重的，有权解除《合同》，乙方承担合同提前终止的违约责任。</w:t>
      </w:r>
    </w:p>
    <w:p w14:paraId="4624DE9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3.甲乙双方监督单位为其上级主管部门。</w:t>
      </w:r>
    </w:p>
    <w:p w14:paraId="0D26060E">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四、附则</w:t>
      </w:r>
    </w:p>
    <w:p w14:paraId="255410A8">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1.本协议作为双方签订的《合同》的附件，与合同具有同等法律效力。经双方签署后立即生效。</w:t>
      </w:r>
    </w:p>
    <w:p w14:paraId="63E8BEF0">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2.本协议</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式</w:t>
      </w:r>
      <w:r>
        <w:rPr>
          <w:rFonts w:hint="eastAsia" w:asciiTheme="minorEastAsia" w:hAnsiTheme="minorEastAsia" w:eastAsiaTheme="minorEastAsia" w:cstheme="minorEastAsia"/>
          <w:color w:val="auto"/>
          <w:sz w:val="21"/>
          <w:szCs w:val="21"/>
          <w:highlight w:val="none"/>
          <w:lang w:val="en-US" w:eastAsia="zh-CN"/>
        </w:rPr>
        <w:t>肆</w:t>
      </w:r>
      <w:r>
        <w:rPr>
          <w:rFonts w:hint="eastAsia" w:asciiTheme="minorEastAsia" w:hAnsiTheme="minorEastAsia" w:eastAsiaTheme="minorEastAsia" w:cstheme="minorEastAsia"/>
          <w:color w:val="auto"/>
          <w:sz w:val="21"/>
          <w:szCs w:val="21"/>
          <w:highlight w:val="none"/>
        </w:rPr>
        <w:t>份，由甲乙双方各执</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rPr>
        <w:t>份。</w:t>
      </w:r>
    </w:p>
    <w:p w14:paraId="3F521A56">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       </w:t>
      </w:r>
    </w:p>
    <w:p w14:paraId="3954A0D9">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法人代表或委托人（签字）：         法人代表或委托人（签字）：</w:t>
      </w:r>
    </w:p>
    <w:p w14:paraId="6A51C743">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4403CFBD">
      <w:pPr>
        <w:spacing w:line="440" w:lineRule="exact"/>
        <w:ind w:firstLine="420" w:firstLineChars="200"/>
        <w:rPr>
          <w:rFonts w:hint="eastAsia" w:asciiTheme="minorEastAsia" w:hAnsiTheme="minorEastAsia" w:eastAsiaTheme="minorEastAsia" w:cstheme="minorEastAsia"/>
          <w:color w:val="auto"/>
          <w:sz w:val="21"/>
          <w:szCs w:val="21"/>
          <w:highlight w:val="none"/>
        </w:rPr>
      </w:pPr>
    </w:p>
    <w:p w14:paraId="1FC9892E">
      <w:pPr>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签订日期：  年  月  日          签订日期：  年  月  日</w:t>
      </w:r>
    </w:p>
    <w:p w14:paraId="635DADD1">
      <w:pPr>
        <w:pStyle w:val="11"/>
        <w:rPr>
          <w:rFonts w:hint="eastAsia" w:asciiTheme="minorEastAsia" w:hAnsiTheme="minorEastAsia" w:eastAsiaTheme="minorEastAsia" w:cstheme="minorEastAsia"/>
          <w:color w:val="auto"/>
          <w:highlight w:val="none"/>
        </w:rPr>
      </w:pPr>
    </w:p>
    <w:p w14:paraId="313DF75B">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28"/>
          <w:szCs w:val="28"/>
          <w:highlight w:val="none"/>
        </w:rPr>
        <w:t>附件2：</w:t>
      </w:r>
    </w:p>
    <w:p w14:paraId="25F26C0C">
      <w:pPr>
        <w:spacing w:line="500" w:lineRule="exact"/>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6"/>
          <w:szCs w:val="36"/>
          <w:highlight w:val="none"/>
        </w:rPr>
        <w:t>安全生产管理协议</w:t>
      </w:r>
    </w:p>
    <w:p w14:paraId="65747FB1">
      <w:pPr>
        <w:spacing w:line="4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（以下简称甲方）</w:t>
      </w:r>
    </w:p>
    <w:p w14:paraId="30136361">
      <w:pPr>
        <w:spacing w:line="4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（以下简称乙方）</w:t>
      </w:r>
    </w:p>
    <w:p w14:paraId="79D48800">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贯彻“安全第一，预防为主，综合治理”方针，加强港区船舶代理活动的安全管理，规范作业人员、车辆安全生产行为，维护港区生产、经营、办公秩序，确保港区财产和人员的安全，按照《中华人民共和国安全生产法》、《中华人民共和国道路交通安全法》、《中华人民共和国港口法》、《中华人民共和国港口设施保安规则》和《浙江省安全生产条例》等国家有关法律法规，乙方在进入甲方办公、作业区域内负有安全生产、治安保卫等职责。经双方友好协商一致签订本协议书，具体条款如下：</w:t>
      </w:r>
    </w:p>
    <w:p w14:paraId="73BED273">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 xml:space="preserve">一、甲方权利与责任 </w:t>
      </w:r>
    </w:p>
    <w:p w14:paraId="2F0BEF6D">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（一）甲方依据《中华人民共和国安全生产法》等相关法律规定，可定期、不定期对所辖区域进行安全检查。</w:t>
      </w:r>
    </w:p>
    <w:p w14:paraId="5B0112E3">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（二）对乙方安全管理工作不到位的，甲方可要求乙方立刻或限期落实安全防范措施，部分或全部停止作业；情节严重经甲方认定的可单方解除与乙方的业务合作协议。</w:t>
      </w:r>
    </w:p>
    <w:p w14:paraId="0A9B4358">
      <w:pPr>
        <w:spacing w:line="4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（三）甲方对其本协议项下的权利与义务的行使情况，不能成为甲方承担不利后果的理由，乙方不得据此要求甲方承担责任或要求据此减轻乙方责任。</w:t>
      </w:r>
    </w:p>
    <w:p w14:paraId="279FFC31">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二、乙方权利与责任</w:t>
      </w:r>
    </w:p>
    <w:p w14:paraId="40D3E062">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1、乙方须具备相关行业经营资质，具备法律法规和国家标准、行业标准规定的安全生产条件；乙方应主动项甲方提供安全、经营相关资质等证明文件，以便甲方审查。</w:t>
      </w:r>
    </w:p>
    <w:p w14:paraId="6C2FFF1B">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2、乙方须严格执行国家有关法律、法规，遵守甲方制定的相关方安全管理规定及其他相关安全管理规定。违反甲方港区安全管理规定的，甲方有权按照相关管理规定进行安全考核。  </w:t>
      </w:r>
    </w:p>
    <w:p w14:paraId="59DFC7EF">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3、乙方须全面负责乙方在港作业的安全生产职责，配备相应的专(兼)职安全管理人员，对乙方作业人员的安全生产实施安全管理和督查。</w:t>
      </w:r>
    </w:p>
    <w:p w14:paraId="3A87E41C">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4、乙方进入甲方单位前，应根据甲方要求办理人员、车辆机械入港审批，所有进港作业人员、车辆机械出入自觉接受门卫检查、登记。 </w:t>
      </w:r>
    </w:p>
    <w:p w14:paraId="6B8F6FAD">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5、乙方须依法为作业人员提供合格有效劳动防护用品，并监督、教育其正确佩戴和使用。</w:t>
      </w:r>
    </w:p>
    <w:p w14:paraId="1716C014">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6、乙方须对从业人员进行入港作业前的安全生产教育培训，使作业人员熟悉甲方港区各项安全管理规定，确保作业安全。</w:t>
      </w:r>
    </w:p>
    <w:p w14:paraId="39C97F7C">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的作业人员在港作业时应戴好安全帽、穿好反光背心，不准穿拖鞋，不准在港区乱停车辆，应听从甲方现场管理人员统一指挥。严禁酒后进入港区作业，严禁带与生产无关人员进入港区；乙方要根据甲方环保工作要求，做好港区环境卫生，避免出现污染港区环境事件，如有影响港区环保卫生的要及时采取措施。</w:t>
      </w:r>
    </w:p>
    <w:p w14:paraId="33F6DFF6">
      <w:pPr>
        <w:spacing w:line="480" w:lineRule="exact"/>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的作业车辆、人员在进入港区后，应在指定位置、区域内活动，严禁在港区吸烟，严禁将烟头扔出车外；港区消防设施、电源开关的周边地点不准乱停，避免发生堵塞情况；港区消防器材不准移动，无火险不使用。严禁携带易燃易爆物品进入港区。</w:t>
      </w:r>
    </w:p>
    <w:p w14:paraId="62B28DA5">
      <w:pPr>
        <w:spacing w:line="480" w:lineRule="exact"/>
        <w:ind w:firstLine="5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作业人员严禁携带走私物品和非法违禁物品进入港区，如需登临外轮或进入口岸限制区域，必须持有边检颁发的有效证件，如违反规定，乙方需自行承担相应的法律责任，乙方违规人员将被移交边防或公安机关依法处理。</w:t>
      </w:r>
    </w:p>
    <w:p w14:paraId="25190010">
      <w:pPr>
        <w:spacing w:line="480" w:lineRule="exact"/>
        <w:ind w:firstLine="5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10、乙方须按规定报告生产安全事故、环保事件，及时开展事故抢险救援，并妥善处理事故善后工作。</w:t>
      </w:r>
    </w:p>
    <w:p w14:paraId="5EA97CDA">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履职服务过程中的安全管理和风险由乙方承担，发生的人身、财产等事故由乙方负责，由此给甲方造成的损失由乙方负责赔偿，若甲方因该事故被上级公司安全考核的，乙方需承担甲方因安全考核遭受的经济损失。</w:t>
      </w:r>
    </w:p>
    <w:p w14:paraId="047500E6">
      <w:pPr>
        <w:spacing w:after="120"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12、乙方应遵守道路交通管理有关规定，并确保入港人员无前科及劣迹，对安全素质差、不服从安全管理的人员按甲方要求限期或立即退场。严禁无关、酒后人员进入港区。</w:t>
      </w:r>
    </w:p>
    <w:p w14:paraId="2633FB9D">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13、乙方确认乙方人员所涉本协议项下的行为，视为乙方行为，其法律效果由乙方承担。</w:t>
      </w:r>
    </w:p>
    <w:p w14:paraId="59AE7A13">
      <w:pPr>
        <w:spacing w:line="4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三、履约保证金的相关说明</w:t>
      </w:r>
    </w:p>
    <w:p w14:paraId="18936608">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（一）履约保证金的缴纳</w:t>
      </w:r>
    </w:p>
    <w:p w14:paraId="628C9914">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乙方未缴纳履约保证金的，若乙方在甲方港区内发生违章，乙方须按照甲方的相关安全管理规定，签收《</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违章行为处理决定书》，并于7个工作日内缴纳违章考核金额，若未及时缴纳的，甲方有权停止乙方在港一切活动。</w:t>
      </w:r>
    </w:p>
    <w:p w14:paraId="13BABC8F">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color w:val="auto"/>
          <w:sz w:val="21"/>
          <w:szCs w:val="21"/>
          <w:highlight w:val="none"/>
        </w:rPr>
        <w:t>四</w:t>
      </w:r>
      <w:r>
        <w:rPr>
          <w:rFonts w:hint="eastAsia" w:asciiTheme="minorEastAsia" w:hAnsiTheme="minorEastAsia" w:eastAsiaTheme="minorEastAsia" w:cstheme="minorEastAsia"/>
          <w:b/>
          <w:bCs/>
          <w:color w:val="auto"/>
          <w:sz w:val="21"/>
          <w:szCs w:val="21"/>
          <w:highlight w:val="none"/>
        </w:rPr>
        <w:t>、事故处理</w:t>
      </w:r>
    </w:p>
    <w:p w14:paraId="19CEE81F">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（一）因乙方未按甲方要求，或未尽乙方自身职责疏于管理，发生安全事故的，乙方须承担事故全部责任，并负责赔偿和善后处置工作。</w:t>
      </w:r>
    </w:p>
    <w:p w14:paraId="1332FDF5">
      <w:pPr>
        <w:spacing w:line="4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（二）如乙方安全管理不善，事故防范措施落实不力，事故、违章行为频发，甲方有权提前解除服务合同或要求乙方限期更换相关人员，由此产生的后果与责任均由乙方自行处理并负责。</w:t>
      </w:r>
    </w:p>
    <w:p w14:paraId="407B76A6">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五、本协议有效期与甲乙双方签订的主合同一致，无主合同的，在签署当年有效。</w:t>
      </w:r>
    </w:p>
    <w:p w14:paraId="089F036D">
      <w:pPr>
        <w:spacing w:line="4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六、在执行本协议过程中产生的或与本协议有关的争议及分歧，双方应通过友好协商解决，无法达成共识时，任何一方有权向甲方所在地人民法院起诉。</w:t>
      </w:r>
    </w:p>
    <w:p w14:paraId="64F72336">
      <w:pPr>
        <w:spacing w:line="4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七、本协议</w:t>
      </w:r>
      <w:r>
        <w:rPr>
          <w:rFonts w:hint="eastAsia" w:asciiTheme="minorEastAsia" w:hAnsiTheme="minorEastAsia" w:eastAsiaTheme="minorEastAsia" w:cstheme="minorEastAsia"/>
          <w:b/>
          <w:color w:val="auto"/>
          <w:sz w:val="21"/>
          <w:szCs w:val="21"/>
          <w:highlight w:val="none"/>
          <w:lang w:val="en-US" w:eastAsia="zh-CN"/>
        </w:rPr>
        <w:t>壹</w:t>
      </w:r>
      <w:r>
        <w:rPr>
          <w:rFonts w:hint="eastAsia" w:asciiTheme="minorEastAsia" w:hAnsiTheme="minorEastAsia" w:eastAsiaTheme="minorEastAsia" w:cstheme="minorEastAsia"/>
          <w:b/>
          <w:color w:val="auto"/>
          <w:sz w:val="21"/>
          <w:szCs w:val="21"/>
          <w:highlight w:val="none"/>
        </w:rPr>
        <w:t>式</w:t>
      </w:r>
      <w:r>
        <w:rPr>
          <w:rFonts w:hint="eastAsia" w:asciiTheme="minorEastAsia" w:hAnsiTheme="minorEastAsia" w:eastAsiaTheme="minorEastAsia" w:cstheme="minorEastAsia"/>
          <w:b/>
          <w:color w:val="auto"/>
          <w:sz w:val="21"/>
          <w:szCs w:val="21"/>
          <w:highlight w:val="none"/>
          <w:lang w:val="en-US" w:eastAsia="zh-CN"/>
        </w:rPr>
        <w:t>肆</w:t>
      </w:r>
      <w:r>
        <w:rPr>
          <w:rFonts w:hint="eastAsia" w:asciiTheme="minorEastAsia" w:hAnsiTheme="minorEastAsia" w:eastAsiaTheme="minorEastAsia" w:cstheme="minorEastAsia"/>
          <w:b/>
          <w:color w:val="auto"/>
          <w:sz w:val="21"/>
          <w:szCs w:val="21"/>
          <w:highlight w:val="none"/>
        </w:rPr>
        <w:t>份，甲、乙双方各执</w:t>
      </w:r>
      <w:r>
        <w:rPr>
          <w:rFonts w:hint="eastAsia" w:asciiTheme="minorEastAsia" w:hAnsiTheme="minorEastAsia" w:eastAsiaTheme="minorEastAsia" w:cstheme="minorEastAsia"/>
          <w:b/>
          <w:color w:val="auto"/>
          <w:sz w:val="21"/>
          <w:szCs w:val="21"/>
          <w:highlight w:val="none"/>
          <w:lang w:val="en-US" w:eastAsia="zh-CN"/>
        </w:rPr>
        <w:t>贰</w:t>
      </w:r>
      <w:r>
        <w:rPr>
          <w:rFonts w:hint="eastAsia" w:asciiTheme="minorEastAsia" w:hAnsiTheme="minorEastAsia" w:eastAsiaTheme="minorEastAsia" w:cstheme="minorEastAsia"/>
          <w:b/>
          <w:color w:val="auto"/>
          <w:sz w:val="21"/>
          <w:szCs w:val="21"/>
          <w:highlight w:val="none"/>
        </w:rPr>
        <w:t>份。</w:t>
      </w:r>
    </w:p>
    <w:p w14:paraId="7ABCC9B3">
      <w:pPr>
        <w:spacing w:line="500" w:lineRule="exact"/>
        <w:ind w:firstLine="422" w:firstLineChars="200"/>
        <w:rPr>
          <w:rFonts w:hint="eastAsia" w:asciiTheme="minorEastAsia" w:hAnsiTheme="minorEastAsia" w:eastAsiaTheme="minorEastAsia" w:cstheme="minorEastAsia"/>
          <w:b/>
          <w:color w:val="auto"/>
          <w:sz w:val="21"/>
          <w:szCs w:val="21"/>
          <w:highlight w:val="none"/>
        </w:rPr>
      </w:pPr>
    </w:p>
    <w:p w14:paraId="2F2574B1">
      <w:pPr>
        <w:spacing w:line="5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w:t>
      </w:r>
    </w:p>
    <w:p w14:paraId="6E5BC24B">
      <w:pPr>
        <w:spacing w:line="500" w:lineRule="exact"/>
        <w:rPr>
          <w:rFonts w:hint="eastAsia" w:asciiTheme="minorEastAsia" w:hAnsiTheme="minorEastAsia" w:eastAsiaTheme="minorEastAsia" w:cstheme="minorEastAsia"/>
          <w:color w:val="auto"/>
          <w:sz w:val="21"/>
          <w:szCs w:val="21"/>
          <w:highlight w:val="none"/>
        </w:rPr>
      </w:pPr>
    </w:p>
    <w:p w14:paraId="52296370">
      <w:pPr>
        <w:spacing w:line="500" w:lineRule="exact"/>
        <w:rPr>
          <w:rFonts w:hint="eastAsia" w:asciiTheme="minorEastAsia" w:hAnsiTheme="minorEastAsia" w:eastAsiaTheme="minorEastAsia" w:cstheme="minorEastAsia"/>
          <w:color w:val="auto"/>
          <w:sz w:val="21"/>
          <w:szCs w:val="21"/>
          <w:highlight w:val="none"/>
        </w:rPr>
      </w:pPr>
    </w:p>
    <w:p w14:paraId="0A298A6B">
      <w:pPr>
        <w:spacing w:line="500" w:lineRule="exact"/>
        <w:rPr>
          <w:rFonts w:hint="eastAsia" w:asciiTheme="minorEastAsia" w:hAnsiTheme="minorEastAsia" w:eastAsiaTheme="minorEastAsia" w:cstheme="minorEastAsia"/>
          <w:color w:val="auto"/>
          <w:sz w:val="21"/>
          <w:szCs w:val="21"/>
          <w:highlight w:val="none"/>
        </w:rPr>
      </w:pPr>
    </w:p>
    <w:p w14:paraId="0A5B52D2">
      <w:pPr>
        <w:spacing w:line="5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甲方代表（签字）：                        乙方代表（签字）：</w:t>
      </w:r>
    </w:p>
    <w:p w14:paraId="3735EAC1">
      <w:pPr>
        <w:tabs>
          <w:tab w:val="right" w:pos="7186"/>
        </w:tabs>
        <w:spacing w:line="500" w:lineRule="exact"/>
        <w:ind w:right="1120"/>
        <w:rPr>
          <w:rFonts w:hint="eastAsia" w:asciiTheme="minorEastAsia" w:hAnsiTheme="minorEastAsia" w:eastAsiaTheme="minorEastAsia" w:cstheme="minorEastAsia"/>
          <w:color w:val="auto"/>
          <w:sz w:val="21"/>
          <w:szCs w:val="21"/>
          <w:highlight w:val="none"/>
        </w:rPr>
      </w:pPr>
    </w:p>
    <w:p w14:paraId="148D66E5">
      <w:pPr>
        <w:tabs>
          <w:tab w:val="right" w:pos="7186"/>
        </w:tabs>
        <w:spacing w:line="500" w:lineRule="exact"/>
        <w:ind w:right="1120"/>
        <w:rPr>
          <w:rFonts w:hint="eastAsia" w:asciiTheme="minorEastAsia" w:hAnsiTheme="minorEastAsia" w:eastAsiaTheme="minorEastAsia" w:cstheme="minorEastAsia"/>
          <w:color w:val="auto"/>
          <w:sz w:val="21"/>
          <w:szCs w:val="21"/>
          <w:highlight w:val="none"/>
        </w:rPr>
      </w:pPr>
    </w:p>
    <w:p w14:paraId="62709A48">
      <w:pPr>
        <w:tabs>
          <w:tab w:val="right" w:pos="7186"/>
        </w:tabs>
        <w:spacing w:line="500" w:lineRule="exact"/>
        <w:ind w:right="1120"/>
        <w:rPr>
          <w:rFonts w:hint="eastAsia" w:asciiTheme="minorEastAsia" w:hAnsiTheme="minorEastAsia" w:eastAsiaTheme="minorEastAsia" w:cstheme="minorEastAsia"/>
          <w:color w:val="auto"/>
          <w:sz w:val="21"/>
          <w:szCs w:val="21"/>
          <w:highlight w:val="none"/>
        </w:rPr>
      </w:pPr>
    </w:p>
    <w:p w14:paraId="6A35CB33">
      <w:pPr>
        <w:tabs>
          <w:tab w:val="right" w:pos="7186"/>
        </w:tabs>
        <w:spacing w:line="500" w:lineRule="exact"/>
        <w:ind w:right="40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签订时间：   年   月   日</w:t>
      </w:r>
    </w:p>
    <w:p w14:paraId="66A3FFFF">
      <w:pPr>
        <w:tabs>
          <w:tab w:val="right" w:pos="7186"/>
        </w:tabs>
        <w:spacing w:line="42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134DA9B0">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Cs w:val="21"/>
          <w:highlight w:val="none"/>
        </w:rPr>
        <w:br w:type="page"/>
      </w:r>
      <w:r>
        <w:rPr>
          <w:rFonts w:hint="eastAsia" w:asciiTheme="minorEastAsia" w:hAnsiTheme="minorEastAsia" w:eastAsiaTheme="minorEastAsia" w:cstheme="minorEastAsia"/>
          <w:b/>
          <w:color w:val="auto"/>
          <w:sz w:val="28"/>
          <w:szCs w:val="28"/>
          <w:highlight w:val="none"/>
        </w:rPr>
        <w:t>附件3：</w:t>
      </w:r>
    </w:p>
    <w:p w14:paraId="2BBD83F3">
      <w:pPr>
        <w:spacing w:line="50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环境保护管理协议</w:t>
      </w:r>
    </w:p>
    <w:p w14:paraId="3D0C59BD">
      <w:pPr>
        <w:spacing w:line="3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（以下简称甲方）</w:t>
      </w:r>
    </w:p>
    <w:p w14:paraId="6B63357E">
      <w:pPr>
        <w:spacing w:line="380" w:lineRule="exact"/>
        <w:jc w:val="left"/>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（以下简称乙方）</w:t>
      </w:r>
    </w:p>
    <w:p w14:paraId="01ECB4E6">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保护环境，实现国家和企业可持续发展的根本保证，降低资源的耗能，改善生态环境。根据国家《环境保护法》、《大气污染防治法》、《环境噪声污染防治法》、《固体废物污染环境防治法》等有关法律法规，服从行业管理，接受有关单位监督检查，经甲乙双方平等协商一致，签订本协议，望双方共同遵守。</w:t>
      </w:r>
    </w:p>
    <w:p w14:paraId="6E7FBB3B">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一、甲方责任和权利</w:t>
      </w:r>
    </w:p>
    <w:p w14:paraId="0983BA79">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（一）甲方依据国家《环境保护法》等有关环境保护的法律、法规，可定期、不定期对所辖区域进行环保检查。</w:t>
      </w:r>
    </w:p>
    <w:p w14:paraId="50347855">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（二）对乙方环保管理工作不到位的，甲方可要求乙方立刻或限期落实环保防范措施；情节严重经甲方认定的可单方解除与乙方的业务合作协议。</w:t>
      </w:r>
    </w:p>
    <w:p w14:paraId="64CA3018">
      <w:pPr>
        <w:spacing w:line="38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（三）甲方对其本协议项下的权利与义务的行使情况，不能成为甲方承担不利后果的理由，乙方不得据此要求甲方承担责任或要求据此减轻乙方责任。</w:t>
      </w:r>
    </w:p>
    <w:p w14:paraId="3202EA16">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二、乙方责任和权利</w:t>
      </w:r>
    </w:p>
    <w:p w14:paraId="0F9A5623">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1、乙方应按照《中华人民共和国环境保护法》全面负责承包范围内环境保护职责，对承包作业的工艺流程实施环保管理和督查。落实生产作业过程中的环境保护措施，做好相关环保工作。</w:t>
      </w:r>
    </w:p>
    <w:p w14:paraId="136D17F3">
      <w:pPr>
        <w:autoSpaceDE w:val="0"/>
        <w:autoSpaceDN w:val="0"/>
        <w:adjustRightInd w:val="0"/>
        <w:spacing w:line="380"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2、乙方应落实环保和卫生管控目标：无一般及以上环境污染事件；无一般及以上公共卫生事件；无职业病病例。</w:t>
      </w:r>
    </w:p>
    <w:p w14:paraId="10DF78B8">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3、乙方应遵守国家有关环境保护法律法规和甲方有关规章制度，服从甲方人员全口径管理。</w:t>
      </w:r>
    </w:p>
    <w:p w14:paraId="4B60944C">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4、乙方应乙方人员配备符合国家标准的劳保用品，并督促正确穿戴，保障工作人员的安全与健康。</w:t>
      </w:r>
    </w:p>
    <w:p w14:paraId="24A20C7A">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5、乙方应对作业现场的环境保护工作进行监管。对上级监管单位或甲方签发的关于环境保护的隐患整改通知书，乙方应做到认真整改，及时书面反馈整改情况。</w:t>
      </w:r>
    </w:p>
    <w:p w14:paraId="06CD5431">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6、乙方应对工作中可能产生的废气、噪音、粉尘等加以有效地控制，对于进入甲方所辖生产作业区内的机械车辆应尽可能地控制废气、粉尘，产生噪音，以降低对环境的污染。</w:t>
      </w:r>
    </w:p>
    <w:p w14:paraId="15250281">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7、乙方应合理地使用日常资源（如水、电、气等），人离开关（阀门）关闭的良好习惯，做到既节约能源、又确保安全。</w:t>
      </w:r>
    </w:p>
    <w:p w14:paraId="18BC638B">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8、乙方应尽量减少污水的产生，并合法、恰当、合理地处理日常污水的排放。</w:t>
      </w:r>
    </w:p>
    <w:p w14:paraId="3A2ADDB6">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9、乙方应有义务积极参与甲方的各种环保应急工作。</w:t>
      </w:r>
    </w:p>
    <w:p w14:paraId="149F0019">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10、乙方确认乙方人员所涉本协议项下的行为，视为乙方行为，其法律效果由乙方承担。</w:t>
      </w:r>
    </w:p>
    <w:p w14:paraId="4A2A9E79">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三、事故处理</w:t>
      </w:r>
    </w:p>
    <w:p w14:paraId="3A81D31A">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1、因乙方未按甲方要求，或未尽乙方自身职责疏于管理及违章违法作业，发生环境保护事故的，乙方要承担方事故全部责任。若甲方因该事故被上级公司处罚的，乙方需承担甲方因处罚遭受的经济损失。</w:t>
      </w:r>
    </w:p>
    <w:p w14:paraId="2F83465E">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2、如乙方环境保护管理不善，事故防范措施落实不力，事故、违章行为频发，甲方有权提前解除服务合同或要求乙方限期更换相关人员，由此产生的后果与责任均由乙方自行处理并负责。</w:t>
      </w:r>
    </w:p>
    <w:p w14:paraId="340A1A01">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四、本协议各项规定适用于协议双方，如遇有同国家和政府有关法律、法规不符的按国家和政府的有关规定执行。</w:t>
      </w:r>
    </w:p>
    <w:p w14:paraId="1E9958E5">
      <w:pPr>
        <w:spacing w:line="380" w:lineRule="exact"/>
        <w:ind w:firstLine="422" w:firstLineChars="200"/>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bCs/>
          <w:color w:val="auto"/>
          <w:sz w:val="21"/>
          <w:szCs w:val="21"/>
          <w:highlight w:val="none"/>
        </w:rPr>
        <w:t>五、在执行本协议过程中产生的或与本协议有关的争议及分歧，参照主合同有关争议解决的方式执行。</w:t>
      </w:r>
    </w:p>
    <w:p w14:paraId="75C8D851">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六、本协议履行期与甲乙双方签订的主合同一致，无主合同的，在签署当年有效。</w:t>
      </w:r>
    </w:p>
    <w:p w14:paraId="5E092EFB">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七、本协议壹式</w:t>
      </w:r>
      <w:r>
        <w:rPr>
          <w:rFonts w:hint="eastAsia" w:asciiTheme="minorEastAsia" w:hAnsiTheme="minorEastAsia" w:eastAsiaTheme="minorEastAsia" w:cstheme="minorEastAsia"/>
          <w:b/>
          <w:bCs/>
          <w:color w:val="auto"/>
          <w:sz w:val="21"/>
          <w:szCs w:val="21"/>
          <w:highlight w:val="none"/>
          <w:lang w:val="en-US" w:eastAsia="zh-CN"/>
        </w:rPr>
        <w:t>肆</w:t>
      </w:r>
      <w:r>
        <w:rPr>
          <w:rFonts w:hint="eastAsia" w:asciiTheme="minorEastAsia" w:hAnsiTheme="minorEastAsia" w:eastAsiaTheme="minorEastAsia" w:cstheme="minorEastAsia"/>
          <w:b/>
          <w:bCs/>
          <w:color w:val="auto"/>
          <w:sz w:val="21"/>
          <w:szCs w:val="21"/>
          <w:highlight w:val="none"/>
        </w:rPr>
        <w:t>份，甲、乙双方各执</w:t>
      </w:r>
      <w:r>
        <w:rPr>
          <w:rFonts w:hint="eastAsia" w:asciiTheme="minorEastAsia" w:hAnsiTheme="minorEastAsia" w:eastAsiaTheme="minorEastAsia" w:cstheme="minorEastAsia"/>
          <w:b/>
          <w:bCs/>
          <w:color w:val="auto"/>
          <w:sz w:val="21"/>
          <w:szCs w:val="21"/>
          <w:highlight w:val="none"/>
          <w:lang w:val="en-US" w:eastAsia="zh-CN"/>
        </w:rPr>
        <w:t>贰</w:t>
      </w:r>
      <w:r>
        <w:rPr>
          <w:rFonts w:hint="eastAsia" w:asciiTheme="minorEastAsia" w:hAnsiTheme="minorEastAsia" w:eastAsiaTheme="minorEastAsia" w:cstheme="minorEastAsia"/>
          <w:b/>
          <w:bCs/>
          <w:color w:val="auto"/>
          <w:sz w:val="21"/>
          <w:szCs w:val="21"/>
          <w:highlight w:val="none"/>
        </w:rPr>
        <w:t>份，具有同等法律效力。</w:t>
      </w:r>
    </w:p>
    <w:p w14:paraId="4D39C9D5">
      <w:pPr>
        <w:spacing w:line="280" w:lineRule="exact"/>
        <w:rPr>
          <w:rFonts w:hint="eastAsia" w:asciiTheme="minorEastAsia" w:hAnsiTheme="minorEastAsia" w:eastAsiaTheme="minorEastAsia" w:cstheme="minorEastAsia"/>
          <w:b/>
          <w:color w:val="auto"/>
          <w:sz w:val="21"/>
          <w:szCs w:val="21"/>
          <w:highlight w:val="none"/>
        </w:rPr>
      </w:pPr>
    </w:p>
    <w:p w14:paraId="6A1988A8">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w:t>
      </w:r>
    </w:p>
    <w:p w14:paraId="018E9A18">
      <w:pPr>
        <w:spacing w:line="280" w:lineRule="exact"/>
        <w:rPr>
          <w:rFonts w:hint="eastAsia" w:asciiTheme="minorEastAsia" w:hAnsiTheme="minorEastAsia" w:eastAsiaTheme="minorEastAsia" w:cstheme="minorEastAsia"/>
          <w:color w:val="auto"/>
          <w:sz w:val="21"/>
          <w:szCs w:val="21"/>
          <w:highlight w:val="none"/>
        </w:rPr>
      </w:pPr>
    </w:p>
    <w:p w14:paraId="7D9154FA">
      <w:pPr>
        <w:spacing w:line="280" w:lineRule="exact"/>
        <w:rPr>
          <w:rFonts w:hint="eastAsia" w:asciiTheme="minorEastAsia" w:hAnsiTheme="minorEastAsia" w:eastAsiaTheme="minorEastAsia" w:cstheme="minorEastAsia"/>
          <w:color w:val="auto"/>
          <w:sz w:val="21"/>
          <w:szCs w:val="21"/>
          <w:highlight w:val="none"/>
        </w:rPr>
      </w:pPr>
    </w:p>
    <w:p w14:paraId="61777BD1">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甲方代表（签字）：                 乙方代表（签字）：</w:t>
      </w:r>
    </w:p>
    <w:p w14:paraId="285C9410">
      <w:pPr>
        <w:spacing w:line="280" w:lineRule="exact"/>
        <w:rPr>
          <w:rFonts w:hint="eastAsia" w:asciiTheme="minorEastAsia" w:hAnsiTheme="minorEastAsia" w:eastAsiaTheme="minorEastAsia" w:cstheme="minorEastAsia"/>
          <w:color w:val="auto"/>
          <w:sz w:val="21"/>
          <w:szCs w:val="21"/>
          <w:highlight w:val="none"/>
        </w:rPr>
      </w:pPr>
    </w:p>
    <w:p w14:paraId="08978201">
      <w:pPr>
        <w:spacing w:line="280" w:lineRule="exact"/>
        <w:rPr>
          <w:rFonts w:hint="eastAsia" w:asciiTheme="minorEastAsia" w:hAnsiTheme="minorEastAsia" w:eastAsiaTheme="minorEastAsia" w:cstheme="minorEastAsia"/>
          <w:color w:val="auto"/>
          <w:sz w:val="21"/>
          <w:szCs w:val="21"/>
          <w:highlight w:val="none"/>
        </w:rPr>
      </w:pPr>
    </w:p>
    <w:p w14:paraId="64D0D380">
      <w:pPr>
        <w:tabs>
          <w:tab w:val="right" w:pos="7186"/>
        </w:tabs>
        <w:spacing w:line="280" w:lineRule="exact"/>
        <w:ind w:right="112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签订时间：   年   月   日</w:t>
      </w:r>
    </w:p>
    <w:p w14:paraId="03C8BFF0">
      <w:pPr>
        <w:tabs>
          <w:tab w:val="right" w:pos="7186"/>
        </w:tabs>
        <w:spacing w:line="280" w:lineRule="exact"/>
        <w:ind w:right="1120"/>
        <w:rPr>
          <w:rFonts w:hint="eastAsia" w:asciiTheme="minorEastAsia" w:hAnsiTheme="minorEastAsia" w:eastAsiaTheme="minorEastAsia" w:cstheme="minorEastAsia"/>
          <w:color w:val="auto"/>
          <w:sz w:val="21"/>
          <w:szCs w:val="21"/>
          <w:highlight w:val="none"/>
        </w:rPr>
      </w:pPr>
    </w:p>
    <w:p w14:paraId="6F614297">
      <w:pPr>
        <w:pStyle w:val="10"/>
        <w:ind w:firstLine="210"/>
        <w:rPr>
          <w:rFonts w:hint="eastAsia" w:asciiTheme="minorEastAsia" w:hAnsiTheme="minorEastAsia" w:eastAsiaTheme="minorEastAsia" w:cstheme="minorEastAsia"/>
          <w:color w:val="auto"/>
          <w:sz w:val="21"/>
          <w:szCs w:val="21"/>
          <w:highlight w:val="none"/>
        </w:rPr>
      </w:pPr>
    </w:p>
    <w:p w14:paraId="2269D06E">
      <w:pPr>
        <w:pStyle w:val="10"/>
        <w:ind w:firstLine="210"/>
        <w:rPr>
          <w:rFonts w:hint="eastAsia" w:asciiTheme="minorEastAsia" w:hAnsiTheme="minorEastAsia" w:eastAsiaTheme="minorEastAsia" w:cstheme="minorEastAsia"/>
          <w:color w:val="auto"/>
          <w:sz w:val="21"/>
          <w:szCs w:val="21"/>
          <w:highlight w:val="none"/>
        </w:rPr>
      </w:pPr>
    </w:p>
    <w:p w14:paraId="387F0728">
      <w:pPr>
        <w:spacing w:line="440" w:lineRule="exact"/>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1"/>
          <w:szCs w:val="21"/>
          <w:highlight w:val="none"/>
        </w:rPr>
        <w:br w:type="page"/>
      </w:r>
      <w:r>
        <w:rPr>
          <w:rFonts w:hint="eastAsia" w:asciiTheme="minorEastAsia" w:hAnsiTheme="minorEastAsia" w:eastAsiaTheme="minorEastAsia" w:cstheme="minorEastAsia"/>
          <w:b/>
          <w:color w:val="auto"/>
          <w:sz w:val="28"/>
          <w:szCs w:val="28"/>
          <w:highlight w:val="none"/>
        </w:rPr>
        <w:t>附件4：</w:t>
      </w:r>
    </w:p>
    <w:p w14:paraId="54EC41C1">
      <w:pPr>
        <w:spacing w:line="500" w:lineRule="exact"/>
        <w:jc w:val="center"/>
        <w:rPr>
          <w:rFonts w:hint="eastAsia" w:asciiTheme="minorEastAsia" w:hAnsiTheme="minorEastAsia" w:eastAsiaTheme="minorEastAsia" w:cstheme="minorEastAsia"/>
          <w:b/>
          <w:color w:val="auto"/>
          <w:sz w:val="36"/>
          <w:szCs w:val="36"/>
          <w:highlight w:val="none"/>
          <w:lang w:eastAsia="zh-CN"/>
        </w:rPr>
      </w:pPr>
    </w:p>
    <w:p w14:paraId="33027D40">
      <w:pPr>
        <w:spacing w:line="50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消防安全管理协议</w:t>
      </w:r>
    </w:p>
    <w:p w14:paraId="6D9E6E69">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 xml:space="preserve">   （以下简称甲方）</w:t>
      </w:r>
    </w:p>
    <w:p w14:paraId="37D15553">
      <w:pPr>
        <w:spacing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乙方：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 xml:space="preserve">   </w:t>
      </w:r>
      <w:r>
        <w:rPr>
          <w:rFonts w:hint="eastAsia" w:asciiTheme="minorEastAsia" w:hAnsiTheme="minorEastAsia" w:eastAsiaTheme="minorEastAsia" w:cstheme="minorEastAsia"/>
          <w:color w:val="auto"/>
          <w:sz w:val="21"/>
          <w:szCs w:val="21"/>
          <w:highlight w:val="none"/>
        </w:rPr>
        <w:t>（以下简称乙方）</w:t>
      </w:r>
    </w:p>
    <w:p w14:paraId="7B6F2B07">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贯彻落实“预防为主，防消结合”方针，确保港区消防安全，杜绝与防止火灾事故的发生，根据《中华人民共和国消防法》、《中华人民共和国安全生产法》等法律法规的相关规定，经双方友好协商一致签订本协议书，具体条款如下：</w:t>
      </w:r>
    </w:p>
    <w:p w14:paraId="24297EB4">
      <w:pPr>
        <w:spacing w:line="40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一、甲方的权利和责任</w:t>
      </w:r>
    </w:p>
    <w:p w14:paraId="6E5741CA">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（一）甲方依据《中华人民共和国消防法》等相关法律规定，可定期、不定期对所辖区域进行消防检查。</w:t>
      </w:r>
    </w:p>
    <w:p w14:paraId="53E9DF4B">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（二）对乙方消防管理工作不到位的，甲方可要求乙方立刻或限期落实消防防范措施，情节严重经甲方认定的可单方解除与乙方的业务合作协议。</w:t>
      </w:r>
    </w:p>
    <w:p w14:paraId="03E515E5">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（三）甲方对其本协议项下的权利与义务的行使情况，不能成为甲方承担不利后果的理由，乙方不得据此要求甲方承担责任或要求据此减轻乙方责任。</w:t>
      </w:r>
    </w:p>
    <w:p w14:paraId="387D970B">
      <w:pPr>
        <w:spacing w:line="40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二、乙方的权利和责任</w:t>
      </w:r>
    </w:p>
    <w:p w14:paraId="5432B67A">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1、乙方应接受甲方的监督与管理，落实安全防火措施，预防火灾和遏制火灾危害，不发生火灾事故。</w:t>
      </w:r>
    </w:p>
    <w:p w14:paraId="4E2BC180">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2、乙方应对责任区域的消防安全工作负有全部责任，并制定相关措施，确保消防安全。</w:t>
      </w:r>
    </w:p>
    <w:p w14:paraId="5A0D1A70">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3、乙方应在每天下班前有专人落实消防安全检查，做到断水、断电、关窗锁门。</w:t>
      </w:r>
    </w:p>
    <w:p w14:paraId="72725BB5">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4、乙方应确保各种用电设备、仪器保持正常运转，严禁超负荷运行，严禁设备、仪器带病作业。</w:t>
      </w:r>
    </w:p>
    <w:p w14:paraId="0D8AB77F">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5、乙方应在安装和修理用电设备、仪器时，由电工或专业人员进行操作并认真检验。室内电路不准擅自变动，若因工作必须变动时，必须经甲方书面批准。</w:t>
      </w:r>
    </w:p>
    <w:p w14:paraId="6041B316">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6、乙方不准私拉电力线路，未经甲方允许，不准使用大功率电器，以防火灾。</w:t>
      </w:r>
    </w:p>
    <w:p w14:paraId="1B1659CB">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7、乙方不得超过原设备装裱容量和擅自增加用电。</w:t>
      </w:r>
    </w:p>
    <w:p w14:paraId="20F05C1E">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8、乙方对临时有需要动用明火需求的，须持相关特种作业证复印件、身份证复印件报甲方批准，在落实防范措施的情况下，方可使用。</w:t>
      </w:r>
    </w:p>
    <w:p w14:paraId="2F72AD4F">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9、乙方在使用易燃易爆及其它危险品时，必须提前向甲方申报备案，未经批准，禁止使用和存放。</w:t>
      </w:r>
    </w:p>
    <w:p w14:paraId="64EEC066">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乙方应根据实际情况配备足够的消防器材，消防器材要放置在指定地点，不准随意移动或作其他使用，不准在消防器材附近堆放任何物品。乙方要在每月对消防器材进行检查，做好检查记录，如发现失效的及时更换。</w:t>
      </w:r>
    </w:p>
    <w:p w14:paraId="7BAB39E2">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11、乙方员工要了解并掌握消防器材的性能及使用方法。</w:t>
      </w:r>
    </w:p>
    <w:p w14:paraId="080BD9C4">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12、乙方涉及改造、装修、施工，凡涉及变动原用电、用水线路及管道，或新安装线路的，应事先向甲方书面申请，并提供相关线路布置图，以备日后检查、维修。</w:t>
      </w:r>
    </w:p>
    <w:p w14:paraId="7B5A5AA9">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13、乙方应保证消防通道的畅通，严禁占用、堵塞、封闭安全出口，影响安全消防通道的正常通行。</w:t>
      </w:r>
    </w:p>
    <w:p w14:paraId="519578C5">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14、乙方应在现场作业过程中要加强对现场的监管，生产场所禁止吸烟。</w:t>
      </w:r>
    </w:p>
    <w:p w14:paraId="1F0DCA2D">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15、乙方严禁出现“三合一”情况，严禁擅自改变场所用途。</w:t>
      </w:r>
    </w:p>
    <w:p w14:paraId="1511D4C1">
      <w:pPr>
        <w:spacing w:line="4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16、乙方确认乙方人员所涉本协议项下的行为，视为乙方行为，其法律效果由乙方承担。</w:t>
      </w:r>
    </w:p>
    <w:p w14:paraId="7BEE3F04">
      <w:pPr>
        <w:spacing w:line="38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三、事故处理</w:t>
      </w:r>
    </w:p>
    <w:p w14:paraId="1C4724CE">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1、因乙方未按甲方要求，或未尽乙方自身职责疏于管理及违章违法作业，发生消防事故的，乙方要承担方事故全部责任。若甲方因该事故被上级公司处罚的，乙方需承担甲方因处罚遭受的经济损失。</w:t>
      </w:r>
    </w:p>
    <w:p w14:paraId="0AF88733">
      <w:pPr>
        <w:spacing w:line="38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2、如乙方消防管理不善，事故防范措施落实不力，事故、违章行为频发，甲方有权提前解除服务合同或要求乙方对相关人员进行解聘，由此产生的后果与责任均由乙方自行处理并负责。</w:t>
      </w:r>
    </w:p>
    <w:p w14:paraId="4ED9ED99">
      <w:pPr>
        <w:spacing w:line="38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四、本协议各项规定适用于协议双方，如遇有同国家和政府有关法律、法规不符的按国家和政府的有关规定执行。</w:t>
      </w:r>
    </w:p>
    <w:p w14:paraId="21A6A80D">
      <w:pPr>
        <w:spacing w:line="400" w:lineRule="exact"/>
        <w:ind w:firstLine="422" w:firstLineChars="200"/>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五、本协议履行期与甲乙双方签订的主合同一致，无主合同的，在签署当年有效。</w:t>
      </w:r>
    </w:p>
    <w:p w14:paraId="1877E382">
      <w:pPr>
        <w:spacing w:line="4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bCs/>
          <w:color w:val="auto"/>
          <w:sz w:val="21"/>
          <w:szCs w:val="21"/>
          <w:highlight w:val="none"/>
        </w:rPr>
        <w:t>六、本</w:t>
      </w:r>
      <w:r>
        <w:rPr>
          <w:rFonts w:hint="eastAsia" w:asciiTheme="minorEastAsia" w:hAnsiTheme="minorEastAsia" w:eastAsiaTheme="minorEastAsia" w:cstheme="minorEastAsia"/>
          <w:b/>
          <w:color w:val="auto"/>
          <w:sz w:val="21"/>
          <w:szCs w:val="21"/>
          <w:highlight w:val="none"/>
        </w:rPr>
        <w:t>协议书壹式</w:t>
      </w:r>
      <w:r>
        <w:rPr>
          <w:rFonts w:hint="eastAsia" w:asciiTheme="minorEastAsia" w:hAnsiTheme="minorEastAsia" w:eastAsiaTheme="minorEastAsia" w:cstheme="minorEastAsia"/>
          <w:b/>
          <w:color w:val="auto"/>
          <w:sz w:val="21"/>
          <w:szCs w:val="21"/>
          <w:highlight w:val="none"/>
          <w:lang w:val="en-US" w:eastAsia="zh-CN"/>
        </w:rPr>
        <w:t>肆</w:t>
      </w:r>
      <w:r>
        <w:rPr>
          <w:rFonts w:hint="eastAsia" w:asciiTheme="minorEastAsia" w:hAnsiTheme="minorEastAsia" w:eastAsiaTheme="minorEastAsia" w:cstheme="minorEastAsia"/>
          <w:b/>
          <w:color w:val="auto"/>
          <w:sz w:val="21"/>
          <w:szCs w:val="21"/>
          <w:highlight w:val="none"/>
        </w:rPr>
        <w:t>份，甲、乙双方各执</w:t>
      </w:r>
      <w:r>
        <w:rPr>
          <w:rFonts w:hint="eastAsia" w:asciiTheme="minorEastAsia" w:hAnsiTheme="minorEastAsia" w:eastAsiaTheme="minorEastAsia" w:cstheme="minorEastAsia"/>
          <w:b/>
          <w:color w:val="auto"/>
          <w:sz w:val="21"/>
          <w:szCs w:val="21"/>
          <w:highlight w:val="none"/>
          <w:lang w:val="en-US" w:eastAsia="zh-CN"/>
        </w:rPr>
        <w:t>贰</w:t>
      </w:r>
      <w:r>
        <w:rPr>
          <w:rFonts w:hint="eastAsia" w:asciiTheme="minorEastAsia" w:hAnsiTheme="minorEastAsia" w:eastAsiaTheme="minorEastAsia" w:cstheme="minorEastAsia"/>
          <w:b/>
          <w:color w:val="auto"/>
          <w:sz w:val="21"/>
          <w:szCs w:val="21"/>
          <w:highlight w:val="none"/>
        </w:rPr>
        <w:t>份，具有同等法律效力。</w:t>
      </w:r>
    </w:p>
    <w:p w14:paraId="779A7CCC">
      <w:pPr>
        <w:spacing w:line="400" w:lineRule="exact"/>
        <w:ind w:firstLine="422" w:firstLineChars="200"/>
        <w:rPr>
          <w:rFonts w:hint="eastAsia" w:asciiTheme="minorEastAsia" w:hAnsiTheme="minorEastAsia" w:eastAsiaTheme="minorEastAsia" w:cstheme="minorEastAsia"/>
          <w:b/>
          <w:bCs/>
          <w:color w:val="auto"/>
          <w:sz w:val="21"/>
          <w:szCs w:val="21"/>
          <w:highlight w:val="none"/>
          <w:lang w:val="zh-CN"/>
        </w:rPr>
      </w:pPr>
      <w:r>
        <w:rPr>
          <w:rFonts w:hint="eastAsia" w:asciiTheme="minorEastAsia" w:hAnsiTheme="minorEastAsia" w:eastAsiaTheme="minorEastAsia" w:cstheme="minorEastAsia"/>
          <w:b/>
          <w:color w:val="auto"/>
          <w:sz w:val="21"/>
          <w:szCs w:val="21"/>
          <w:highlight w:val="none"/>
        </w:rPr>
        <w:t>七、</w:t>
      </w:r>
      <w:r>
        <w:rPr>
          <w:rFonts w:hint="eastAsia" w:asciiTheme="minorEastAsia" w:hAnsiTheme="minorEastAsia" w:eastAsiaTheme="minorEastAsia" w:cstheme="minorEastAsia"/>
          <w:b/>
          <w:bCs/>
          <w:color w:val="auto"/>
          <w:sz w:val="21"/>
          <w:szCs w:val="21"/>
          <w:highlight w:val="none"/>
        </w:rPr>
        <w:t>在执行本协议过程中产生的或与本协议有关的争议及分歧，参照主合同有关争议解决的方式执行。</w:t>
      </w:r>
    </w:p>
    <w:p w14:paraId="13E214F4">
      <w:pPr>
        <w:spacing w:line="400" w:lineRule="exact"/>
        <w:ind w:firstLine="422" w:firstLineChars="200"/>
        <w:rPr>
          <w:rFonts w:hint="eastAsia" w:asciiTheme="minorEastAsia" w:hAnsiTheme="minorEastAsia" w:eastAsiaTheme="minorEastAsia" w:cstheme="minorEastAsia"/>
          <w:b/>
          <w:color w:val="auto"/>
          <w:sz w:val="21"/>
          <w:szCs w:val="21"/>
          <w:highlight w:val="none"/>
        </w:rPr>
      </w:pPr>
    </w:p>
    <w:p w14:paraId="3A6E8C98">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乙方：</w:t>
      </w:r>
    </w:p>
    <w:p w14:paraId="62E6D8AD">
      <w:pPr>
        <w:spacing w:line="280" w:lineRule="exact"/>
        <w:rPr>
          <w:rFonts w:hint="eastAsia" w:asciiTheme="minorEastAsia" w:hAnsiTheme="minorEastAsia" w:eastAsiaTheme="minorEastAsia" w:cstheme="minorEastAsia"/>
          <w:color w:val="auto"/>
          <w:sz w:val="21"/>
          <w:szCs w:val="21"/>
          <w:highlight w:val="none"/>
        </w:rPr>
      </w:pPr>
    </w:p>
    <w:p w14:paraId="4FA8C145">
      <w:pPr>
        <w:spacing w:line="280" w:lineRule="exact"/>
        <w:rPr>
          <w:rFonts w:hint="eastAsia" w:asciiTheme="minorEastAsia" w:hAnsiTheme="minorEastAsia" w:eastAsiaTheme="minorEastAsia" w:cstheme="minorEastAsia"/>
          <w:color w:val="auto"/>
          <w:sz w:val="21"/>
          <w:szCs w:val="21"/>
          <w:highlight w:val="none"/>
        </w:rPr>
      </w:pPr>
    </w:p>
    <w:p w14:paraId="188DACB8">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甲方代表（签字）：                 乙方代表（签字）：</w:t>
      </w:r>
    </w:p>
    <w:p w14:paraId="3B395BF0">
      <w:pPr>
        <w:spacing w:line="280" w:lineRule="exact"/>
        <w:rPr>
          <w:rFonts w:hint="eastAsia" w:asciiTheme="minorEastAsia" w:hAnsiTheme="minorEastAsia" w:eastAsiaTheme="minorEastAsia" w:cstheme="minorEastAsia"/>
          <w:color w:val="auto"/>
          <w:sz w:val="21"/>
          <w:szCs w:val="21"/>
          <w:highlight w:val="none"/>
        </w:rPr>
      </w:pPr>
    </w:p>
    <w:p w14:paraId="41D232B1">
      <w:pPr>
        <w:spacing w:line="280" w:lineRule="exact"/>
        <w:rPr>
          <w:rFonts w:hint="eastAsia" w:asciiTheme="minorEastAsia" w:hAnsiTheme="minorEastAsia" w:eastAsiaTheme="minorEastAsia" w:cstheme="minorEastAsia"/>
          <w:color w:val="auto"/>
          <w:sz w:val="21"/>
          <w:szCs w:val="21"/>
          <w:highlight w:val="none"/>
        </w:rPr>
      </w:pPr>
    </w:p>
    <w:p w14:paraId="5410B8AB">
      <w:pPr>
        <w:pStyle w:val="10"/>
        <w:spacing w:after="0" w:line="4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color w:val="auto"/>
          <w:sz w:val="21"/>
          <w:szCs w:val="21"/>
          <w:highlight w:val="none"/>
        </w:rPr>
        <w:t>签订时间：   年   月   日</w:t>
      </w:r>
      <w:r>
        <w:rPr>
          <w:rFonts w:hint="eastAsia" w:asciiTheme="minorEastAsia" w:hAnsiTheme="minorEastAsia" w:eastAsiaTheme="minorEastAsia" w:cstheme="minorEastAsia"/>
          <w:color w:val="auto"/>
          <w:sz w:val="21"/>
          <w:szCs w:val="21"/>
          <w:highlight w:val="none"/>
        </w:rPr>
        <w:t xml:space="preserve"> </w:t>
      </w:r>
    </w:p>
    <w:p w14:paraId="4475CB6B">
      <w:pPr>
        <w:pStyle w:val="10"/>
        <w:ind w:firstLine="240"/>
        <w:rPr>
          <w:rFonts w:hint="eastAsia" w:asciiTheme="minorEastAsia" w:hAnsiTheme="minorEastAsia" w:eastAsiaTheme="minorEastAsia" w:cstheme="minorEastAsia"/>
          <w:color w:val="auto"/>
          <w:sz w:val="21"/>
          <w:szCs w:val="21"/>
          <w:highlight w:val="none"/>
        </w:rPr>
      </w:pPr>
    </w:p>
    <w:p w14:paraId="73FC5C9F">
      <w:pPr>
        <w:pStyle w:val="10"/>
        <w:ind w:firstLine="240"/>
        <w:rPr>
          <w:rFonts w:hint="eastAsia" w:asciiTheme="minorEastAsia" w:hAnsiTheme="minorEastAsia" w:eastAsiaTheme="minorEastAsia" w:cstheme="minorEastAsia"/>
          <w:color w:val="auto"/>
          <w:sz w:val="21"/>
          <w:szCs w:val="21"/>
          <w:highlight w:val="none"/>
        </w:rPr>
      </w:pPr>
    </w:p>
    <w:p w14:paraId="02D7EB8A">
      <w:pPr>
        <w:pStyle w:val="10"/>
        <w:ind w:firstLine="240"/>
        <w:rPr>
          <w:rFonts w:hint="eastAsia" w:asciiTheme="minorEastAsia" w:hAnsiTheme="minorEastAsia" w:eastAsiaTheme="minorEastAsia" w:cstheme="minorEastAsia"/>
          <w:color w:val="auto"/>
          <w:sz w:val="24"/>
          <w:highlight w:val="none"/>
        </w:rPr>
      </w:pPr>
    </w:p>
    <w:p w14:paraId="2A9D6075">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附件5：</w:t>
      </w:r>
    </w:p>
    <w:p w14:paraId="0C598DF6">
      <w:pPr>
        <w:spacing w:line="480" w:lineRule="exact"/>
        <w:jc w:val="center"/>
        <w:rPr>
          <w:rFonts w:hint="eastAsia" w:asciiTheme="minorEastAsia" w:hAnsiTheme="minorEastAsia" w:eastAsiaTheme="minorEastAsia" w:cstheme="minorEastAsia"/>
          <w:b/>
          <w:color w:val="auto"/>
          <w:sz w:val="36"/>
          <w:szCs w:val="36"/>
          <w:highlight w:val="none"/>
          <w:lang w:eastAsia="zh-CN"/>
        </w:rPr>
      </w:pPr>
    </w:p>
    <w:p w14:paraId="60F13A4B">
      <w:pPr>
        <w:spacing w:line="480" w:lineRule="exact"/>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相关方入港安全告知书</w:t>
      </w:r>
    </w:p>
    <w:p w14:paraId="16FA35B3">
      <w:pPr>
        <w:spacing w:line="480" w:lineRule="exact"/>
        <w:jc w:val="center"/>
        <w:rPr>
          <w:rFonts w:hint="eastAsia" w:asciiTheme="minorEastAsia" w:hAnsiTheme="minorEastAsia" w:eastAsiaTheme="minorEastAsia" w:cstheme="minorEastAsia"/>
          <w:b/>
          <w:color w:val="auto"/>
          <w:sz w:val="28"/>
          <w:szCs w:val="28"/>
          <w:highlight w:val="none"/>
        </w:rPr>
      </w:pPr>
    </w:p>
    <w:p w14:paraId="2A08B480">
      <w:pPr>
        <w:spacing w:line="500" w:lineRule="exact"/>
        <w:ind w:firstLine="67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为了构建良好的作业环境，保障港口生产作业的顺利进行，同时为了您的安全，请您在进入港区前仔细阅读本“安全告知书”，并严格遵守。</w:t>
      </w:r>
    </w:p>
    <w:p w14:paraId="46A3D8DD">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一、严格遵守国家相关法律、法规，遵守本港区安全生产规章制度，服从港方人员指挥、管理。</w:t>
      </w:r>
    </w:p>
    <w:p w14:paraId="612A6B3F">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二、外来车辆、人员管理规定</w:t>
      </w:r>
    </w:p>
    <w:p w14:paraId="5822F329">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外来人员进入港区时必须向门卫主动出示有效证件或相关进港凭证，接受门卫检查、登记，确认后由港内对接人员引领方可入内。进入港区人员必须自备并正确穿戴安全帽和荧光警示服及其他劳动防护用品，做好个人防护。</w:t>
      </w:r>
    </w:p>
    <w:p w14:paraId="5E839621">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（2）外来人员在进入生产区前了解港区行车路线、安全规程及劳动纪律和其它安全规定并严格遵守。港区内禁止吸烟，不得撑伞。 </w:t>
      </w:r>
    </w:p>
    <w:p w14:paraId="211D2EB1">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外来机动车辆必须办理来访车辆申请单后方可进入生产区，进入港区要遵守公司相关规定，严禁违停、超速行驶，港区直行限速为30公里/小时，转弯限速为5公里/小时，与本港车辆交汇需让行。外来摩托车、出租车、非机动车不得进入港区。</w:t>
      </w:r>
    </w:p>
    <w:p w14:paraId="222957D2">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（4）外来人员进入港区必须沿港区黄色人行斑马线行走。作业人员要杜绝违章作业，并服从公司安全管理人员的监督检查。</w:t>
      </w:r>
    </w:p>
    <w:p w14:paraId="0BA0AD83">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（5）外来车辆、外来人员只准在规定的区域内作业，不能随处乱走，禁止乱动与作业无关的设备、阀门、仪表、电气和开关等。车上人员非必要不下车。</w:t>
      </w:r>
    </w:p>
    <w:p w14:paraId="207AE0AE">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（6）外来人员携带物品、器具等出港必须出具有效的出门单方可出港。</w:t>
      </w:r>
    </w:p>
    <w:p w14:paraId="2BE57910">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三、作业单位管理规定</w:t>
      </w:r>
    </w:p>
    <w:p w14:paraId="016C1DD2">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（1）相关方作业单位应设立现场安全专管人员具体负责现场安全管理工作。</w:t>
      </w:r>
      <w:r>
        <w:rPr>
          <w:rFonts w:hint="eastAsia" w:asciiTheme="minorEastAsia" w:hAnsiTheme="minorEastAsia" w:eastAsiaTheme="minorEastAsia" w:cstheme="minorEastAsia"/>
          <w:bCs/>
          <w:color w:val="auto"/>
          <w:sz w:val="21"/>
          <w:szCs w:val="21"/>
          <w:highlight w:val="none"/>
        </w:rPr>
        <w:t>2米以上高空作业、临水作业或有限空间作业时，应提前向甲方报备，做好现场安全防护措施，严禁私自作业；</w:t>
      </w:r>
      <w:r>
        <w:rPr>
          <w:rFonts w:hint="eastAsia" w:asciiTheme="minorEastAsia" w:hAnsiTheme="minorEastAsia" w:eastAsiaTheme="minorEastAsia" w:cstheme="minorEastAsia"/>
          <w:color w:val="auto"/>
          <w:sz w:val="21"/>
          <w:szCs w:val="21"/>
          <w:highlight w:val="none"/>
        </w:rPr>
        <w:t>相关方作业人员严禁进入港区机械设备作业区域8米范围内，严禁人机混合作业。</w:t>
      </w:r>
    </w:p>
    <w:p w14:paraId="67E5F58C">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（2）在港区内施工如需动火作业的，必须先向公司相关归口部门申请办理动火许可，按照有关制度执行</w:t>
      </w:r>
      <w:r>
        <w:rPr>
          <w:rFonts w:hint="eastAsia" w:asciiTheme="minorEastAsia" w:hAnsiTheme="minorEastAsia" w:eastAsiaTheme="minorEastAsia" w:cstheme="minorEastAsia"/>
          <w:bCs/>
          <w:color w:val="auto"/>
          <w:sz w:val="21"/>
          <w:szCs w:val="21"/>
          <w:highlight w:val="none"/>
        </w:rPr>
        <w:t>，做好安全防护措施，动火作业人员必须持有效证件进行作业，动火作业现场应由专人进行监管。</w:t>
      </w:r>
    </w:p>
    <w:p w14:paraId="501D2D08">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（3）在港区内施工的电气设备工具用电时，必须按</w:t>
      </w:r>
      <w:r>
        <w:rPr>
          <w:rFonts w:hint="eastAsia" w:asciiTheme="minorEastAsia" w:hAnsiTheme="minorEastAsia" w:eastAsiaTheme="minorEastAsia" w:cstheme="minorEastAsia"/>
          <w:color w:val="auto"/>
          <w:sz w:val="21"/>
          <w:szCs w:val="21"/>
          <w:highlight w:val="none"/>
          <w:u w:val="single"/>
          <w:lang w:val="en-US" w:eastAsia="zh-CN"/>
        </w:rPr>
        <w:t>《温州港南岳港务有限公司、温州港益嘉港务有限公司供用电管理办法（修订）》</w:t>
      </w:r>
      <w:r>
        <w:rPr>
          <w:rFonts w:hint="eastAsia" w:asciiTheme="minorEastAsia" w:hAnsiTheme="minorEastAsia" w:eastAsiaTheme="minorEastAsia" w:cstheme="minorEastAsia"/>
          <w:color w:val="auto"/>
          <w:sz w:val="21"/>
          <w:szCs w:val="21"/>
          <w:highlight w:val="none"/>
        </w:rPr>
        <w:t>临时用电管理制度执行。 </w:t>
      </w:r>
    </w:p>
    <w:p w14:paraId="4A33A96F">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相关方作业单位使用的机械设备必须符合国家相关要求，并取得相应的运营资格证书，操作人员必须持证作业。设备、工具如有特殊要求，如是否防爆或存在危险因素，应及时向有关部门说明，需要配合的应同有关部门及时取得联系，经许可后方可进行作业。 </w:t>
      </w:r>
    </w:p>
    <w:p w14:paraId="6E5C6E33">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（5）在完工后须将作业现场清理干净，恢复完好。</w:t>
      </w:r>
    </w:p>
    <w:p w14:paraId="4BE8DBDC">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四、违规处理规定</w:t>
      </w:r>
    </w:p>
    <w:p w14:paraId="496868E9">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（1）港内监控摄像全覆盖、道路全程测速，对违反港区规定、不服从现场管理、经指正仍不纠正的车辆及人员，港区将予以警告、扣除履约保证金、劝离等处理。</w:t>
      </w:r>
    </w:p>
    <w:p w14:paraId="3DCC89E3">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（2）对于屡教不改、情节严重者将拉入黑名单禁止入场或送交有关执法部门处理。</w:t>
      </w:r>
    </w:p>
    <w:p w14:paraId="60513A75">
      <w:pPr>
        <w:spacing w:line="500" w:lineRule="exact"/>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五、港区联系电话</w:t>
      </w:r>
    </w:p>
    <w:p w14:paraId="30D849EC">
      <w:pPr>
        <w:spacing w:line="50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如遇意外事件或需港区配合协调解决的事情，请立即联系</w:t>
      </w:r>
      <w:r>
        <w:rPr>
          <w:rFonts w:hint="eastAsia" w:asciiTheme="minorEastAsia" w:hAnsiTheme="minorEastAsia" w:eastAsiaTheme="minorEastAsia" w:cstheme="minorEastAsia"/>
          <w:color w:val="auto"/>
          <w:sz w:val="21"/>
          <w:szCs w:val="21"/>
          <w:highlight w:val="none"/>
          <w:lang w:eastAsia="zh-CN"/>
        </w:rPr>
        <w:t>温州港南岳港务有限公司</w:t>
      </w:r>
      <w:r>
        <w:rPr>
          <w:rFonts w:hint="eastAsia" w:asciiTheme="minorEastAsia" w:hAnsiTheme="minorEastAsia" w:eastAsiaTheme="minorEastAsia" w:cstheme="minorEastAsia"/>
          <w:color w:val="auto"/>
          <w:sz w:val="21"/>
          <w:szCs w:val="21"/>
          <w:highlight w:val="none"/>
        </w:rPr>
        <w:t>港区中控调度室（0577-55</w:t>
      </w:r>
      <w:r>
        <w:rPr>
          <w:rFonts w:hint="eastAsia" w:asciiTheme="minorEastAsia" w:hAnsiTheme="minorEastAsia" w:eastAsiaTheme="minorEastAsia" w:cstheme="minorEastAsia"/>
          <w:color w:val="auto"/>
          <w:sz w:val="21"/>
          <w:szCs w:val="21"/>
          <w:highlight w:val="none"/>
          <w:lang w:val="en-US" w:eastAsia="zh-CN"/>
        </w:rPr>
        <w:t>110510</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55110556</w:t>
      </w:r>
      <w:r>
        <w:rPr>
          <w:rFonts w:hint="eastAsia" w:asciiTheme="minorEastAsia" w:hAnsiTheme="minorEastAsia" w:eastAsiaTheme="minorEastAsia" w:cstheme="minorEastAsia"/>
          <w:color w:val="auto"/>
          <w:sz w:val="21"/>
          <w:szCs w:val="21"/>
          <w:highlight w:val="none"/>
        </w:rPr>
        <w:t>）。</w:t>
      </w:r>
    </w:p>
    <w:p w14:paraId="369DD029">
      <w:pPr>
        <w:spacing w:line="500" w:lineRule="exact"/>
        <w:ind w:firstLine="420" w:firstLineChars="200"/>
        <w:rPr>
          <w:rFonts w:hint="eastAsia" w:asciiTheme="minorEastAsia" w:hAnsiTheme="minorEastAsia" w:eastAsiaTheme="minorEastAsia" w:cstheme="minorEastAsia"/>
          <w:color w:val="auto"/>
          <w:sz w:val="21"/>
          <w:szCs w:val="21"/>
          <w:highlight w:val="none"/>
        </w:rPr>
      </w:pPr>
    </w:p>
    <w:p w14:paraId="1E8387C1">
      <w:pPr>
        <w:spacing w:line="360" w:lineRule="exact"/>
        <w:ind w:firstLine="422"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相关方单位（个人）声明：</w:t>
      </w:r>
      <w:r>
        <w:rPr>
          <w:rFonts w:hint="eastAsia" w:asciiTheme="minorEastAsia" w:hAnsiTheme="minorEastAsia" w:eastAsiaTheme="minorEastAsia" w:cstheme="minorEastAsia"/>
          <w:color w:val="auto"/>
          <w:sz w:val="21"/>
          <w:szCs w:val="21"/>
          <w:highlight w:val="none"/>
        </w:rPr>
        <w:t>我公司对以上条款内容已完成了解和认同，如有违反而造成港区损失或带来不良影响的，我司愿意承担全部责任，现予以签字确认。</w:t>
      </w:r>
    </w:p>
    <w:p w14:paraId="09823375">
      <w:pPr>
        <w:spacing w:line="360" w:lineRule="exact"/>
        <w:rPr>
          <w:rFonts w:hint="eastAsia" w:asciiTheme="minorEastAsia" w:hAnsiTheme="minorEastAsia" w:eastAsiaTheme="minorEastAsia" w:cstheme="minorEastAsia"/>
          <w:color w:val="auto"/>
          <w:sz w:val="21"/>
          <w:szCs w:val="21"/>
          <w:highlight w:val="none"/>
        </w:rPr>
      </w:pPr>
    </w:p>
    <w:p w14:paraId="508648C5">
      <w:pPr>
        <w:spacing w:line="360" w:lineRule="exact"/>
        <w:ind w:right="56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p>
    <w:p w14:paraId="24F0ACC7">
      <w:pPr>
        <w:spacing w:line="360" w:lineRule="exact"/>
        <w:ind w:right="56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声明人（签字盖章）： </w:t>
      </w:r>
    </w:p>
    <w:p w14:paraId="4114BAB4">
      <w:pPr>
        <w:spacing w:line="360" w:lineRule="exact"/>
        <w:ind w:right="560"/>
        <w:jc w:val="center"/>
        <w:rPr>
          <w:rFonts w:hint="eastAsia" w:asciiTheme="minorEastAsia" w:hAnsiTheme="minorEastAsia" w:eastAsiaTheme="minorEastAsia" w:cstheme="minorEastAsia"/>
          <w:color w:val="auto"/>
          <w:sz w:val="21"/>
          <w:szCs w:val="21"/>
          <w:highlight w:val="none"/>
        </w:rPr>
      </w:pPr>
    </w:p>
    <w:p w14:paraId="2D0E726A">
      <w:pPr>
        <w:spacing w:line="360" w:lineRule="exac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年   月   日</w:t>
      </w:r>
    </w:p>
    <w:p w14:paraId="456813AA">
      <w:pPr>
        <w:spacing w:line="360" w:lineRule="exact"/>
        <w:jc w:val="left"/>
        <w:rPr>
          <w:rFonts w:hint="eastAsia" w:asciiTheme="minorEastAsia" w:hAnsiTheme="minorEastAsia" w:eastAsiaTheme="minorEastAsia" w:cstheme="minorEastAsia"/>
          <w:color w:val="auto"/>
          <w:sz w:val="28"/>
          <w:szCs w:val="28"/>
          <w:highlight w:val="none"/>
        </w:rPr>
      </w:pPr>
    </w:p>
    <w:p w14:paraId="7879C697">
      <w:pPr>
        <w:spacing w:line="440" w:lineRule="exact"/>
        <w:rPr>
          <w:rFonts w:hint="eastAsia" w:asciiTheme="minorEastAsia" w:hAnsiTheme="minorEastAsia" w:eastAsiaTheme="minorEastAsia" w:cstheme="minorEastAsia"/>
          <w:color w:val="auto"/>
          <w:highlight w:val="none"/>
        </w:rPr>
      </w:pPr>
    </w:p>
    <w:p w14:paraId="6C7CE175">
      <w:pPr>
        <w:spacing w:line="440" w:lineRule="exac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附件</w:t>
      </w:r>
      <w:r>
        <w:rPr>
          <w:rFonts w:hint="eastAsia" w:asciiTheme="minorEastAsia" w:hAnsiTheme="minorEastAsia" w:eastAsiaTheme="minorEastAsia" w:cstheme="minorEastAsia"/>
          <w:b/>
          <w:color w:val="auto"/>
          <w:sz w:val="28"/>
          <w:szCs w:val="28"/>
          <w:highlight w:val="none"/>
          <w:lang w:val="en-US" w:eastAsia="zh-CN"/>
        </w:rPr>
        <w:t>6</w:t>
      </w:r>
      <w:r>
        <w:rPr>
          <w:rFonts w:hint="eastAsia" w:asciiTheme="minorEastAsia" w:hAnsiTheme="minorEastAsia" w:eastAsiaTheme="minorEastAsia" w:cstheme="minorEastAsia"/>
          <w:b/>
          <w:color w:val="auto"/>
          <w:sz w:val="28"/>
          <w:szCs w:val="28"/>
          <w:highlight w:val="none"/>
        </w:rPr>
        <w:t>：</w:t>
      </w:r>
    </w:p>
    <w:p w14:paraId="6AA7A187">
      <w:pPr>
        <w:spacing w:line="640" w:lineRule="exact"/>
        <w:jc w:val="center"/>
        <w:rPr>
          <w:rFonts w:hint="eastAsia"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合作伙伴合规承诺书</w:t>
      </w:r>
    </w:p>
    <w:p w14:paraId="57D33870">
      <w:pPr>
        <w:spacing w:line="560" w:lineRule="exact"/>
        <w:rPr>
          <w:rFonts w:hint="eastAsia" w:asciiTheme="minorEastAsia" w:hAnsiTheme="minorEastAsia" w:eastAsiaTheme="minorEastAsia" w:cstheme="minorEastAsia"/>
          <w:color w:val="auto"/>
          <w:sz w:val="24"/>
          <w:highlight w:val="none"/>
        </w:rPr>
      </w:pPr>
    </w:p>
    <w:p w14:paraId="5FED031D">
      <w:pPr>
        <w:spacing w:line="560" w:lineRule="exact"/>
        <w:ind w:firstLine="420" w:firstLineChars="2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为满足</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合规管理要求，</w:t>
      </w:r>
      <w:r>
        <w:rPr>
          <w:rFonts w:hint="eastAsia" w:asciiTheme="minorEastAsia" w:hAnsiTheme="minorEastAsia" w:eastAsiaTheme="minorEastAsia" w:cstheme="minorEastAsia"/>
          <w:color w:val="auto"/>
          <w:sz w:val="21"/>
          <w:szCs w:val="21"/>
          <w:highlight w:val="none"/>
        </w:rPr>
        <w:t>规范合作伙伴</w:t>
      </w:r>
      <w:r>
        <w:rPr>
          <w:rFonts w:hint="eastAsia" w:asciiTheme="minorEastAsia" w:hAnsiTheme="minorEastAsia" w:eastAsiaTheme="minorEastAsia" w:cstheme="minorEastAsia"/>
          <w:color w:val="auto"/>
          <w:kern w:val="0"/>
          <w:sz w:val="21"/>
          <w:szCs w:val="21"/>
          <w:highlight w:val="none"/>
        </w:rPr>
        <w:t>市场交易行为，促进公平、公正交易，我方特作出以下承诺：</w:t>
      </w:r>
    </w:p>
    <w:p w14:paraId="5433F585">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1.我方理解</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合规管理需求，在合作范围内遵守</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对合作伙伴的合规管理要求。</w:t>
      </w:r>
    </w:p>
    <w:p w14:paraId="3C9A6839">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2.我方具有合同订立的主体资格，具有良好的资信和履约能力，能够有效履行合同义务。</w:t>
      </w:r>
    </w:p>
    <w:p w14:paraId="31B25F7A">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3.我方严格遵守国家法律法规，恪守商业道德和职业道德规范，不从事并抵制任何不廉洁行为，严格履行以下合规义务：</w:t>
      </w:r>
    </w:p>
    <w:p w14:paraId="6BEA9083">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（一）我方员工严格遵守《中华人民共和国反不正当竞争法》等有关商业贿赂行为的禁止性规定，坚决抵制商业贿赂。</w:t>
      </w:r>
    </w:p>
    <w:p w14:paraId="2A20891A">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（二）我方员工不得给予</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及相关单位或个人的任何不正当馈赠。</w:t>
      </w:r>
    </w:p>
    <w:p w14:paraId="43E43BD2">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（三）我方员工不得接受</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及相关单位或个人的任何不正当馈赠。</w:t>
      </w:r>
    </w:p>
    <w:p w14:paraId="706E1012">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（四）我方员工不得参加</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及有关单位安排的可能影响公正廉洁的宴请、旅游、考察等活动。</w:t>
      </w:r>
    </w:p>
    <w:p w14:paraId="25E4DD90">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（五）我方员工不得从事其他可能影响廉洁商业的行为。</w:t>
      </w:r>
    </w:p>
    <w:p w14:paraId="6D9DB650">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4.我方坚持诚信商业行为，依法依约保守</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的商业秘密。</w:t>
      </w:r>
    </w:p>
    <w:p w14:paraId="1DE5665A">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5.我方严守缔约精神，全面履行合同义务，不擅自变更、中止以及不履行合同，发生影响合同履行的突发事件时将及时通知</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w:t>
      </w:r>
    </w:p>
    <w:p w14:paraId="7C6322F9">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6.我方同意在合同目的范围内配合</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的合规检查，不得隐瞒可能造成</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利益受损的信息。</w:t>
      </w:r>
    </w:p>
    <w:p w14:paraId="0965E6D3">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7.我方承诺对本承诺书执行情况进行监督检查，我方或我方员工未遵守承诺事项，我方承诺自愿赔偿由此给</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造成的损失，或按相关合同约定承担违约责任，且</w:t>
      </w:r>
      <w:r>
        <w:rPr>
          <w:rFonts w:hint="eastAsia" w:asciiTheme="minorEastAsia" w:hAnsiTheme="minorEastAsia" w:eastAsiaTheme="minorEastAsia" w:cstheme="minorEastAsia"/>
          <w:color w:val="auto"/>
          <w:sz w:val="21"/>
          <w:szCs w:val="21"/>
          <w:highlight w:val="none"/>
          <w:lang w:eastAsia="zh-CN"/>
        </w:rPr>
        <w:t xml:space="preserve">                     </w:t>
      </w:r>
      <w:r>
        <w:rPr>
          <w:rFonts w:hint="eastAsia" w:asciiTheme="minorEastAsia" w:hAnsiTheme="minorEastAsia" w:eastAsiaTheme="minorEastAsia" w:cstheme="minorEastAsia"/>
          <w:color w:val="auto"/>
          <w:sz w:val="21"/>
          <w:szCs w:val="21"/>
          <w:highlight w:val="none"/>
        </w:rPr>
        <w:t>有权终止相关合同。</w:t>
      </w:r>
    </w:p>
    <w:p w14:paraId="57A851F3">
      <w:pPr>
        <w:spacing w:line="56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本承诺函</w:t>
      </w:r>
      <w:r>
        <w:rPr>
          <w:rFonts w:hint="eastAsia" w:asciiTheme="minorEastAsia" w:hAnsiTheme="minorEastAsia" w:eastAsiaTheme="minorEastAsia" w:cstheme="minorEastAsia"/>
          <w:color w:val="auto"/>
          <w:sz w:val="21"/>
          <w:szCs w:val="21"/>
          <w:highlight w:val="none"/>
          <w:lang w:val="en-US" w:eastAsia="zh-CN"/>
        </w:rPr>
        <w:t>壹</w:t>
      </w:r>
      <w:r>
        <w:rPr>
          <w:rFonts w:hint="eastAsia" w:asciiTheme="minorEastAsia" w:hAnsiTheme="minorEastAsia" w:eastAsiaTheme="minorEastAsia" w:cstheme="minorEastAsia"/>
          <w:color w:val="auto"/>
          <w:sz w:val="21"/>
          <w:szCs w:val="21"/>
          <w:highlight w:val="none"/>
        </w:rPr>
        <w:t>式</w:t>
      </w:r>
      <w:r>
        <w:rPr>
          <w:rFonts w:hint="eastAsia" w:asciiTheme="minorEastAsia" w:hAnsiTheme="minorEastAsia" w:eastAsiaTheme="minorEastAsia" w:cstheme="minorEastAsia"/>
          <w:color w:val="auto"/>
          <w:sz w:val="21"/>
          <w:szCs w:val="21"/>
          <w:highlight w:val="none"/>
          <w:lang w:val="en-US" w:eastAsia="zh-CN"/>
        </w:rPr>
        <w:t>肆</w:t>
      </w:r>
      <w:r>
        <w:rPr>
          <w:rFonts w:hint="eastAsia" w:asciiTheme="minorEastAsia" w:hAnsiTheme="minorEastAsia" w:eastAsiaTheme="minorEastAsia" w:cstheme="minorEastAsia"/>
          <w:color w:val="auto"/>
          <w:sz w:val="21"/>
          <w:szCs w:val="21"/>
          <w:highlight w:val="none"/>
        </w:rPr>
        <w:t>份，经承诺人签字/盖章后生效，由承诺人和</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rPr>
        <w:t>各保留</w:t>
      </w:r>
      <w:r>
        <w:rPr>
          <w:rFonts w:hint="eastAsia" w:asciiTheme="minorEastAsia" w:hAnsiTheme="minorEastAsia" w:eastAsiaTheme="minorEastAsia" w:cstheme="minorEastAsia"/>
          <w:color w:val="auto"/>
          <w:sz w:val="21"/>
          <w:szCs w:val="21"/>
          <w:highlight w:val="none"/>
          <w:lang w:val="en-US" w:eastAsia="zh-CN"/>
        </w:rPr>
        <w:t>贰</w:t>
      </w:r>
      <w:r>
        <w:rPr>
          <w:rFonts w:hint="eastAsia" w:asciiTheme="minorEastAsia" w:hAnsiTheme="minorEastAsia" w:eastAsiaTheme="minorEastAsia" w:cstheme="minorEastAsia"/>
          <w:color w:val="auto"/>
          <w:sz w:val="21"/>
          <w:szCs w:val="21"/>
          <w:highlight w:val="none"/>
        </w:rPr>
        <w:t>份。</w:t>
      </w:r>
    </w:p>
    <w:p w14:paraId="4A53528E">
      <w:pPr>
        <w:spacing w:line="560" w:lineRule="exact"/>
        <w:ind w:firstLine="5040" w:firstLineChars="2400"/>
        <w:rPr>
          <w:rFonts w:hint="eastAsia" w:asciiTheme="minorEastAsia" w:hAnsiTheme="minorEastAsia" w:eastAsiaTheme="minorEastAsia" w:cstheme="minorEastAsia"/>
          <w:color w:val="auto"/>
          <w:sz w:val="21"/>
          <w:szCs w:val="21"/>
          <w:highlight w:val="none"/>
        </w:rPr>
      </w:pPr>
    </w:p>
    <w:p w14:paraId="770C184D">
      <w:pPr>
        <w:spacing w:line="560" w:lineRule="exact"/>
        <w:ind w:firstLine="5040" w:firstLineChars="2400"/>
        <w:rPr>
          <w:rFonts w:hint="eastAsia" w:asciiTheme="minorEastAsia" w:hAnsiTheme="minorEastAsia" w:eastAsiaTheme="minorEastAsia" w:cstheme="minorEastAsia"/>
          <w:color w:val="auto"/>
          <w:sz w:val="21"/>
          <w:szCs w:val="21"/>
          <w:highlight w:val="none"/>
        </w:rPr>
      </w:pPr>
    </w:p>
    <w:p w14:paraId="25EC18CE">
      <w:pPr>
        <w:spacing w:line="560" w:lineRule="exact"/>
        <w:jc w:val="center"/>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 xml:space="preserve">             承诺人（签字/盖章）：</w:t>
      </w:r>
      <w:r>
        <w:rPr>
          <w:rFonts w:hint="eastAsia" w:asciiTheme="minorEastAsia" w:hAnsiTheme="minorEastAsia" w:eastAsiaTheme="minorEastAsia" w:cstheme="minorEastAsia"/>
          <w:color w:val="auto"/>
          <w:sz w:val="21"/>
          <w:szCs w:val="21"/>
          <w:highlight w:val="none"/>
          <w:u w:val="single"/>
        </w:rPr>
        <w:t xml:space="preserve">            </w:t>
      </w:r>
    </w:p>
    <w:p w14:paraId="7D90D25B">
      <w:pPr>
        <w:spacing w:line="360" w:lineRule="exact"/>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124F49C8">
      <w:pPr>
        <w:ind w:firstLine="843" w:firstLineChars="4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bookmarkEnd w:id="129"/>
    <w:p w14:paraId="28EF7F59">
      <w:pPr>
        <w:spacing w:line="360" w:lineRule="auto"/>
        <w:ind w:firstLine="480" w:firstLineChars="200"/>
        <w:jc w:val="right"/>
        <w:rPr>
          <w:rFonts w:hint="eastAsia" w:ascii="宋体" w:hAnsi="宋体" w:eastAsia="宋体" w:cs="宋体"/>
          <w:color w:val="auto"/>
          <w:sz w:val="24"/>
          <w:highlight w:val="none"/>
        </w:rPr>
      </w:pPr>
    </w:p>
    <w:bookmarkEnd w:id="130"/>
    <w:bookmarkEnd w:id="131"/>
    <w:bookmarkEnd w:id="132"/>
    <w:bookmarkEnd w:id="133"/>
    <w:bookmarkEnd w:id="134"/>
    <w:bookmarkEnd w:id="135"/>
    <w:bookmarkEnd w:id="136"/>
    <w:bookmarkEnd w:id="137"/>
    <w:bookmarkEnd w:id="138"/>
    <w:p w14:paraId="17BAA37C">
      <w:pPr>
        <w:pStyle w:val="17"/>
        <w:snapToGrid w:val="0"/>
        <w:spacing w:before="156" w:after="156" w:line="360" w:lineRule="auto"/>
        <w:jc w:val="center"/>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第六章投标文件格式</w:t>
      </w:r>
    </w:p>
    <w:p w14:paraId="6F62E79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（资格审查文件封面，供参考）</w:t>
      </w:r>
    </w:p>
    <w:p w14:paraId="2648B8A3">
      <w:pPr>
        <w:kinsoku w:val="0"/>
        <w:overflowPunct w:val="0"/>
        <w:spacing w:after="156"/>
        <w:ind w:firstLine="482"/>
        <w:rPr>
          <w:rFonts w:hint="eastAsia" w:ascii="宋体" w:hAnsi="宋体" w:eastAsia="宋体" w:cs="宋体"/>
          <w:b/>
          <w:bCs/>
          <w:color w:val="auto"/>
          <w:kern w:val="0"/>
          <w:sz w:val="36"/>
          <w:highlight w:val="none"/>
        </w:rPr>
      </w:pPr>
    </w:p>
    <w:p w14:paraId="6EDDFC01">
      <w:pPr>
        <w:pStyle w:val="28"/>
        <w:rPr>
          <w:rFonts w:hint="eastAsia" w:ascii="宋体" w:hAnsi="宋体" w:eastAsia="宋体" w:cs="宋体"/>
          <w:color w:val="auto"/>
          <w:highlight w:val="none"/>
        </w:rPr>
      </w:pPr>
    </w:p>
    <w:p w14:paraId="007C151A">
      <w:pPr>
        <w:kinsoku w:val="0"/>
        <w:overflowPunct w:val="0"/>
        <w:spacing w:after="156"/>
        <w:ind w:firstLine="482"/>
        <w:rPr>
          <w:rFonts w:hint="eastAsia" w:ascii="宋体" w:hAnsi="宋体" w:eastAsia="宋体" w:cs="宋体"/>
          <w:b/>
          <w:bCs/>
          <w:color w:val="auto"/>
          <w:highlight w:val="none"/>
        </w:rPr>
      </w:pPr>
    </w:p>
    <w:p w14:paraId="7DA52877">
      <w:pPr>
        <w:kinsoku w:val="0"/>
        <w:overflowPunct w:val="0"/>
        <w:spacing w:before="8" w:after="156"/>
        <w:ind w:firstLine="482"/>
        <w:rPr>
          <w:rFonts w:hint="eastAsia" w:ascii="宋体" w:hAnsi="宋体" w:eastAsia="宋体" w:cs="宋体"/>
          <w:b/>
          <w:bCs/>
          <w:color w:val="auto"/>
          <w:highlight w:val="none"/>
        </w:rPr>
      </w:pPr>
    </w:p>
    <w:p w14:paraId="62CCD648">
      <w:pPr>
        <w:tabs>
          <w:tab w:val="left" w:pos="4944"/>
        </w:tabs>
        <w:kinsoku w:val="0"/>
        <w:overflowPunct w:val="0"/>
        <w:spacing w:after="156"/>
        <w:ind w:firstLine="480"/>
        <w:jc w:val="center"/>
        <w:rPr>
          <w:rFonts w:hint="eastAsia" w:ascii="宋体" w:hAnsi="宋体" w:eastAsia="宋体" w:cs="宋体"/>
          <w:b/>
          <w:color w:val="auto"/>
          <w:sz w:val="32"/>
          <w:szCs w:val="28"/>
          <w:highlight w:val="none"/>
        </w:rPr>
      </w:pPr>
      <w:bookmarkStart w:id="139" w:name="_Hlk112924620"/>
      <w:r>
        <w:rPr>
          <w:rFonts w:hint="eastAsia" w:ascii="宋体" w:hAnsi="宋体" w:eastAsia="宋体" w:cs="宋体"/>
          <w:b/>
          <w:color w:val="auto"/>
          <w:sz w:val="32"/>
          <w:szCs w:val="28"/>
          <w:highlight w:val="none"/>
        </w:rPr>
        <w:t>投标文件（资格审查文件）</w:t>
      </w:r>
    </w:p>
    <w:bookmarkEnd w:id="139"/>
    <w:p w14:paraId="7EC2B811">
      <w:pPr>
        <w:kinsoku w:val="0"/>
        <w:overflowPunct w:val="0"/>
        <w:spacing w:before="554" w:after="156"/>
        <w:ind w:left="376" w:right="1073" w:firstLine="482"/>
        <w:jc w:val="center"/>
        <w:rPr>
          <w:rFonts w:hint="eastAsia" w:ascii="宋体" w:hAnsi="宋体" w:eastAsia="宋体" w:cs="宋体"/>
          <w:b/>
          <w:bCs/>
          <w:color w:val="auto"/>
          <w:highlight w:val="none"/>
        </w:rPr>
      </w:pPr>
    </w:p>
    <w:p w14:paraId="1B463461">
      <w:pPr>
        <w:kinsoku w:val="0"/>
        <w:overflowPunct w:val="0"/>
        <w:spacing w:after="156"/>
        <w:rPr>
          <w:rFonts w:hint="eastAsia" w:ascii="宋体" w:hAnsi="宋体" w:eastAsia="宋体" w:cs="宋体"/>
          <w:b/>
          <w:bCs/>
          <w:color w:val="auto"/>
          <w:highlight w:val="none"/>
        </w:rPr>
      </w:pPr>
    </w:p>
    <w:p w14:paraId="0D7A918B">
      <w:pPr>
        <w:kinsoku w:val="0"/>
        <w:overflowPunct w:val="0"/>
        <w:spacing w:after="156"/>
        <w:ind w:firstLine="482"/>
        <w:rPr>
          <w:rFonts w:hint="eastAsia" w:ascii="宋体" w:hAnsi="宋体" w:eastAsia="宋体" w:cs="宋体"/>
          <w:b/>
          <w:bCs/>
          <w:color w:val="auto"/>
          <w:sz w:val="28"/>
          <w:highlight w:val="none"/>
        </w:rPr>
      </w:pPr>
      <w:bookmarkStart w:id="140" w:name="_Hlk112924647"/>
    </w:p>
    <w:p w14:paraId="4F4F797B">
      <w:pPr>
        <w:kinsoku w:val="0"/>
        <w:overflowPunct w:val="0"/>
        <w:spacing w:after="156"/>
        <w:ind w:firstLine="482"/>
        <w:rPr>
          <w:rFonts w:hint="eastAsia" w:ascii="宋体" w:hAnsi="宋体" w:eastAsia="宋体" w:cs="宋体"/>
          <w:color w:val="auto"/>
          <w:sz w:val="28"/>
          <w:highlight w:val="none"/>
        </w:rPr>
      </w:pPr>
      <w:r>
        <w:rPr>
          <w:rFonts w:hint="eastAsia" w:ascii="宋体" w:hAnsi="宋体" w:eastAsia="宋体" w:cs="宋体"/>
          <w:color w:val="auto"/>
          <w:sz w:val="28"/>
          <w:highlight w:val="none"/>
        </w:rPr>
        <w:t>项目编号：</w:t>
      </w:r>
    </w:p>
    <w:p w14:paraId="7A59657D">
      <w:pPr>
        <w:kinsoku w:val="0"/>
        <w:overflowPunct w:val="0"/>
        <w:spacing w:after="156"/>
        <w:ind w:firstLine="482"/>
        <w:rPr>
          <w:rFonts w:hint="eastAsia" w:ascii="宋体" w:hAnsi="宋体" w:eastAsia="宋体" w:cs="宋体"/>
          <w:color w:val="auto"/>
          <w:sz w:val="28"/>
          <w:highlight w:val="none"/>
        </w:rPr>
      </w:pPr>
      <w:r>
        <w:rPr>
          <w:rFonts w:hint="eastAsia" w:ascii="宋体" w:hAnsi="宋体" w:eastAsia="宋体" w:cs="宋体"/>
          <w:color w:val="auto"/>
          <w:sz w:val="28"/>
          <w:highlight w:val="none"/>
        </w:rPr>
        <w:t>项目名称：</w:t>
      </w:r>
    </w:p>
    <w:p w14:paraId="49545473">
      <w:pPr>
        <w:kinsoku w:val="0"/>
        <w:overflowPunct w:val="0"/>
        <w:spacing w:after="156"/>
        <w:rPr>
          <w:rFonts w:hint="eastAsia" w:ascii="宋体" w:hAnsi="宋体" w:eastAsia="宋体" w:cs="宋体"/>
          <w:b/>
          <w:bCs/>
          <w:color w:val="auto"/>
          <w:sz w:val="28"/>
          <w:highlight w:val="none"/>
        </w:rPr>
      </w:pPr>
    </w:p>
    <w:p w14:paraId="0FDC496A">
      <w:pPr>
        <w:kinsoku w:val="0"/>
        <w:overflowPunct w:val="0"/>
        <w:spacing w:after="156"/>
        <w:ind w:firstLine="482"/>
        <w:rPr>
          <w:rFonts w:hint="eastAsia" w:ascii="宋体" w:hAnsi="宋体" w:eastAsia="宋体" w:cs="宋体"/>
          <w:b/>
          <w:bCs/>
          <w:color w:val="auto"/>
          <w:sz w:val="28"/>
          <w:highlight w:val="none"/>
        </w:rPr>
      </w:pPr>
    </w:p>
    <w:p w14:paraId="6C90FCB9">
      <w:pPr>
        <w:kinsoku w:val="0"/>
        <w:overflowPunct w:val="0"/>
        <w:spacing w:after="156"/>
        <w:ind w:firstLine="482"/>
        <w:rPr>
          <w:rFonts w:hint="eastAsia" w:ascii="宋体" w:hAnsi="宋体" w:eastAsia="宋体" w:cs="宋体"/>
          <w:b/>
          <w:bCs/>
          <w:color w:val="auto"/>
          <w:sz w:val="28"/>
          <w:highlight w:val="none"/>
        </w:rPr>
      </w:pPr>
    </w:p>
    <w:p w14:paraId="59B8770D">
      <w:pPr>
        <w:tabs>
          <w:tab w:val="left" w:pos="5830"/>
        </w:tabs>
        <w:kinsoku w:val="0"/>
        <w:overflowPunct w:val="0"/>
        <w:spacing w:before="223" w:after="156"/>
        <w:ind w:right="521"/>
        <w:rPr>
          <w:rFonts w:hint="eastAsia" w:ascii="宋体" w:hAnsi="宋体" w:eastAsia="宋体" w:cs="宋体"/>
          <w:color w:val="auto"/>
          <w:sz w:val="28"/>
          <w:highlight w:val="none"/>
        </w:rPr>
      </w:pPr>
      <w:r>
        <w:rPr>
          <w:rFonts w:hint="eastAsia" w:ascii="宋体" w:hAnsi="宋体" w:eastAsia="宋体" w:cs="宋体"/>
          <w:color w:val="auto"/>
          <w:w w:val="95"/>
          <w:sz w:val="28"/>
          <w:highlight w:val="none"/>
        </w:rPr>
        <w:t>投标人：（盖单位章）</w:t>
      </w:r>
      <w:r>
        <w:rPr>
          <w:rFonts w:hint="eastAsia" w:ascii="宋体" w:hAnsi="宋体" w:eastAsia="宋体" w:cs="宋体"/>
          <w:color w:val="auto"/>
          <w:sz w:val="28"/>
          <w:highlight w:val="none"/>
          <w:u w:val="single"/>
        </w:rPr>
        <w:t xml:space="preserve">                  </w:t>
      </w:r>
    </w:p>
    <w:p w14:paraId="47F0A6D5">
      <w:pPr>
        <w:tabs>
          <w:tab w:val="left" w:pos="9313"/>
        </w:tabs>
        <w:kinsoku w:val="0"/>
        <w:overflowPunct w:val="0"/>
        <w:spacing w:before="186" w:after="156"/>
        <w:rPr>
          <w:rFonts w:hint="eastAsia" w:ascii="宋体" w:hAnsi="宋体" w:eastAsia="宋体" w:cs="宋体"/>
          <w:color w:val="auto"/>
          <w:sz w:val="28"/>
          <w:highlight w:val="none"/>
        </w:rPr>
      </w:pPr>
      <w:bookmarkStart w:id="141" w:name="_Hlk121793416"/>
      <w:r>
        <w:rPr>
          <w:rFonts w:hint="eastAsia" w:ascii="宋体" w:hAnsi="宋体" w:eastAsia="宋体" w:cs="宋体"/>
          <w:color w:val="auto"/>
          <w:w w:val="95"/>
          <w:sz w:val="28"/>
          <w:highlight w:val="none"/>
        </w:rPr>
        <w:t>法定代表人或授权代表：（盖章或签字）</w:t>
      </w:r>
      <w:r>
        <w:rPr>
          <w:rFonts w:hint="eastAsia" w:ascii="宋体" w:hAnsi="宋体" w:eastAsia="宋体" w:cs="宋体"/>
          <w:color w:val="auto"/>
          <w:sz w:val="28"/>
          <w:highlight w:val="none"/>
          <w:u w:val="single"/>
        </w:rPr>
        <w:t xml:space="preserve">                </w:t>
      </w:r>
    </w:p>
    <w:bookmarkEnd w:id="140"/>
    <w:bookmarkEnd w:id="141"/>
    <w:p w14:paraId="2C2542F1">
      <w:pPr>
        <w:kinsoku w:val="0"/>
        <w:overflowPunct w:val="0"/>
        <w:spacing w:after="156"/>
        <w:ind w:firstLine="482"/>
        <w:rPr>
          <w:rFonts w:hint="eastAsia" w:ascii="宋体" w:hAnsi="宋体" w:eastAsia="宋体" w:cs="宋体"/>
          <w:b/>
          <w:bCs/>
          <w:color w:val="auto"/>
          <w:highlight w:val="none"/>
        </w:rPr>
      </w:pPr>
    </w:p>
    <w:p w14:paraId="7DBBF43A">
      <w:pPr>
        <w:tabs>
          <w:tab w:val="left" w:pos="9313"/>
        </w:tabs>
        <w:kinsoku w:val="0"/>
        <w:overflowPunct w:val="0"/>
        <w:spacing w:before="186" w:after="156"/>
        <w:jc w:val="center"/>
        <w:rPr>
          <w:rFonts w:hint="eastAsia" w:ascii="宋体" w:hAnsi="宋体" w:eastAsia="宋体" w:cs="宋体"/>
          <w:b/>
          <w:bCs/>
          <w:color w:val="auto"/>
          <w:w w:val="95"/>
          <w:sz w:val="28"/>
          <w:highlight w:val="none"/>
        </w:rPr>
      </w:pPr>
      <w:bookmarkStart w:id="142" w:name="_Hlk121791983"/>
      <w:r>
        <w:rPr>
          <w:rFonts w:hint="eastAsia" w:ascii="宋体" w:hAnsi="宋体" w:eastAsia="宋体" w:cs="宋体"/>
          <w:b/>
          <w:bCs/>
          <w:color w:val="auto"/>
          <w:w w:val="95"/>
          <w:sz w:val="28"/>
          <w:highlight w:val="none"/>
        </w:rPr>
        <w:t>年  月  日</w:t>
      </w:r>
    </w:p>
    <w:bookmarkEnd w:id="142"/>
    <w:p w14:paraId="61AFA465">
      <w:pPr>
        <w:widowControl/>
        <w:jc w:val="left"/>
        <w:rPr>
          <w:rFonts w:hint="eastAsia" w:ascii="宋体" w:hAnsi="宋体" w:eastAsia="宋体" w:cs="宋体"/>
          <w:b/>
          <w:bCs/>
          <w:color w:val="auto"/>
          <w:w w:val="95"/>
          <w:sz w:val="28"/>
          <w:highlight w:val="none"/>
        </w:rPr>
      </w:pPr>
      <w:r>
        <w:rPr>
          <w:rFonts w:hint="eastAsia" w:ascii="宋体" w:hAnsi="宋体" w:eastAsia="宋体" w:cs="宋体"/>
          <w:b/>
          <w:bCs/>
          <w:color w:val="auto"/>
          <w:w w:val="95"/>
          <w:sz w:val="28"/>
          <w:highlight w:val="none"/>
        </w:rPr>
        <w:br w:type="page"/>
      </w:r>
    </w:p>
    <w:p w14:paraId="5C5A6FE3">
      <w:pPr>
        <w:tabs>
          <w:tab w:val="left" w:pos="9313"/>
        </w:tabs>
        <w:kinsoku w:val="0"/>
        <w:overflowPunct w:val="0"/>
        <w:spacing w:before="186" w:after="156"/>
        <w:jc w:val="center"/>
        <w:rPr>
          <w:rFonts w:hint="eastAsia" w:ascii="宋体" w:hAnsi="宋体" w:eastAsia="宋体" w:cs="宋体"/>
          <w:b/>
          <w:bCs/>
          <w:color w:val="auto"/>
          <w:w w:val="95"/>
          <w:sz w:val="28"/>
          <w:highlight w:val="none"/>
        </w:rPr>
      </w:pPr>
      <w:r>
        <w:rPr>
          <w:rFonts w:hint="eastAsia" w:ascii="宋体" w:hAnsi="宋体" w:eastAsia="宋体" w:cs="宋体"/>
          <w:b/>
          <w:bCs/>
          <w:color w:val="auto"/>
          <w:w w:val="95"/>
          <w:sz w:val="28"/>
          <w:highlight w:val="none"/>
        </w:rPr>
        <w:t xml:space="preserve">  目录</w:t>
      </w:r>
    </w:p>
    <w:p w14:paraId="60673CA0">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针对评分细则，编制目录索引，注明评标细则项目所在投标文件页码，格式自拟</w:t>
      </w:r>
    </w:p>
    <w:p w14:paraId="5CF16830">
      <w:pPr>
        <w:pStyle w:val="28"/>
        <w:spacing w:line="360" w:lineRule="auto"/>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法定代表人身份证明；</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3   法定代表人授权委托书；</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4   营业执照(或事业法人登记证书或其它工商等登记证明材料)；</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 xml:space="preserve">5   具有履行合同所必需的设备和专业技术能力的承诺函； </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6   具有良好的商业信誉和健全的财务会计制度的承诺函；</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7   投标人近5年公司所承担业务外包范围内无1人死亡及以上安全生产责任事故（含劳务外包人员）；未被列入安全生产严重失信主体名单。未被列入失信被执行人名单、重大税收违法案件当事人名单、政府采购严重违法失信行为记录名单，信用信息以信用中国网站（www.creditchina.gov.cn）、中国政府采购网（www.ccgp.gov.cn）公布为准。</w:t>
      </w:r>
      <w:r>
        <w:rPr>
          <w:rFonts w:hint="eastAsia" w:ascii="宋体" w:hAnsi="宋体" w:eastAsia="宋体" w:cs="宋体"/>
          <w:color w:val="auto"/>
          <w:sz w:val="22"/>
          <w:szCs w:val="22"/>
          <w:highlight w:val="none"/>
        </w:rPr>
        <w:cr/>
      </w:r>
      <w:r>
        <w:rPr>
          <w:rFonts w:hint="eastAsia" w:ascii="宋体" w:hAnsi="宋体" w:eastAsia="宋体" w:cs="宋体"/>
          <w:color w:val="auto"/>
          <w:sz w:val="22"/>
          <w:szCs w:val="22"/>
          <w:highlight w:val="none"/>
        </w:rPr>
        <w:t>8   投标人须具备CMA、CNAS检测鉴定证书；</w:t>
      </w:r>
    </w:p>
    <w:p w14:paraId="4BCBBBAD">
      <w:pPr>
        <w:pStyle w:val="28"/>
        <w:spacing w:line="360" w:lineRule="auto"/>
        <w:ind w:left="0" w:leftChars="0" w:firstLine="0" w:firstLine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lang w:val="en-US" w:eastAsia="zh-CN"/>
        </w:rPr>
        <w:t xml:space="preserve">  用工规模：与本单位签订劳动合同（劳务协议）的服务人员不少于20人。提供劳动合同复印件证明（加盖公章）</w:t>
      </w:r>
    </w:p>
    <w:p w14:paraId="5E98E05F">
      <w:pPr>
        <w:pStyle w:val="28"/>
        <w:spacing w:line="360" w:lineRule="auto"/>
        <w:ind w:left="0" w:leftChars="0" w:firstLine="0" w:firstLineChars="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投标人认为需要提供的其他资格审查资料（如有）。</w:t>
      </w:r>
    </w:p>
    <w:p w14:paraId="234811F8">
      <w:pPr>
        <w:tabs>
          <w:tab w:val="left" w:pos="9313"/>
        </w:tabs>
        <w:kinsoku w:val="0"/>
        <w:overflowPunct w:val="0"/>
        <w:spacing w:before="186" w:after="156"/>
        <w:jc w:val="center"/>
        <w:rPr>
          <w:rFonts w:hint="eastAsia" w:ascii="宋体" w:hAnsi="宋体" w:eastAsia="宋体" w:cs="宋体"/>
          <w:b/>
          <w:bCs/>
          <w:color w:val="auto"/>
          <w:w w:val="95"/>
          <w:sz w:val="28"/>
          <w:highlight w:val="none"/>
        </w:rPr>
      </w:pPr>
    </w:p>
    <w:p w14:paraId="3D69962E">
      <w:pPr>
        <w:widowControl/>
        <w:jc w:val="left"/>
        <w:rPr>
          <w:rFonts w:hint="eastAsia" w:ascii="宋体" w:hAnsi="宋体" w:eastAsia="宋体" w:cs="宋体"/>
          <w:color w:val="auto"/>
          <w:kern w:val="0"/>
          <w:highlight w:val="none"/>
        </w:rPr>
      </w:pPr>
      <w:r>
        <w:rPr>
          <w:rFonts w:hint="eastAsia" w:ascii="宋体" w:hAnsi="宋体" w:eastAsia="宋体" w:cs="宋体"/>
          <w:color w:val="auto"/>
          <w:highlight w:val="none"/>
        </w:rPr>
        <w:br w:type="page"/>
      </w:r>
    </w:p>
    <w:p w14:paraId="2A285972">
      <w:pPr>
        <w:widowControl/>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附件一-1</w:t>
      </w:r>
    </w:p>
    <w:p w14:paraId="04FB6AB4">
      <w:pPr>
        <w:spacing w:line="380" w:lineRule="exact"/>
        <w:jc w:val="left"/>
        <w:rPr>
          <w:rFonts w:hint="eastAsia" w:ascii="宋体" w:hAnsi="宋体" w:eastAsia="宋体" w:cs="宋体"/>
          <w:b/>
          <w:color w:val="auto"/>
          <w:sz w:val="24"/>
          <w:highlight w:val="none"/>
        </w:rPr>
      </w:pPr>
    </w:p>
    <w:p w14:paraId="72AF3997">
      <w:pPr>
        <w:spacing w:line="38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法定代表人资格证明书</w:t>
      </w:r>
    </w:p>
    <w:p w14:paraId="72DDFB1D">
      <w:pPr>
        <w:autoSpaceDE w:val="0"/>
        <w:autoSpaceDN w:val="0"/>
        <w:adjustRightInd w:val="0"/>
        <w:rPr>
          <w:rFonts w:hint="eastAsia" w:ascii="宋体" w:hAnsi="宋体" w:eastAsia="宋体" w:cs="宋体"/>
          <w:color w:val="auto"/>
          <w:kern w:val="0"/>
          <w:sz w:val="28"/>
          <w:szCs w:val="28"/>
          <w:highlight w:val="none"/>
        </w:rPr>
      </w:pPr>
    </w:p>
    <w:p w14:paraId="755B54EF">
      <w:pPr>
        <w:spacing w:line="360" w:lineRule="auto"/>
        <w:ind w:left="-6" w:leftChars="-3" w:firstLine="480" w:firstLineChars="200"/>
        <w:rPr>
          <w:rFonts w:hint="eastAsia" w:ascii="宋体" w:hAnsi="宋体" w:eastAsia="宋体" w:cs="宋体"/>
          <w:color w:val="auto"/>
          <w:sz w:val="24"/>
          <w:highlight w:val="none"/>
        </w:rPr>
      </w:pPr>
    </w:p>
    <w:p w14:paraId="4EA513A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单位名称：</w:t>
      </w:r>
    </w:p>
    <w:p w14:paraId="68835C30">
      <w:pPr>
        <w:spacing w:line="360" w:lineRule="auto"/>
        <w:ind w:left="-6" w:leftChars="-3"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p>
    <w:p w14:paraId="6B7521D8">
      <w:pPr>
        <w:spacing w:line="360" w:lineRule="auto"/>
        <w:ind w:left="-6" w:leftChars="-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姓名：    性别：   年龄：   职务：</w:t>
      </w:r>
    </w:p>
    <w:p w14:paraId="0E007C7C">
      <w:pPr>
        <w:spacing w:line="360" w:lineRule="auto"/>
        <w:ind w:left="-6" w:leftChars="-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身份证号码：系</w:t>
      </w:r>
      <w:r>
        <w:rPr>
          <w:rFonts w:hint="eastAsia" w:ascii="宋体" w:hAnsi="宋体" w:eastAsia="宋体" w:cs="宋体"/>
          <w:color w:val="auto"/>
          <w:sz w:val="24"/>
          <w:highlight w:val="none"/>
          <w:u w:val="single"/>
        </w:rPr>
        <w:t xml:space="preserve">               （单位名称）</w:t>
      </w:r>
      <w:r>
        <w:rPr>
          <w:rFonts w:hint="eastAsia" w:ascii="宋体" w:hAnsi="宋体" w:eastAsia="宋体" w:cs="宋体"/>
          <w:color w:val="auto"/>
          <w:sz w:val="24"/>
          <w:highlight w:val="none"/>
        </w:rPr>
        <w:t>的法定代表人。</w:t>
      </w:r>
    </w:p>
    <w:p w14:paraId="5D0635B9">
      <w:pPr>
        <w:spacing w:line="360" w:lineRule="auto"/>
        <w:ind w:left="-6" w:leftChars="-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599835C">
      <w:pPr>
        <w:spacing w:line="360" w:lineRule="auto"/>
        <w:ind w:left="4070" w:leftChars="1881" w:hanging="120" w:hangingChars="50"/>
        <w:rPr>
          <w:rFonts w:hint="eastAsia" w:ascii="宋体" w:hAnsi="宋体" w:eastAsia="宋体" w:cs="宋体"/>
          <w:color w:val="auto"/>
          <w:sz w:val="24"/>
          <w:highlight w:val="none"/>
        </w:rPr>
      </w:pP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0CB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9440" w:type="dxa"/>
          </w:tcPr>
          <w:p w14:paraId="377D5D60">
            <w:pPr>
              <w:spacing w:line="360" w:lineRule="auto"/>
              <w:jc w:val="center"/>
              <w:rPr>
                <w:rFonts w:hint="eastAsia" w:ascii="宋体" w:hAnsi="宋体" w:eastAsia="宋体" w:cs="宋体"/>
                <w:color w:val="auto"/>
                <w:sz w:val="24"/>
                <w:highlight w:val="none"/>
              </w:rPr>
            </w:pPr>
          </w:p>
          <w:p w14:paraId="102A185D">
            <w:pPr>
              <w:spacing w:line="360" w:lineRule="auto"/>
              <w:jc w:val="center"/>
              <w:rPr>
                <w:rFonts w:hint="eastAsia" w:ascii="宋体" w:hAnsi="宋体" w:eastAsia="宋体" w:cs="宋体"/>
                <w:color w:val="auto"/>
                <w:sz w:val="24"/>
                <w:highlight w:val="none"/>
              </w:rPr>
            </w:pPr>
          </w:p>
          <w:p w14:paraId="5D5A4C4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tc>
      </w:tr>
    </w:tbl>
    <w:p w14:paraId="21AF8CE0">
      <w:pPr>
        <w:spacing w:line="360" w:lineRule="auto"/>
        <w:ind w:left="4070" w:leftChars="1881" w:hanging="120" w:hangingChars="50"/>
        <w:rPr>
          <w:rFonts w:hint="eastAsia" w:ascii="宋体" w:hAnsi="宋体" w:eastAsia="宋体" w:cs="宋体"/>
          <w:color w:val="auto"/>
          <w:sz w:val="24"/>
          <w:highlight w:val="none"/>
        </w:rPr>
      </w:pPr>
    </w:p>
    <w:p w14:paraId="2914840F">
      <w:pPr>
        <w:spacing w:line="360" w:lineRule="auto"/>
        <w:ind w:left="4070" w:leftChars="1881" w:hanging="120" w:hangingChars="50"/>
        <w:rPr>
          <w:rFonts w:hint="eastAsia" w:ascii="宋体" w:hAnsi="宋体" w:eastAsia="宋体" w:cs="宋体"/>
          <w:color w:val="auto"/>
          <w:sz w:val="24"/>
          <w:highlight w:val="none"/>
        </w:rPr>
      </w:pPr>
    </w:p>
    <w:p w14:paraId="7F63B4CA">
      <w:pPr>
        <w:spacing w:line="360" w:lineRule="auto"/>
        <w:ind w:left="4070" w:leftChars="1881" w:hanging="120" w:hanging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投  标  人(盖公章)：</w:t>
      </w:r>
    </w:p>
    <w:p w14:paraId="70CBA146">
      <w:pPr>
        <w:spacing w:line="360" w:lineRule="auto"/>
        <w:ind w:left="4070" w:leftChars="1881" w:hanging="120" w:hangingChars="50"/>
        <w:rPr>
          <w:rFonts w:hint="eastAsia" w:ascii="宋体" w:hAnsi="宋体" w:eastAsia="宋体" w:cs="宋体"/>
          <w:bCs/>
          <w:color w:val="auto"/>
          <w:sz w:val="24"/>
          <w:highlight w:val="none"/>
        </w:rPr>
      </w:pPr>
    </w:p>
    <w:p w14:paraId="3A58F55D">
      <w:pPr>
        <w:spacing w:line="360" w:lineRule="auto"/>
        <w:ind w:left="4070" w:leftChars="1881" w:hanging="120" w:hangingChars="50"/>
        <w:rPr>
          <w:rFonts w:hint="eastAsia" w:ascii="宋体" w:hAnsi="宋体" w:eastAsia="宋体" w:cs="宋体"/>
          <w:color w:val="auto"/>
          <w:sz w:val="24"/>
          <w:highlight w:val="none"/>
        </w:rPr>
      </w:pPr>
      <w:r>
        <w:rPr>
          <w:rFonts w:hint="eastAsia" w:ascii="宋体" w:hAnsi="宋体" w:eastAsia="宋体" w:cs="宋体"/>
          <w:bCs/>
          <w:color w:val="auto"/>
          <w:sz w:val="24"/>
          <w:highlight w:val="none"/>
        </w:rPr>
        <w:t xml:space="preserve">日      期：  </w:t>
      </w:r>
      <w:r>
        <w:rPr>
          <w:rFonts w:hint="eastAsia" w:ascii="宋体" w:hAnsi="宋体" w:eastAsia="宋体" w:cs="宋体"/>
          <w:color w:val="auto"/>
          <w:sz w:val="24"/>
          <w:highlight w:val="none"/>
        </w:rPr>
        <w:t>年  月  日</w:t>
      </w:r>
    </w:p>
    <w:p w14:paraId="5C3AA215">
      <w:pPr>
        <w:snapToGrid w:val="0"/>
        <w:spacing w:before="50" w:after="156" w:afterLines="50" w:line="360" w:lineRule="auto"/>
        <w:jc w:val="left"/>
        <w:rPr>
          <w:rFonts w:hint="eastAsia" w:ascii="宋体" w:hAnsi="宋体" w:eastAsia="宋体" w:cs="宋体"/>
          <w:b/>
          <w:color w:val="auto"/>
          <w:sz w:val="28"/>
          <w:szCs w:val="28"/>
          <w:highlight w:val="none"/>
        </w:rPr>
      </w:pPr>
    </w:p>
    <w:p w14:paraId="130C153B">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A2537E">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附件一-2</w:t>
      </w:r>
    </w:p>
    <w:p w14:paraId="17B71CE8">
      <w:pPr>
        <w:snapToGrid w:val="0"/>
        <w:spacing w:before="156" w:beforeLines="50" w:after="50" w:line="360" w:lineRule="auto"/>
        <w:jc w:val="center"/>
        <w:rPr>
          <w:rFonts w:hint="eastAsia" w:ascii="宋体" w:hAnsi="宋体" w:eastAsia="宋体" w:cs="宋体"/>
          <w:b/>
          <w:color w:val="auto"/>
          <w:sz w:val="28"/>
          <w:szCs w:val="28"/>
          <w:highlight w:val="none"/>
        </w:rPr>
      </w:pPr>
      <w:bookmarkStart w:id="143" w:name="_Hlk112924962"/>
      <w:r>
        <w:rPr>
          <w:rFonts w:hint="eastAsia" w:ascii="宋体" w:hAnsi="宋体" w:eastAsia="宋体" w:cs="宋体"/>
          <w:b/>
          <w:color w:val="auto"/>
          <w:sz w:val="28"/>
          <w:szCs w:val="28"/>
          <w:highlight w:val="none"/>
        </w:rPr>
        <w:t>法定代表人授权委托书</w:t>
      </w:r>
    </w:p>
    <w:p w14:paraId="21DF87E9">
      <w:pPr>
        <w:snapToGrid w:val="0"/>
        <w:spacing w:before="156" w:beforeLines="50" w:after="50" w:line="360" w:lineRule="auto"/>
        <w:rPr>
          <w:rFonts w:hint="eastAsia" w:ascii="宋体" w:hAnsi="宋体" w:eastAsia="宋体" w:cs="宋体"/>
          <w:b/>
          <w:bCs/>
          <w:color w:val="auto"/>
          <w:sz w:val="24"/>
          <w:highlight w:val="none"/>
        </w:rPr>
      </w:pPr>
      <w:r>
        <w:rPr>
          <w:rFonts w:hint="eastAsia" w:ascii="宋体" w:hAnsi="宋体" w:eastAsia="宋体" w:cs="宋体"/>
          <w:bCs/>
          <w:color w:val="auto"/>
          <w:sz w:val="24"/>
          <w:highlight w:val="none"/>
        </w:rPr>
        <w:t>致：</w:t>
      </w:r>
      <w:r>
        <w:rPr>
          <w:rFonts w:hint="eastAsia" w:ascii="宋体" w:hAnsi="宋体" w:cs="宋体"/>
          <w:color w:val="auto"/>
          <w:sz w:val="24"/>
          <w:highlight w:val="none"/>
          <w:u w:val="single"/>
          <w:lang w:eastAsia="zh-CN"/>
        </w:rPr>
        <w:t>温州港南岳港务有限公司</w:t>
      </w:r>
      <w:r>
        <w:rPr>
          <w:rFonts w:hint="eastAsia" w:ascii="宋体" w:hAnsi="宋体" w:eastAsia="宋体" w:cs="宋体"/>
          <w:color w:val="auto"/>
          <w:sz w:val="24"/>
          <w:highlight w:val="none"/>
        </w:rPr>
        <w:t>：</w:t>
      </w:r>
    </w:p>
    <w:p w14:paraId="1ECA634E">
      <w:pPr>
        <w:snapToGrid w:val="0"/>
        <w:spacing w:before="156" w:beforeLines="50" w:after="50"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（投标人名称）</w:t>
      </w:r>
      <w:r>
        <w:rPr>
          <w:rFonts w:hint="eastAsia" w:ascii="宋体" w:hAnsi="宋体" w:eastAsia="宋体" w:cs="宋体"/>
          <w:color w:val="auto"/>
          <w:sz w:val="24"/>
          <w:highlight w:val="none"/>
        </w:rPr>
        <w:t>的法定代表人，现授权委托本单位在职职工</w:t>
      </w:r>
      <w:r>
        <w:rPr>
          <w:rFonts w:hint="eastAsia" w:ascii="宋体" w:hAnsi="宋体" w:eastAsia="宋体" w:cs="宋体"/>
          <w:color w:val="auto"/>
          <w:sz w:val="24"/>
          <w:highlight w:val="none"/>
          <w:u w:val="single"/>
        </w:rPr>
        <w:t>（姓名）</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项目</w:t>
      </w:r>
      <w:r>
        <w:rPr>
          <w:rFonts w:hint="eastAsia" w:ascii="宋体" w:hAnsi="宋体" w:eastAsia="宋体" w:cs="宋体"/>
          <w:color w:val="auto"/>
          <w:sz w:val="24"/>
          <w:highlight w:val="none"/>
        </w:rPr>
        <w:t>的投标活动，并代表我方办理针对上述项目的投标、开标、评标、签约等具体事务和签署相关文件。</w:t>
      </w:r>
    </w:p>
    <w:p w14:paraId="0332F76F">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我方对被授权人的签名事项负全部责任。</w:t>
      </w:r>
    </w:p>
    <w:p w14:paraId="111230AB">
      <w:pPr>
        <w:snapToGrid w:val="0"/>
        <w:spacing w:before="156" w:beforeLines="50" w:after="5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在撤销授权的书面通知以前，本授权书一直有效。</w:t>
      </w:r>
      <w:r>
        <w:rPr>
          <w:rFonts w:hint="eastAsia" w:ascii="宋体" w:hAnsi="宋体" w:eastAsia="宋体" w:cs="宋体"/>
          <w:color w:val="auto"/>
          <w:sz w:val="24"/>
          <w:highlight w:val="none"/>
        </w:rPr>
        <w:t>被授权人在授权书有效期内签署的所有文件不因授权的撤销而失效。</w:t>
      </w:r>
    </w:p>
    <w:p w14:paraId="7AB99AC4">
      <w:pPr>
        <w:snapToGrid w:val="0"/>
        <w:spacing w:before="156" w:beforeLines="50" w:after="50"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被授权人无转委托权，特此委托。</w:t>
      </w:r>
    </w:p>
    <w:p w14:paraId="7445E43D">
      <w:pPr>
        <w:snapToGrid w:val="0"/>
        <w:spacing w:before="156" w:beforeLines="50" w:after="50" w:line="360" w:lineRule="auto"/>
        <w:rPr>
          <w:rFonts w:hint="eastAsia" w:ascii="宋体" w:hAnsi="宋体" w:eastAsia="宋体" w:cs="宋体"/>
          <w:color w:val="auto"/>
          <w:sz w:val="24"/>
          <w:highlight w:val="none"/>
        </w:rPr>
      </w:pPr>
    </w:p>
    <w:p w14:paraId="499EE311">
      <w:pPr>
        <w:snapToGrid w:val="0"/>
        <w:spacing w:before="156" w:beforeLines="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被授权人签名：            法定代表人签名：</w:t>
      </w:r>
    </w:p>
    <w:p w14:paraId="152B4A6A">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职务：                    职务：</w:t>
      </w:r>
    </w:p>
    <w:p w14:paraId="2AAE74D8">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被授权人身份证号码：</w:t>
      </w:r>
    </w:p>
    <w:p w14:paraId="3B980A6A">
      <w:pPr>
        <w:snapToGrid w:val="0"/>
        <w:spacing w:before="156" w:beforeLines="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投标人公章： 年 月 日</w:t>
      </w:r>
    </w:p>
    <w:tbl>
      <w:tblPr>
        <w:tblStyle w:val="29"/>
        <w:tblpPr w:leftFromText="180" w:rightFromText="180" w:vertAnchor="text" w:horzAnchor="margin" w:tblpXSpec="center" w:tblpY="8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7"/>
      </w:tblGrid>
      <w:tr w14:paraId="0AFD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trPr>
        <w:tc>
          <w:tcPr>
            <w:tcW w:w="5327" w:type="dxa"/>
          </w:tcPr>
          <w:p w14:paraId="003E86D6">
            <w:pPr>
              <w:spacing w:line="440" w:lineRule="exact"/>
              <w:rPr>
                <w:rFonts w:hint="eastAsia" w:ascii="宋体" w:hAnsi="宋体" w:eastAsia="宋体" w:cs="宋体"/>
                <w:color w:val="auto"/>
                <w:sz w:val="24"/>
                <w:highlight w:val="none"/>
              </w:rPr>
            </w:pPr>
          </w:p>
          <w:p w14:paraId="6199A197">
            <w:pPr>
              <w:spacing w:line="440" w:lineRule="exact"/>
              <w:rPr>
                <w:rFonts w:hint="eastAsia" w:ascii="宋体" w:hAnsi="宋体" w:eastAsia="宋体" w:cs="宋体"/>
                <w:color w:val="auto"/>
                <w:sz w:val="24"/>
                <w:highlight w:val="none"/>
              </w:rPr>
            </w:pPr>
          </w:p>
          <w:p w14:paraId="5A365A05">
            <w:pPr>
              <w:spacing w:line="440" w:lineRule="exact"/>
              <w:rPr>
                <w:rFonts w:hint="eastAsia" w:ascii="宋体" w:hAnsi="宋体" w:eastAsia="宋体" w:cs="宋体"/>
                <w:color w:val="auto"/>
                <w:sz w:val="24"/>
                <w:highlight w:val="none"/>
              </w:rPr>
            </w:pPr>
          </w:p>
          <w:p w14:paraId="0F90F55D">
            <w:pPr>
              <w:spacing w:line="440" w:lineRule="exact"/>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委托授权人身份证扫描件</w:t>
            </w:r>
          </w:p>
          <w:p w14:paraId="5943CF7B">
            <w:pPr>
              <w:spacing w:line="440" w:lineRule="exact"/>
              <w:ind w:firstLine="1920" w:firstLineChars="800"/>
              <w:rPr>
                <w:rFonts w:hint="eastAsia" w:ascii="宋体" w:hAnsi="宋体" w:eastAsia="宋体" w:cs="宋体"/>
                <w:color w:val="auto"/>
                <w:sz w:val="24"/>
                <w:highlight w:val="none"/>
              </w:rPr>
            </w:pPr>
            <w:r>
              <w:rPr>
                <w:rFonts w:hint="eastAsia" w:ascii="宋体" w:hAnsi="宋体" w:eastAsia="宋体" w:cs="宋体"/>
                <w:color w:val="auto"/>
                <w:sz w:val="24"/>
                <w:highlight w:val="none"/>
              </w:rPr>
              <w:t>（粘贴处）</w:t>
            </w:r>
          </w:p>
        </w:tc>
      </w:tr>
    </w:tbl>
    <w:p w14:paraId="39F9C15B">
      <w:pPr>
        <w:spacing w:line="400" w:lineRule="exact"/>
        <w:ind w:firstLine="560" w:firstLineChars="200"/>
        <w:rPr>
          <w:rFonts w:hint="eastAsia" w:ascii="宋体" w:hAnsi="宋体" w:eastAsia="宋体" w:cs="宋体"/>
          <w:color w:val="auto"/>
          <w:spacing w:val="-4"/>
          <w:sz w:val="24"/>
          <w:highlight w:val="none"/>
        </w:rPr>
      </w:pPr>
      <w:r>
        <w:rPr>
          <w:rFonts w:hint="eastAsia" w:ascii="宋体" w:hAnsi="宋体" w:eastAsia="宋体" w:cs="宋体"/>
          <w:color w:val="auto"/>
          <w:sz w:val="28"/>
          <w:szCs w:val="28"/>
          <w:highlight w:val="none"/>
        </w:rPr>
        <w:br w:type="page"/>
      </w:r>
    </w:p>
    <w:bookmarkEnd w:id="143"/>
    <w:p w14:paraId="382F374B">
      <w:pPr>
        <w:snapToGrid w:val="0"/>
        <w:spacing w:before="156" w:beforeLines="50" w:after="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附件一-3</w:t>
      </w:r>
    </w:p>
    <w:p w14:paraId="08D39D07">
      <w:pPr>
        <w:spacing w:line="360" w:lineRule="auto"/>
        <w:jc w:val="center"/>
        <w:rPr>
          <w:rFonts w:hint="eastAsia" w:ascii="宋体" w:hAnsi="宋体" w:eastAsia="宋体" w:cs="宋体"/>
          <w:b/>
          <w:bCs/>
          <w:snapToGrid w:val="0"/>
          <w:color w:val="auto"/>
          <w:sz w:val="28"/>
          <w:szCs w:val="28"/>
          <w:highlight w:val="none"/>
        </w:rPr>
      </w:pPr>
      <w:r>
        <w:rPr>
          <w:rFonts w:hint="eastAsia" w:ascii="宋体" w:hAnsi="宋体" w:eastAsia="宋体" w:cs="宋体"/>
          <w:b/>
          <w:bCs/>
          <w:snapToGrid w:val="0"/>
          <w:color w:val="auto"/>
          <w:sz w:val="28"/>
          <w:szCs w:val="28"/>
          <w:highlight w:val="none"/>
        </w:rPr>
        <w:t xml:space="preserve">营业执照(或事业法人登记证书或其它工商等登记证明材料) </w:t>
      </w:r>
    </w:p>
    <w:p w14:paraId="303DD74B">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说明：</w:t>
      </w:r>
    </w:p>
    <w:p w14:paraId="20637B56">
      <w:pP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其他供应商应按照有关法律、法规和规章规定，提供有效的相应具体证照复印件。</w:t>
      </w:r>
    </w:p>
    <w:p w14:paraId="6C19E4D7">
      <w:pPr>
        <w:widowControl/>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t>2、供应商提供的相应证明材料复印件均应符合：内容完整、清晰、整洁，并由供应商加盖其单位公章。</w:t>
      </w:r>
    </w:p>
    <w:p w14:paraId="53776DC8">
      <w:pPr>
        <w:widowControl/>
        <w:adjustRightInd w:val="0"/>
        <w:snapToGrid w:val="0"/>
        <w:spacing w:line="360" w:lineRule="auto"/>
        <w:jc w:val="center"/>
        <w:rPr>
          <w:rFonts w:hint="eastAsia" w:ascii="宋体" w:hAnsi="宋体" w:eastAsia="宋体" w:cs="宋体"/>
          <w:b/>
          <w:color w:val="auto"/>
          <w:sz w:val="28"/>
          <w:szCs w:val="28"/>
          <w:highlight w:val="none"/>
        </w:rPr>
      </w:pPr>
    </w:p>
    <w:p w14:paraId="596364B2">
      <w:pPr>
        <w:widowControl/>
        <w:adjustRightInd w:val="0"/>
        <w:snapToGrid w:val="0"/>
        <w:spacing w:line="360" w:lineRule="auto"/>
        <w:jc w:val="center"/>
        <w:rPr>
          <w:rFonts w:hint="eastAsia" w:ascii="宋体" w:hAnsi="宋体" w:eastAsia="宋体" w:cs="宋体"/>
          <w:b/>
          <w:color w:val="auto"/>
          <w:sz w:val="28"/>
          <w:szCs w:val="28"/>
          <w:highlight w:val="none"/>
        </w:rPr>
      </w:pPr>
    </w:p>
    <w:p w14:paraId="4963381E">
      <w:pPr>
        <w:widowControl/>
        <w:adjustRightInd w:val="0"/>
        <w:snapToGrid w:val="0"/>
        <w:spacing w:line="360" w:lineRule="auto"/>
        <w:jc w:val="center"/>
        <w:rPr>
          <w:rFonts w:hint="eastAsia" w:ascii="宋体" w:hAnsi="宋体" w:eastAsia="宋体" w:cs="宋体"/>
          <w:b/>
          <w:color w:val="auto"/>
          <w:sz w:val="28"/>
          <w:szCs w:val="28"/>
          <w:highlight w:val="none"/>
        </w:rPr>
      </w:pPr>
    </w:p>
    <w:p w14:paraId="3B816CB8">
      <w:pPr>
        <w:widowControl/>
        <w:adjustRightInd w:val="0"/>
        <w:snapToGrid w:val="0"/>
        <w:spacing w:line="360" w:lineRule="auto"/>
        <w:jc w:val="center"/>
        <w:rPr>
          <w:rFonts w:hint="eastAsia" w:ascii="宋体" w:hAnsi="宋体" w:eastAsia="宋体" w:cs="宋体"/>
          <w:b/>
          <w:color w:val="auto"/>
          <w:sz w:val="28"/>
          <w:szCs w:val="28"/>
          <w:highlight w:val="none"/>
        </w:rPr>
      </w:pPr>
    </w:p>
    <w:p w14:paraId="53C5EEA6">
      <w:pPr>
        <w:widowControl/>
        <w:adjustRightInd w:val="0"/>
        <w:snapToGrid w:val="0"/>
        <w:spacing w:line="360" w:lineRule="auto"/>
        <w:jc w:val="center"/>
        <w:rPr>
          <w:rFonts w:hint="eastAsia" w:ascii="宋体" w:hAnsi="宋体" w:eastAsia="宋体" w:cs="宋体"/>
          <w:b/>
          <w:color w:val="auto"/>
          <w:sz w:val="28"/>
          <w:szCs w:val="28"/>
          <w:highlight w:val="none"/>
        </w:rPr>
      </w:pPr>
    </w:p>
    <w:p w14:paraId="0DB048BB">
      <w:pPr>
        <w:widowControl/>
        <w:adjustRightInd w:val="0"/>
        <w:snapToGrid w:val="0"/>
        <w:spacing w:line="360" w:lineRule="auto"/>
        <w:jc w:val="center"/>
        <w:rPr>
          <w:rFonts w:hint="eastAsia" w:ascii="宋体" w:hAnsi="宋体" w:eastAsia="宋体" w:cs="宋体"/>
          <w:b/>
          <w:color w:val="auto"/>
          <w:sz w:val="28"/>
          <w:szCs w:val="28"/>
          <w:highlight w:val="none"/>
        </w:rPr>
      </w:pPr>
    </w:p>
    <w:p w14:paraId="49F6550A">
      <w:pPr>
        <w:widowControl/>
        <w:adjustRightInd w:val="0"/>
        <w:snapToGrid w:val="0"/>
        <w:spacing w:line="360" w:lineRule="auto"/>
        <w:jc w:val="center"/>
        <w:rPr>
          <w:rFonts w:hint="eastAsia" w:ascii="宋体" w:hAnsi="宋体" w:eastAsia="宋体" w:cs="宋体"/>
          <w:b/>
          <w:color w:val="auto"/>
          <w:sz w:val="28"/>
          <w:szCs w:val="28"/>
          <w:highlight w:val="none"/>
        </w:rPr>
      </w:pPr>
    </w:p>
    <w:p w14:paraId="23276D5B">
      <w:pPr>
        <w:widowControl/>
        <w:adjustRightInd w:val="0"/>
        <w:snapToGrid w:val="0"/>
        <w:spacing w:line="360" w:lineRule="auto"/>
        <w:jc w:val="center"/>
        <w:rPr>
          <w:rFonts w:hint="eastAsia" w:ascii="宋体" w:hAnsi="宋体" w:eastAsia="宋体" w:cs="宋体"/>
          <w:b/>
          <w:color w:val="auto"/>
          <w:sz w:val="28"/>
          <w:szCs w:val="28"/>
          <w:highlight w:val="none"/>
        </w:rPr>
      </w:pPr>
    </w:p>
    <w:p w14:paraId="01431DCD">
      <w:pPr>
        <w:widowControl/>
        <w:adjustRightInd w:val="0"/>
        <w:snapToGrid w:val="0"/>
        <w:spacing w:line="360" w:lineRule="auto"/>
        <w:jc w:val="center"/>
        <w:rPr>
          <w:rFonts w:hint="eastAsia" w:ascii="宋体" w:hAnsi="宋体" w:eastAsia="宋体" w:cs="宋体"/>
          <w:b/>
          <w:color w:val="auto"/>
          <w:sz w:val="28"/>
          <w:szCs w:val="28"/>
          <w:highlight w:val="none"/>
        </w:rPr>
      </w:pPr>
    </w:p>
    <w:p w14:paraId="6FC6548D">
      <w:pPr>
        <w:widowControl/>
        <w:adjustRightInd w:val="0"/>
        <w:snapToGrid w:val="0"/>
        <w:spacing w:line="360" w:lineRule="auto"/>
        <w:jc w:val="center"/>
        <w:rPr>
          <w:rFonts w:hint="eastAsia" w:ascii="宋体" w:hAnsi="宋体" w:eastAsia="宋体" w:cs="宋体"/>
          <w:b/>
          <w:color w:val="auto"/>
          <w:sz w:val="28"/>
          <w:szCs w:val="28"/>
          <w:highlight w:val="none"/>
        </w:rPr>
      </w:pPr>
    </w:p>
    <w:p w14:paraId="6DAF9D49">
      <w:pPr>
        <w:widowControl/>
        <w:adjustRightInd w:val="0"/>
        <w:snapToGrid w:val="0"/>
        <w:spacing w:line="360" w:lineRule="auto"/>
        <w:jc w:val="center"/>
        <w:rPr>
          <w:rFonts w:hint="eastAsia" w:ascii="宋体" w:hAnsi="宋体" w:eastAsia="宋体" w:cs="宋体"/>
          <w:b/>
          <w:color w:val="auto"/>
          <w:sz w:val="28"/>
          <w:szCs w:val="28"/>
          <w:highlight w:val="none"/>
        </w:rPr>
      </w:pPr>
    </w:p>
    <w:p w14:paraId="14379FE8">
      <w:pPr>
        <w:widowControl/>
        <w:adjustRightInd w:val="0"/>
        <w:snapToGrid w:val="0"/>
        <w:spacing w:line="360" w:lineRule="auto"/>
        <w:jc w:val="center"/>
        <w:rPr>
          <w:rFonts w:hint="eastAsia" w:ascii="宋体" w:hAnsi="宋体" w:eastAsia="宋体" w:cs="宋体"/>
          <w:b/>
          <w:color w:val="auto"/>
          <w:sz w:val="28"/>
          <w:szCs w:val="28"/>
          <w:highlight w:val="none"/>
        </w:rPr>
      </w:pPr>
    </w:p>
    <w:p w14:paraId="6A56C069">
      <w:pPr>
        <w:pStyle w:val="28"/>
        <w:rPr>
          <w:rFonts w:hint="eastAsia" w:ascii="宋体" w:hAnsi="宋体" w:eastAsia="宋体" w:cs="宋体"/>
          <w:color w:val="auto"/>
          <w:highlight w:val="none"/>
        </w:rPr>
      </w:pPr>
    </w:p>
    <w:p w14:paraId="4F4C4E28">
      <w:pPr>
        <w:rPr>
          <w:rFonts w:hint="eastAsia" w:ascii="宋体" w:hAnsi="宋体" w:eastAsia="宋体" w:cs="宋体"/>
          <w:color w:val="auto"/>
          <w:highlight w:val="none"/>
        </w:rPr>
      </w:pPr>
    </w:p>
    <w:p w14:paraId="2673DDCA">
      <w:pPr>
        <w:pStyle w:val="28"/>
        <w:rPr>
          <w:rFonts w:hint="eastAsia" w:ascii="宋体" w:hAnsi="宋体" w:eastAsia="宋体" w:cs="宋体"/>
          <w:color w:val="auto"/>
          <w:highlight w:val="none"/>
        </w:rPr>
      </w:pPr>
    </w:p>
    <w:p w14:paraId="4AD9E85F">
      <w:pPr>
        <w:rPr>
          <w:rFonts w:hint="eastAsia" w:ascii="宋体" w:hAnsi="宋体" w:eastAsia="宋体" w:cs="宋体"/>
          <w:color w:val="auto"/>
          <w:highlight w:val="none"/>
        </w:rPr>
      </w:pPr>
    </w:p>
    <w:p w14:paraId="4B495FE6">
      <w:pPr>
        <w:pStyle w:val="28"/>
        <w:rPr>
          <w:rFonts w:hint="eastAsia" w:ascii="宋体" w:hAnsi="宋体" w:eastAsia="宋体" w:cs="宋体"/>
          <w:color w:val="auto"/>
          <w:highlight w:val="none"/>
        </w:rPr>
      </w:pPr>
    </w:p>
    <w:p w14:paraId="2CFBCC3F">
      <w:pPr>
        <w:rPr>
          <w:rFonts w:hint="eastAsia" w:ascii="宋体" w:hAnsi="宋体" w:eastAsia="宋体" w:cs="宋体"/>
          <w:color w:val="auto"/>
          <w:highlight w:val="none"/>
        </w:rPr>
      </w:pPr>
    </w:p>
    <w:p w14:paraId="274983E4">
      <w:pPr>
        <w:pStyle w:val="28"/>
        <w:rPr>
          <w:rFonts w:hint="eastAsia" w:ascii="宋体" w:hAnsi="宋体" w:eastAsia="宋体" w:cs="宋体"/>
          <w:color w:val="auto"/>
          <w:highlight w:val="none"/>
        </w:rPr>
      </w:pPr>
    </w:p>
    <w:p w14:paraId="00B24576">
      <w:pPr>
        <w:snapToGrid w:val="0"/>
        <w:spacing w:before="156" w:beforeLines="50" w:after="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附件一-4</w:t>
      </w:r>
    </w:p>
    <w:p w14:paraId="74724A2F">
      <w:pPr>
        <w:widowControl/>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具有履行合同所必需的设备和专业技术能力的承诺函</w:t>
      </w:r>
    </w:p>
    <w:p w14:paraId="3F5E730F">
      <w:pPr>
        <w:widowControl/>
        <w:adjustRightInd w:val="0"/>
        <w:snapToGrid w:val="0"/>
        <w:spacing w:line="360" w:lineRule="auto"/>
        <w:jc w:val="center"/>
        <w:rPr>
          <w:rFonts w:hint="eastAsia" w:ascii="宋体" w:hAnsi="宋体" w:eastAsia="宋体" w:cs="宋体"/>
          <w:b/>
          <w:color w:val="auto"/>
          <w:kern w:val="0"/>
          <w:sz w:val="28"/>
          <w:szCs w:val="28"/>
          <w:highlight w:val="none"/>
        </w:rPr>
      </w:pPr>
    </w:p>
    <w:p w14:paraId="7BD645A2">
      <w:pPr>
        <w:spacing w:line="460" w:lineRule="exact"/>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温州港南岳港务有限公司</w:t>
      </w:r>
      <w:r>
        <w:rPr>
          <w:rFonts w:hint="eastAsia" w:ascii="宋体" w:hAnsi="宋体" w:eastAsia="宋体" w:cs="宋体"/>
          <w:color w:val="auto"/>
          <w:sz w:val="22"/>
          <w:szCs w:val="22"/>
          <w:highlight w:val="none"/>
        </w:rPr>
        <w:t>：</w:t>
      </w:r>
    </w:p>
    <w:p w14:paraId="45A98852">
      <w:pPr>
        <w:widowControl/>
        <w:adjustRightInd w:val="0"/>
        <w:snapToGrid w:val="0"/>
        <w:spacing w:line="360" w:lineRule="auto"/>
        <w:jc w:val="left"/>
        <w:rPr>
          <w:rFonts w:hint="eastAsia" w:ascii="宋体" w:hAnsi="宋体" w:eastAsia="宋体" w:cs="宋体"/>
          <w:color w:val="auto"/>
          <w:sz w:val="22"/>
          <w:szCs w:val="22"/>
          <w:highlight w:val="none"/>
        </w:rPr>
      </w:pPr>
    </w:p>
    <w:p w14:paraId="09159BF3">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（供应商）</w:t>
      </w:r>
      <w:r>
        <w:rPr>
          <w:rFonts w:hint="eastAsia" w:ascii="宋体" w:hAnsi="宋体" w:eastAsia="宋体" w:cs="宋体"/>
          <w:color w:val="auto"/>
          <w:kern w:val="0"/>
          <w:sz w:val="22"/>
          <w:szCs w:val="22"/>
          <w:highlight w:val="none"/>
        </w:rPr>
        <w:t>承诺具有履行本次</w:t>
      </w:r>
      <w:r>
        <w:rPr>
          <w:rFonts w:hint="eastAsia" w:ascii="宋体" w:hAnsi="宋体" w:eastAsia="宋体" w:cs="宋体"/>
          <w:color w:val="auto"/>
          <w:kern w:val="0"/>
          <w:sz w:val="22"/>
          <w:szCs w:val="22"/>
          <w:highlight w:val="none"/>
          <w:u w:val="single"/>
        </w:rPr>
        <w:t xml:space="preserve">    （项目编号：  ）</w:t>
      </w:r>
      <w:r>
        <w:rPr>
          <w:rFonts w:hint="eastAsia" w:ascii="宋体" w:hAnsi="宋体" w:eastAsia="宋体" w:cs="宋体"/>
          <w:color w:val="auto"/>
          <w:kern w:val="0"/>
          <w:sz w:val="22"/>
          <w:szCs w:val="22"/>
          <w:highlight w:val="none"/>
        </w:rPr>
        <w:t>合同所必需的设备和专业技术能力。如有虚假，招标人可取消我方任何资格（投标/中标/签订合同），我方对此无任何异议。</w:t>
      </w:r>
    </w:p>
    <w:p w14:paraId="0125B3CB">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p>
    <w:p w14:paraId="77199EC4">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p>
    <w:p w14:paraId="4BFDB1AF">
      <w:pPr>
        <w:widowControl/>
        <w:adjustRightInd w:val="0"/>
        <w:snapToGrid w:val="0"/>
        <w:spacing w:line="360" w:lineRule="auto"/>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002BC2EB">
      <w:pPr>
        <w:pStyle w:val="28"/>
        <w:ind w:firstLine="440"/>
        <w:rPr>
          <w:rFonts w:hint="eastAsia" w:ascii="宋体" w:hAnsi="宋体" w:eastAsia="宋体" w:cs="宋体"/>
          <w:color w:val="auto"/>
          <w:kern w:val="0"/>
          <w:sz w:val="22"/>
          <w:szCs w:val="22"/>
          <w:highlight w:val="none"/>
        </w:rPr>
      </w:pPr>
    </w:p>
    <w:p w14:paraId="2F5BF396">
      <w:pPr>
        <w:rPr>
          <w:rFonts w:hint="eastAsia" w:ascii="宋体" w:hAnsi="宋体" w:eastAsia="宋体" w:cs="宋体"/>
          <w:color w:val="auto"/>
          <w:sz w:val="22"/>
          <w:szCs w:val="22"/>
          <w:highlight w:val="none"/>
        </w:rPr>
      </w:pPr>
    </w:p>
    <w:p w14:paraId="3D81F16D">
      <w:pPr>
        <w:snapToGrid w:val="0"/>
        <w:spacing w:before="50" w:after="156" w:afterLines="50" w:line="360" w:lineRule="auto"/>
        <w:jc w:val="left"/>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投标人全称（盖章）：</w:t>
      </w:r>
    </w:p>
    <w:p w14:paraId="5360853F">
      <w:pPr>
        <w:snapToGrid w:val="0"/>
        <w:spacing w:before="50" w:after="50"/>
        <w:ind w:right="-113" w:rightChars="-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345AAAA3">
      <w:pPr>
        <w:snapToGrid w:val="0"/>
        <w:spacing w:before="50" w:after="50"/>
        <w:ind w:right="-113" w:rightChars="-54"/>
        <w:rPr>
          <w:rFonts w:hint="eastAsia" w:ascii="宋体" w:hAnsi="宋体" w:eastAsia="宋体" w:cs="宋体"/>
          <w:color w:val="auto"/>
          <w:sz w:val="22"/>
          <w:szCs w:val="22"/>
          <w:highlight w:val="none"/>
        </w:rPr>
      </w:pPr>
    </w:p>
    <w:p w14:paraId="100E25D4">
      <w:pPr>
        <w:snapToGrid w:val="0"/>
        <w:spacing w:before="50" w:after="50"/>
        <w:ind w:right="-113" w:rightChars="-5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3D4BA727">
      <w:pPr>
        <w:snapToGrid w:val="0"/>
        <w:spacing w:before="50" w:after="156" w:afterLines="50" w:line="360" w:lineRule="auto"/>
        <w:jc w:val="left"/>
        <w:rPr>
          <w:rFonts w:hint="eastAsia" w:ascii="宋体" w:hAnsi="宋体" w:eastAsia="宋体" w:cs="宋体"/>
          <w:b/>
          <w:color w:val="auto"/>
          <w:sz w:val="28"/>
          <w:szCs w:val="28"/>
          <w:highlight w:val="none"/>
        </w:rPr>
      </w:pPr>
    </w:p>
    <w:p w14:paraId="16B29852">
      <w:pPr>
        <w:snapToGrid w:val="0"/>
        <w:spacing w:before="50" w:after="156" w:afterLines="50" w:line="360" w:lineRule="auto"/>
        <w:jc w:val="left"/>
        <w:rPr>
          <w:rFonts w:hint="eastAsia" w:ascii="宋体" w:hAnsi="宋体" w:eastAsia="宋体" w:cs="宋体"/>
          <w:b/>
          <w:color w:val="auto"/>
          <w:sz w:val="28"/>
          <w:szCs w:val="28"/>
          <w:highlight w:val="none"/>
        </w:rPr>
      </w:pPr>
    </w:p>
    <w:p w14:paraId="09D216D4">
      <w:pPr>
        <w:snapToGrid w:val="0"/>
        <w:spacing w:before="50" w:after="156" w:afterLines="50" w:line="360" w:lineRule="auto"/>
        <w:jc w:val="left"/>
        <w:rPr>
          <w:rFonts w:hint="eastAsia" w:ascii="宋体" w:hAnsi="宋体" w:eastAsia="宋体" w:cs="宋体"/>
          <w:b/>
          <w:color w:val="auto"/>
          <w:sz w:val="28"/>
          <w:szCs w:val="28"/>
          <w:highlight w:val="none"/>
        </w:rPr>
      </w:pPr>
    </w:p>
    <w:p w14:paraId="43C47BB0">
      <w:pPr>
        <w:snapToGrid w:val="0"/>
        <w:spacing w:before="50" w:after="156" w:afterLines="50" w:line="360" w:lineRule="auto"/>
        <w:jc w:val="left"/>
        <w:rPr>
          <w:rFonts w:hint="eastAsia" w:ascii="宋体" w:hAnsi="宋体" w:eastAsia="宋体" w:cs="宋体"/>
          <w:b/>
          <w:color w:val="auto"/>
          <w:sz w:val="28"/>
          <w:szCs w:val="28"/>
          <w:highlight w:val="none"/>
        </w:rPr>
      </w:pPr>
    </w:p>
    <w:p w14:paraId="30873718">
      <w:pPr>
        <w:snapToGrid w:val="0"/>
        <w:spacing w:before="50" w:after="156" w:afterLines="50" w:line="360" w:lineRule="auto"/>
        <w:jc w:val="left"/>
        <w:rPr>
          <w:rFonts w:hint="eastAsia" w:ascii="宋体" w:hAnsi="宋体" w:eastAsia="宋体" w:cs="宋体"/>
          <w:b/>
          <w:color w:val="auto"/>
          <w:sz w:val="28"/>
          <w:szCs w:val="28"/>
          <w:highlight w:val="none"/>
        </w:rPr>
      </w:pPr>
    </w:p>
    <w:p w14:paraId="65BD8666">
      <w:pPr>
        <w:snapToGrid w:val="0"/>
        <w:spacing w:before="50" w:after="156" w:afterLines="50" w:line="360" w:lineRule="auto"/>
        <w:jc w:val="left"/>
        <w:rPr>
          <w:rFonts w:hint="eastAsia" w:ascii="宋体" w:hAnsi="宋体" w:eastAsia="宋体" w:cs="宋体"/>
          <w:b/>
          <w:color w:val="auto"/>
          <w:sz w:val="28"/>
          <w:szCs w:val="28"/>
          <w:highlight w:val="none"/>
        </w:rPr>
      </w:pPr>
    </w:p>
    <w:p w14:paraId="02BB38F6">
      <w:pPr>
        <w:snapToGrid w:val="0"/>
        <w:spacing w:before="50" w:after="156" w:afterLines="50" w:line="360" w:lineRule="auto"/>
        <w:jc w:val="left"/>
        <w:rPr>
          <w:rFonts w:hint="eastAsia" w:ascii="宋体" w:hAnsi="宋体" w:eastAsia="宋体" w:cs="宋体"/>
          <w:b/>
          <w:color w:val="auto"/>
          <w:sz w:val="28"/>
          <w:szCs w:val="28"/>
          <w:highlight w:val="none"/>
        </w:rPr>
      </w:pPr>
    </w:p>
    <w:p w14:paraId="6AF91CB0">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185B3E9">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附件一-5</w:t>
      </w:r>
    </w:p>
    <w:p w14:paraId="0157558D">
      <w:pPr>
        <w:tabs>
          <w:tab w:val="left" w:pos="0"/>
          <w:tab w:val="left" w:pos="600"/>
          <w:tab w:val="left" w:pos="780"/>
        </w:tabs>
        <w:spacing w:line="40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具有良好的信誉和健全的财务会计制度的承诺函</w:t>
      </w:r>
    </w:p>
    <w:p w14:paraId="4F401DCC">
      <w:pPr>
        <w:widowControl/>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cs="宋体"/>
          <w:color w:val="auto"/>
          <w:kern w:val="0"/>
          <w:sz w:val="22"/>
          <w:szCs w:val="22"/>
          <w:highlight w:val="none"/>
          <w:u w:val="single"/>
          <w:lang w:eastAsia="zh-CN"/>
        </w:rPr>
        <w:t>温州港南岳港务有限公司</w:t>
      </w:r>
      <w:r>
        <w:rPr>
          <w:rFonts w:hint="eastAsia" w:ascii="宋体" w:hAnsi="宋体" w:eastAsia="宋体" w:cs="宋体"/>
          <w:color w:val="auto"/>
          <w:kern w:val="0"/>
          <w:sz w:val="22"/>
          <w:szCs w:val="22"/>
          <w:highlight w:val="none"/>
          <w:u w:val="single"/>
        </w:rPr>
        <w:t>：</w:t>
      </w:r>
      <w:r>
        <w:rPr>
          <w:rFonts w:hint="eastAsia" w:ascii="宋体" w:hAnsi="宋体" w:eastAsia="宋体" w:cs="宋体"/>
          <w:color w:val="auto"/>
          <w:kern w:val="0"/>
          <w:sz w:val="22"/>
          <w:szCs w:val="22"/>
          <w:highlight w:val="none"/>
        </w:rPr>
        <w:t xml:space="preserve"> </w:t>
      </w:r>
    </w:p>
    <w:p w14:paraId="3278B00C">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具有良好的商业信誉</w:t>
      </w:r>
      <w:r>
        <w:rPr>
          <w:rFonts w:hint="eastAsia" w:ascii="宋体" w:hAnsi="宋体" w:eastAsia="宋体" w:cs="宋体"/>
          <w:color w:val="auto"/>
          <w:sz w:val="22"/>
          <w:szCs w:val="22"/>
          <w:highlight w:val="none"/>
        </w:rPr>
        <w:t>和健全的财务会计制度</w:t>
      </w:r>
      <w:r>
        <w:rPr>
          <w:rFonts w:hint="eastAsia" w:ascii="宋体" w:hAnsi="宋体" w:eastAsia="宋体" w:cs="宋体"/>
          <w:color w:val="auto"/>
          <w:kern w:val="0"/>
          <w:sz w:val="22"/>
          <w:szCs w:val="22"/>
          <w:highlight w:val="none"/>
        </w:rPr>
        <w:t>，依法缴纳税收和社会保障资金，未被列入失信被执行人名单、重大税收违法案件当事人名单、采购严重违法失信行为记录名单，参加本次采购活动前3年内在经营活动中没有重大违法记录（没有因违法经营受到刑事处罚，没有被责令停产停业、被吊销许可证或者执照、被处以较大数额罚款等行政处罚，没有因违法经营被禁止参加采购活动的期限未满情形）。如有虚假，采购人可取消我方任何资格（投标/中标/签订合同），我方对此无任何异议。</w:t>
      </w:r>
    </w:p>
    <w:p w14:paraId="5557A807">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1331C325">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668BE914">
      <w:pPr>
        <w:widowControl/>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1D713AD6">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0135B319">
      <w:pP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123F537A">
      <w:pPr>
        <w:spacing w:line="380" w:lineRule="exact"/>
        <w:ind w:firstLine="440" w:firstLineChars="20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 期：  年  月  日</w:t>
      </w:r>
      <w:r>
        <w:rPr>
          <w:rFonts w:hint="eastAsia" w:ascii="宋体" w:hAnsi="宋体" w:eastAsia="宋体" w:cs="宋体"/>
          <w:b/>
          <w:bCs/>
          <w:color w:val="auto"/>
          <w:sz w:val="22"/>
          <w:szCs w:val="22"/>
          <w:highlight w:val="none"/>
        </w:rPr>
        <w:t xml:space="preserve"> </w:t>
      </w:r>
    </w:p>
    <w:p w14:paraId="48245BFF">
      <w:pPr>
        <w:spacing w:line="360" w:lineRule="auto"/>
        <w:jc w:val="left"/>
        <w:rPr>
          <w:rFonts w:hint="eastAsia" w:ascii="宋体" w:hAnsi="宋体" w:eastAsia="宋体" w:cs="宋体"/>
          <w:color w:val="auto"/>
          <w:sz w:val="22"/>
          <w:szCs w:val="22"/>
          <w:highlight w:val="none"/>
        </w:rPr>
      </w:pPr>
    </w:p>
    <w:p w14:paraId="7B563459">
      <w:pPr>
        <w:tabs>
          <w:tab w:val="left" w:pos="2830"/>
        </w:tabs>
        <w:snapToGrid w:val="0"/>
        <w:spacing w:before="50" w:after="50" w:line="360" w:lineRule="auto"/>
        <w:rPr>
          <w:rFonts w:hint="eastAsia" w:ascii="宋体" w:hAnsi="宋体" w:eastAsia="宋体" w:cs="宋体"/>
          <w:color w:val="auto"/>
          <w:sz w:val="28"/>
          <w:szCs w:val="28"/>
          <w:highlight w:val="none"/>
        </w:rPr>
      </w:pPr>
    </w:p>
    <w:p w14:paraId="008086C5">
      <w:pPr>
        <w:snapToGrid w:val="0"/>
        <w:spacing w:before="50" w:after="156" w:afterLines="50" w:line="360" w:lineRule="auto"/>
        <w:jc w:val="left"/>
        <w:rPr>
          <w:rFonts w:hint="eastAsia" w:ascii="宋体" w:hAnsi="宋体" w:eastAsia="宋体" w:cs="宋体"/>
          <w:b/>
          <w:color w:val="auto"/>
          <w:sz w:val="28"/>
          <w:szCs w:val="28"/>
          <w:highlight w:val="none"/>
        </w:rPr>
      </w:pPr>
    </w:p>
    <w:p w14:paraId="37A0921E">
      <w:pPr>
        <w:snapToGrid w:val="0"/>
        <w:spacing w:before="50" w:after="156" w:afterLines="50" w:line="360" w:lineRule="auto"/>
        <w:jc w:val="left"/>
        <w:rPr>
          <w:rFonts w:hint="eastAsia" w:ascii="宋体" w:hAnsi="宋体" w:eastAsia="宋体" w:cs="宋体"/>
          <w:b/>
          <w:color w:val="auto"/>
          <w:sz w:val="28"/>
          <w:szCs w:val="28"/>
          <w:highlight w:val="none"/>
        </w:rPr>
      </w:pPr>
    </w:p>
    <w:p w14:paraId="443FE912">
      <w:pPr>
        <w:snapToGrid w:val="0"/>
        <w:spacing w:before="50" w:after="156" w:afterLines="50" w:line="360" w:lineRule="auto"/>
        <w:jc w:val="left"/>
        <w:rPr>
          <w:rFonts w:hint="eastAsia" w:ascii="宋体" w:hAnsi="宋体" w:eastAsia="宋体" w:cs="宋体"/>
          <w:b/>
          <w:color w:val="auto"/>
          <w:sz w:val="28"/>
          <w:szCs w:val="28"/>
          <w:highlight w:val="none"/>
        </w:rPr>
      </w:pPr>
    </w:p>
    <w:p w14:paraId="0284B2F8">
      <w:pPr>
        <w:snapToGrid w:val="0"/>
        <w:spacing w:before="50" w:after="156" w:afterLines="50" w:line="360" w:lineRule="auto"/>
        <w:jc w:val="left"/>
        <w:rPr>
          <w:rFonts w:hint="eastAsia" w:ascii="宋体" w:hAnsi="宋体" w:eastAsia="宋体" w:cs="宋体"/>
          <w:b/>
          <w:color w:val="auto"/>
          <w:sz w:val="28"/>
          <w:szCs w:val="28"/>
          <w:highlight w:val="none"/>
        </w:rPr>
      </w:pPr>
    </w:p>
    <w:p w14:paraId="746350B5">
      <w:pPr>
        <w:snapToGrid w:val="0"/>
        <w:spacing w:before="50" w:after="156" w:afterLines="50" w:line="360" w:lineRule="auto"/>
        <w:jc w:val="left"/>
        <w:rPr>
          <w:rFonts w:hint="eastAsia" w:ascii="宋体" w:hAnsi="宋体" w:eastAsia="宋体" w:cs="宋体"/>
          <w:b/>
          <w:color w:val="auto"/>
          <w:sz w:val="28"/>
          <w:szCs w:val="28"/>
          <w:highlight w:val="none"/>
        </w:rPr>
      </w:pPr>
    </w:p>
    <w:p w14:paraId="0B695F86">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0C03CE7">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附件一-6</w:t>
      </w:r>
    </w:p>
    <w:p w14:paraId="59EAF3CD">
      <w:pPr>
        <w:spacing w:before="156" w:beforeLines="50" w:after="156" w:afterLines="50"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近5年公司所承担业务外包范围内无1人死亡及以上安全生产责任事故（含劳务外包人员）；未被列入安全生产严重失信主体名单。未被列入失信被执行人名单、重大税收违法案件当事人名单、政府采购严重违法失信行为记录名单，信用信息以信用中国网站（www.creditchina.gov.cn）、中国政府采购网（www.ccgp.gov.cn）公布为准。</w:t>
      </w:r>
    </w:p>
    <w:p w14:paraId="47B2772D">
      <w:pPr>
        <w:snapToGrid w:val="0"/>
        <w:spacing w:before="50" w:after="156" w:afterLines="50" w:line="360" w:lineRule="auto"/>
        <w:jc w:val="left"/>
        <w:rPr>
          <w:rFonts w:hint="eastAsia" w:ascii="宋体" w:hAnsi="宋体" w:eastAsia="宋体" w:cs="宋体"/>
          <w:b/>
          <w:color w:val="auto"/>
          <w:sz w:val="28"/>
          <w:szCs w:val="28"/>
          <w:highlight w:val="none"/>
        </w:rPr>
      </w:pPr>
    </w:p>
    <w:p w14:paraId="4D7EB2AF">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0976F639">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附件一-7</w:t>
      </w:r>
    </w:p>
    <w:p w14:paraId="46377E17">
      <w:pPr>
        <w:widowControl/>
        <w:ind w:firstLine="422" w:firstLineChars="200"/>
        <w:jc w:val="left"/>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投标人须具备CMA、CNAS检测鉴定证书</w:t>
      </w:r>
      <w:r>
        <w:rPr>
          <w:rFonts w:hint="eastAsia" w:ascii="宋体" w:hAnsi="宋体" w:eastAsia="宋体" w:cs="宋体"/>
          <w:b/>
          <w:color w:val="auto"/>
          <w:kern w:val="0"/>
          <w:sz w:val="24"/>
          <w:highlight w:val="none"/>
        </w:rPr>
        <w:t>；</w:t>
      </w:r>
      <w:r>
        <w:rPr>
          <w:rFonts w:hint="eastAsia" w:ascii="宋体" w:hAnsi="宋体" w:eastAsia="宋体" w:cs="宋体"/>
          <w:b/>
          <w:color w:val="auto"/>
          <w:kern w:val="0"/>
          <w:sz w:val="24"/>
          <w:highlight w:val="none"/>
        </w:rPr>
        <w:br w:type="page"/>
      </w:r>
    </w:p>
    <w:p w14:paraId="66ABABE3">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（商务技术标封面，供参考）</w:t>
      </w:r>
    </w:p>
    <w:p w14:paraId="32B83144">
      <w:pPr>
        <w:kinsoku w:val="0"/>
        <w:overflowPunct w:val="0"/>
        <w:spacing w:after="156"/>
        <w:ind w:firstLine="482"/>
        <w:rPr>
          <w:rFonts w:hint="eastAsia" w:asciiTheme="minorEastAsia" w:hAnsiTheme="minorEastAsia" w:eastAsiaTheme="minorEastAsia" w:cstheme="minorEastAsia"/>
          <w:b/>
          <w:bCs/>
          <w:color w:val="auto"/>
          <w:kern w:val="0"/>
          <w:sz w:val="36"/>
          <w:highlight w:val="none"/>
        </w:rPr>
      </w:pPr>
    </w:p>
    <w:p w14:paraId="1E0C6089">
      <w:pPr>
        <w:pStyle w:val="28"/>
        <w:rPr>
          <w:rFonts w:hint="eastAsia" w:asciiTheme="minorEastAsia" w:hAnsiTheme="minorEastAsia" w:eastAsiaTheme="minorEastAsia" w:cstheme="minorEastAsia"/>
          <w:color w:val="auto"/>
          <w:highlight w:val="none"/>
        </w:rPr>
      </w:pPr>
    </w:p>
    <w:p w14:paraId="2E1AF069">
      <w:pPr>
        <w:kinsoku w:val="0"/>
        <w:overflowPunct w:val="0"/>
        <w:spacing w:after="156"/>
        <w:ind w:firstLine="482"/>
        <w:rPr>
          <w:rFonts w:hint="eastAsia" w:asciiTheme="minorEastAsia" w:hAnsiTheme="minorEastAsia" w:eastAsiaTheme="minorEastAsia" w:cstheme="minorEastAsia"/>
          <w:b/>
          <w:bCs/>
          <w:color w:val="auto"/>
          <w:highlight w:val="none"/>
        </w:rPr>
      </w:pPr>
    </w:p>
    <w:p w14:paraId="0F53ECFB">
      <w:pPr>
        <w:kinsoku w:val="0"/>
        <w:overflowPunct w:val="0"/>
        <w:spacing w:before="8" w:after="156"/>
        <w:ind w:firstLine="482"/>
        <w:rPr>
          <w:rFonts w:hint="eastAsia" w:asciiTheme="minorEastAsia" w:hAnsiTheme="minorEastAsia" w:eastAsiaTheme="minorEastAsia" w:cstheme="minorEastAsia"/>
          <w:b/>
          <w:bCs/>
          <w:color w:val="auto"/>
          <w:highlight w:val="none"/>
        </w:rPr>
      </w:pPr>
    </w:p>
    <w:p w14:paraId="740F137F">
      <w:pPr>
        <w:tabs>
          <w:tab w:val="left" w:pos="4944"/>
        </w:tabs>
        <w:kinsoku w:val="0"/>
        <w:overflowPunct w:val="0"/>
        <w:spacing w:after="156"/>
        <w:ind w:firstLine="480"/>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投标文件（商务技术标）</w:t>
      </w:r>
    </w:p>
    <w:p w14:paraId="5D20464F">
      <w:pPr>
        <w:kinsoku w:val="0"/>
        <w:overflowPunct w:val="0"/>
        <w:spacing w:before="554" w:after="156"/>
        <w:ind w:left="376" w:right="1073" w:firstLine="482"/>
        <w:jc w:val="center"/>
        <w:rPr>
          <w:rFonts w:hint="eastAsia" w:asciiTheme="minorEastAsia" w:hAnsiTheme="minorEastAsia" w:eastAsiaTheme="minorEastAsia" w:cstheme="minorEastAsia"/>
          <w:b/>
          <w:bCs/>
          <w:color w:val="auto"/>
          <w:highlight w:val="none"/>
        </w:rPr>
      </w:pPr>
    </w:p>
    <w:p w14:paraId="0C817219">
      <w:pPr>
        <w:kinsoku w:val="0"/>
        <w:overflowPunct w:val="0"/>
        <w:spacing w:after="156"/>
        <w:rPr>
          <w:rFonts w:hint="eastAsia" w:asciiTheme="minorEastAsia" w:hAnsiTheme="minorEastAsia" w:eastAsiaTheme="minorEastAsia" w:cstheme="minorEastAsia"/>
          <w:b/>
          <w:bCs/>
          <w:color w:val="auto"/>
          <w:highlight w:val="none"/>
        </w:rPr>
      </w:pPr>
    </w:p>
    <w:p w14:paraId="00951127">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04E7EAAC">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项目编号：</w:t>
      </w:r>
    </w:p>
    <w:p w14:paraId="029C7B9C">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项目名称：</w:t>
      </w:r>
    </w:p>
    <w:p w14:paraId="16228DAE">
      <w:pPr>
        <w:kinsoku w:val="0"/>
        <w:overflowPunct w:val="0"/>
        <w:spacing w:after="156"/>
        <w:rPr>
          <w:rFonts w:hint="eastAsia" w:asciiTheme="minorEastAsia" w:hAnsiTheme="minorEastAsia" w:eastAsiaTheme="minorEastAsia" w:cstheme="minorEastAsia"/>
          <w:b/>
          <w:bCs/>
          <w:color w:val="auto"/>
          <w:sz w:val="28"/>
          <w:highlight w:val="none"/>
        </w:rPr>
      </w:pPr>
    </w:p>
    <w:p w14:paraId="7FF4F0DF">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1F47E7C1">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0BA86EBD">
      <w:pPr>
        <w:tabs>
          <w:tab w:val="left" w:pos="5830"/>
        </w:tabs>
        <w:kinsoku w:val="0"/>
        <w:overflowPunct w:val="0"/>
        <w:spacing w:before="223" w:after="156"/>
        <w:ind w:right="521"/>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投标人：（盖单位章）</w:t>
      </w:r>
      <w:r>
        <w:rPr>
          <w:rFonts w:hint="eastAsia" w:asciiTheme="minorEastAsia" w:hAnsiTheme="minorEastAsia" w:eastAsiaTheme="minorEastAsia" w:cstheme="minorEastAsia"/>
          <w:color w:val="auto"/>
          <w:sz w:val="28"/>
          <w:highlight w:val="none"/>
          <w:u w:val="single"/>
        </w:rPr>
        <w:t xml:space="preserve">                  </w:t>
      </w:r>
    </w:p>
    <w:p w14:paraId="0E312459">
      <w:pPr>
        <w:tabs>
          <w:tab w:val="left" w:pos="9313"/>
        </w:tabs>
        <w:kinsoku w:val="0"/>
        <w:overflowPunct w:val="0"/>
        <w:spacing w:before="186" w:after="156"/>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法定代表人或授权代表：（盖章或签字）</w:t>
      </w:r>
      <w:r>
        <w:rPr>
          <w:rFonts w:hint="eastAsia" w:asciiTheme="minorEastAsia" w:hAnsiTheme="minorEastAsia" w:eastAsiaTheme="minorEastAsia" w:cstheme="minorEastAsia"/>
          <w:color w:val="auto"/>
          <w:sz w:val="28"/>
          <w:highlight w:val="none"/>
          <w:u w:val="single"/>
        </w:rPr>
        <w:t xml:space="preserve">                </w:t>
      </w:r>
    </w:p>
    <w:p w14:paraId="4B9E251D">
      <w:pPr>
        <w:kinsoku w:val="0"/>
        <w:overflowPunct w:val="0"/>
        <w:spacing w:after="156"/>
        <w:ind w:firstLine="482"/>
        <w:rPr>
          <w:rFonts w:hint="eastAsia" w:asciiTheme="minorEastAsia" w:hAnsiTheme="minorEastAsia" w:eastAsiaTheme="minorEastAsia" w:cstheme="minorEastAsia"/>
          <w:b/>
          <w:bCs/>
          <w:color w:val="auto"/>
          <w:highlight w:val="none"/>
        </w:rPr>
      </w:pPr>
    </w:p>
    <w:p w14:paraId="6B22ED10">
      <w:pPr>
        <w:tabs>
          <w:tab w:val="left" w:pos="9313"/>
        </w:tabs>
        <w:kinsoku w:val="0"/>
        <w:overflowPunct w:val="0"/>
        <w:spacing w:before="186" w:after="156"/>
        <w:jc w:val="center"/>
        <w:rPr>
          <w:rFonts w:hint="eastAsia" w:asciiTheme="minorEastAsia" w:hAnsiTheme="minorEastAsia" w:eastAsiaTheme="minorEastAsia" w:cstheme="minorEastAsia"/>
          <w:b/>
          <w:bCs/>
          <w:color w:val="auto"/>
          <w:w w:val="95"/>
          <w:sz w:val="28"/>
          <w:highlight w:val="none"/>
        </w:rPr>
      </w:pPr>
      <w:r>
        <w:rPr>
          <w:rFonts w:hint="eastAsia" w:asciiTheme="minorEastAsia" w:hAnsiTheme="minorEastAsia" w:eastAsiaTheme="minorEastAsia" w:cstheme="minorEastAsia"/>
          <w:b/>
          <w:bCs/>
          <w:color w:val="auto"/>
          <w:w w:val="95"/>
          <w:sz w:val="28"/>
          <w:highlight w:val="none"/>
        </w:rPr>
        <w:t>年  月  日</w:t>
      </w:r>
    </w:p>
    <w:p w14:paraId="1A9E97E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C03D242">
      <w:pPr>
        <w:snapToGrid w:val="0"/>
        <w:spacing w:before="50" w:after="156"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附件二</w:t>
      </w:r>
    </w:p>
    <w:p w14:paraId="4C7D7421">
      <w:pPr>
        <w:adjustRightInd w:val="0"/>
        <w:snapToGrid w:val="0"/>
        <w:spacing w:before="156" w:beforeLines="50" w:after="156" w:afterLines="50" w:line="500" w:lineRule="exact"/>
        <w:jc w:val="center"/>
        <w:rPr>
          <w:rFonts w:hint="eastAsia" w:ascii="宋体" w:hAnsi="宋体" w:eastAsia="宋体" w:cs="宋体"/>
          <w:color w:val="auto"/>
          <w:kern w:val="0"/>
          <w:sz w:val="32"/>
          <w:highlight w:val="none"/>
        </w:rPr>
      </w:pPr>
      <w:r>
        <w:rPr>
          <w:rFonts w:hint="eastAsia" w:ascii="宋体" w:hAnsi="宋体" w:eastAsia="宋体" w:cs="宋体"/>
          <w:color w:val="auto"/>
          <w:kern w:val="0"/>
          <w:sz w:val="32"/>
          <w:highlight w:val="none"/>
        </w:rPr>
        <w:t>投标函</w:t>
      </w:r>
    </w:p>
    <w:p w14:paraId="193947B8">
      <w:pPr>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cs="宋体"/>
          <w:color w:val="auto"/>
          <w:sz w:val="22"/>
          <w:szCs w:val="22"/>
          <w:highlight w:val="none"/>
          <w:u w:val="single"/>
          <w:lang w:eastAsia="zh-CN"/>
        </w:rPr>
        <w:t>温州港南岳港务有限公司</w:t>
      </w:r>
      <w:r>
        <w:rPr>
          <w:rFonts w:hint="eastAsia" w:ascii="宋体" w:hAnsi="宋体" w:eastAsia="宋体" w:cs="宋体"/>
          <w:color w:val="auto"/>
          <w:sz w:val="22"/>
          <w:szCs w:val="22"/>
          <w:highlight w:val="none"/>
          <w:u w:val="single"/>
        </w:rPr>
        <w:t>：</w:t>
      </w:r>
    </w:p>
    <w:p w14:paraId="26796253">
      <w:pPr>
        <w:spacing w:line="40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根据贵方为</w:t>
      </w:r>
      <w:r>
        <w:rPr>
          <w:rFonts w:hint="eastAsia" w:ascii="宋体" w:hAnsi="宋体" w:eastAsia="宋体" w:cs="宋体"/>
          <w:color w:val="auto"/>
          <w:sz w:val="22"/>
          <w:szCs w:val="22"/>
          <w:highlight w:val="none"/>
          <w:u w:val="single"/>
        </w:rPr>
        <w:t xml:space="preserve">   项目    </w:t>
      </w:r>
      <w:r>
        <w:rPr>
          <w:rFonts w:hint="eastAsia" w:ascii="宋体" w:hAnsi="宋体" w:eastAsia="宋体" w:cs="宋体"/>
          <w:color w:val="auto"/>
          <w:sz w:val="22"/>
          <w:szCs w:val="22"/>
          <w:highlight w:val="none"/>
        </w:rPr>
        <w:t>（项目编号: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（投标人名称）</w:t>
      </w:r>
      <w:r>
        <w:rPr>
          <w:rFonts w:hint="eastAsia" w:ascii="宋体" w:hAnsi="宋体" w:eastAsia="宋体" w:cs="宋体"/>
          <w:color w:val="auto"/>
          <w:sz w:val="22"/>
          <w:szCs w:val="22"/>
          <w:highlight w:val="none"/>
        </w:rPr>
        <w:t>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（授权代表全名）代表我方处理有关本投标的一切事宜。</w:t>
      </w:r>
    </w:p>
    <w:p w14:paraId="41D4220E">
      <w:pPr>
        <w:snapToGrid w:val="0"/>
        <w:spacing w:line="400" w:lineRule="exact"/>
        <w:ind w:left="-13" w:leftChars="-6" w:firstLine="462" w:firstLineChars="2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（一）本投标文件的有效期自投标截止日起</w:t>
      </w:r>
      <w:r>
        <w:rPr>
          <w:rFonts w:hint="eastAsia" w:ascii="宋体" w:hAnsi="宋体" w:eastAsia="宋体" w:cs="宋体"/>
          <w:b/>
          <w:color w:val="auto"/>
          <w:sz w:val="22"/>
          <w:szCs w:val="22"/>
          <w:highlight w:val="none"/>
          <w:u w:val="single"/>
        </w:rPr>
        <w:t xml:space="preserve"> 90  </w:t>
      </w:r>
      <w:r>
        <w:rPr>
          <w:rFonts w:hint="eastAsia" w:ascii="宋体" w:hAnsi="宋体" w:eastAsia="宋体" w:cs="宋体"/>
          <w:color w:val="auto"/>
          <w:sz w:val="22"/>
          <w:szCs w:val="22"/>
          <w:highlight w:val="none"/>
        </w:rPr>
        <w:t>天内有效，如中标，有效期将延至合同终止日为止；</w:t>
      </w:r>
    </w:p>
    <w:p w14:paraId="1BA358AA">
      <w:pPr>
        <w:snapToGrid w:val="0"/>
        <w:spacing w:line="400" w:lineRule="exact"/>
        <w:ind w:left="-13" w:leftChars="-6" w:firstLine="462" w:firstLineChars="2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（二）我方已详细研究了招标文件的所有内容包括修改书（如有）和所有已提供的参考资料以及有关附件，我方完全理解并同意放弃在此方面提出含糊意见或误解的一切权力；</w:t>
      </w:r>
    </w:p>
    <w:p w14:paraId="11F2F834">
      <w:pPr>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（三）我方同意提供按照贵方可能要求的与投标有关的一切数据或资料；</w:t>
      </w:r>
    </w:p>
    <w:p w14:paraId="6D37AA11">
      <w:pPr>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（四）我方理解贵方不一定接受最低报价。</w:t>
      </w:r>
    </w:p>
    <w:p w14:paraId="2D6E6978">
      <w:pPr>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（五）我方如果中标，将保证履行招标文件以及招标补充文件（如有）中的全部责任和义务，按质、按量、按期完成《合同书》中的全部任务。</w:t>
      </w:r>
    </w:p>
    <w:p w14:paraId="5270CB68">
      <w:pPr>
        <w:autoSpaceDE w:val="0"/>
        <w:autoSpaceDN w:val="0"/>
        <w:adjustRightInd w:val="0"/>
        <w:snapToGrid w:val="0"/>
        <w:spacing w:line="400" w:lineRule="exact"/>
        <w:ind w:left="-13" w:leftChars="-6" w:firstLine="462" w:firstLineChars="210"/>
        <w:rPr>
          <w:rFonts w:hint="eastAsia" w:ascii="宋体" w:hAnsi="宋体" w:eastAsia="宋体" w:cs="宋体"/>
          <w:color w:val="auto"/>
          <w:sz w:val="22"/>
          <w:highlight w:val="none"/>
        </w:rPr>
      </w:pPr>
      <w:r>
        <w:rPr>
          <w:rFonts w:hint="eastAsia" w:ascii="宋体" w:hAnsi="宋体" w:eastAsia="宋体" w:cs="宋体"/>
          <w:color w:val="auto"/>
          <w:sz w:val="22"/>
          <w:highlight w:val="none"/>
        </w:rPr>
        <w:t>（六）</w:t>
      </w:r>
      <w:r>
        <w:rPr>
          <w:rFonts w:hint="eastAsia" w:ascii="宋体" w:hAnsi="宋体" w:eastAsia="宋体" w:cs="宋体"/>
          <w:color w:val="auto"/>
          <w:sz w:val="22"/>
          <w:szCs w:val="22"/>
          <w:highlight w:val="none"/>
          <w:lang w:val="zh-CN"/>
        </w:rPr>
        <w:t>利益冲突：近三年内直至目前，我公司与本项目的招标人、招标组织机构没有任何的隶属关系。</w:t>
      </w:r>
    </w:p>
    <w:p w14:paraId="4CC00564">
      <w:pPr>
        <w:snapToGrid w:val="0"/>
        <w:spacing w:line="400" w:lineRule="exact"/>
        <w:ind w:left="-13" w:leftChars="-6" w:firstLine="462" w:firstLineChars="210"/>
        <w:rPr>
          <w:rFonts w:hint="eastAsia" w:ascii="宋体" w:hAnsi="宋体" w:eastAsia="宋体" w:cs="宋体"/>
          <w:color w:val="auto"/>
          <w:sz w:val="22"/>
          <w:szCs w:val="22"/>
          <w:highlight w:val="none"/>
        </w:rPr>
      </w:pPr>
      <w:r>
        <w:rPr>
          <w:rFonts w:hint="eastAsia" w:ascii="宋体" w:hAnsi="宋体" w:eastAsia="宋体" w:cs="宋体"/>
          <w:color w:val="auto"/>
          <w:sz w:val="22"/>
          <w:highlight w:val="none"/>
        </w:rPr>
        <w:t>（七）所有与本投标有关的函件请发往下列地址：</w:t>
      </w:r>
    </w:p>
    <w:p w14:paraId="4399813B">
      <w:pPr>
        <w:spacing w:line="40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地址</w:t>
      </w:r>
    </w:p>
    <w:p w14:paraId="002E31BD">
      <w:pPr>
        <w:spacing w:line="40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电话</w:t>
      </w:r>
    </w:p>
    <w:p w14:paraId="5614463F">
      <w:pPr>
        <w:spacing w:line="40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 xml:space="preserve">   传真</w:t>
      </w:r>
    </w:p>
    <w:p w14:paraId="1DDD5007">
      <w:pPr>
        <w:spacing w:line="400" w:lineRule="exact"/>
        <w:ind w:firstLine="770" w:firstLineChars="3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电子邮件</w:t>
      </w:r>
    </w:p>
    <w:p w14:paraId="75EAB3A5">
      <w:pPr>
        <w:widowControl/>
        <w:adjustRightInd w:val="0"/>
        <w:snapToGrid w:val="0"/>
        <w:spacing w:line="360" w:lineRule="auto"/>
        <w:ind w:firstLine="440" w:firstLineChars="200"/>
        <w:jc w:val="center"/>
        <w:rPr>
          <w:rFonts w:hint="eastAsia" w:ascii="宋体" w:hAnsi="宋体" w:eastAsia="宋体" w:cs="宋体"/>
          <w:color w:val="auto"/>
          <w:kern w:val="0"/>
          <w:sz w:val="22"/>
          <w:szCs w:val="22"/>
          <w:highlight w:val="none"/>
        </w:rPr>
      </w:pPr>
    </w:p>
    <w:p w14:paraId="74CDBBAE">
      <w:pPr>
        <w:widowControl/>
        <w:adjustRightInd w:val="0"/>
        <w:snapToGrid w:val="0"/>
        <w:spacing w:line="360" w:lineRule="auto"/>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投标人全称（</w:t>
      </w:r>
      <w:r>
        <w:rPr>
          <w:rFonts w:hint="eastAsia" w:ascii="宋体" w:hAnsi="宋体" w:eastAsia="宋体" w:cs="宋体"/>
          <w:color w:val="auto"/>
          <w:sz w:val="22"/>
          <w:szCs w:val="22"/>
          <w:highlight w:val="none"/>
        </w:rPr>
        <w:t>加盖单位公章</w:t>
      </w:r>
      <w:r>
        <w:rPr>
          <w:rFonts w:hint="eastAsia" w:ascii="宋体" w:hAnsi="宋体" w:eastAsia="宋体" w:cs="宋体"/>
          <w:color w:val="auto"/>
          <w:kern w:val="0"/>
          <w:sz w:val="22"/>
          <w:szCs w:val="22"/>
          <w:highlight w:val="none"/>
        </w:rPr>
        <w:t>）：</w:t>
      </w:r>
    </w:p>
    <w:p w14:paraId="219D42A2">
      <w:pPr>
        <w:widowControl/>
        <w:adjustRightInd w:val="0"/>
        <w:snapToGrid w:val="0"/>
        <w:spacing w:line="360" w:lineRule="auto"/>
        <w:ind w:firstLine="440" w:firstLineChars="20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               法定代表人或授权代表（签字或盖章）：</w:t>
      </w:r>
    </w:p>
    <w:p w14:paraId="4A070190">
      <w:pPr>
        <w:spacing w:line="440" w:lineRule="exact"/>
        <w:ind w:firstLine="435"/>
        <w:jc w:val="center"/>
        <w:rPr>
          <w:rFonts w:hint="eastAsia" w:ascii="宋体" w:hAnsi="宋体" w:eastAsia="宋体" w:cs="宋体"/>
          <w:color w:val="auto"/>
          <w:sz w:val="28"/>
          <w:szCs w:val="28"/>
          <w:highlight w:val="none"/>
        </w:rPr>
      </w:pPr>
      <w:r>
        <w:rPr>
          <w:rFonts w:hint="eastAsia" w:ascii="宋体" w:hAnsi="宋体" w:eastAsia="宋体" w:cs="宋体"/>
          <w:color w:val="auto"/>
          <w:kern w:val="0"/>
          <w:sz w:val="22"/>
          <w:szCs w:val="22"/>
          <w:highlight w:val="none"/>
        </w:rPr>
        <w:t xml:space="preserve">        日          期：  年  月  日</w:t>
      </w:r>
    </w:p>
    <w:p w14:paraId="05BAC75A">
      <w:pPr>
        <w:pStyle w:val="28"/>
        <w:ind w:firstLine="424"/>
        <w:rPr>
          <w:rFonts w:hint="eastAsia" w:ascii="宋体" w:hAnsi="宋体" w:eastAsia="宋体" w:cs="宋体"/>
          <w:color w:val="auto"/>
          <w:spacing w:val="-4"/>
          <w:sz w:val="22"/>
          <w:szCs w:val="22"/>
          <w:highlight w:val="none"/>
        </w:rPr>
      </w:pPr>
    </w:p>
    <w:p w14:paraId="3569509E">
      <w:pPr>
        <w:rPr>
          <w:rFonts w:hint="eastAsia" w:ascii="宋体" w:hAnsi="宋体" w:eastAsia="宋体" w:cs="宋体"/>
          <w:color w:val="auto"/>
          <w:spacing w:val="-4"/>
          <w:sz w:val="22"/>
          <w:szCs w:val="22"/>
          <w:highlight w:val="none"/>
        </w:rPr>
      </w:pPr>
    </w:p>
    <w:p w14:paraId="23313F00">
      <w:pPr>
        <w:pStyle w:val="28"/>
        <w:ind w:firstLine="424"/>
        <w:rPr>
          <w:rFonts w:hint="eastAsia" w:ascii="宋体" w:hAnsi="宋体" w:eastAsia="宋体" w:cs="宋体"/>
          <w:color w:val="auto"/>
          <w:spacing w:val="-4"/>
          <w:sz w:val="22"/>
          <w:szCs w:val="22"/>
          <w:highlight w:val="none"/>
        </w:rPr>
      </w:pPr>
    </w:p>
    <w:p w14:paraId="3CF801D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CFCFC8">
      <w:pPr>
        <w:spacing w:before="156" w:beforeLines="50" w:after="156" w:afterLines="5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附件三</w:t>
      </w:r>
    </w:p>
    <w:p w14:paraId="0DA4367A">
      <w:pPr>
        <w:spacing w:line="4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39"/>
        <w:gridCol w:w="1358"/>
        <w:gridCol w:w="2088"/>
        <w:gridCol w:w="1984"/>
        <w:gridCol w:w="1859"/>
        <w:gridCol w:w="1586"/>
      </w:tblGrid>
      <w:tr w14:paraId="63F766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62" w:hRule="atLeast"/>
          <w:jc w:val="center"/>
        </w:trPr>
        <w:tc>
          <w:tcPr>
            <w:tcW w:w="939" w:type="dxa"/>
          </w:tcPr>
          <w:p w14:paraId="20AA1B6D">
            <w:pPr>
              <w:spacing w:line="380" w:lineRule="exact"/>
              <w:jc w:val="center"/>
              <w:rPr>
                <w:rFonts w:hint="eastAsia" w:ascii="宋体" w:hAnsi="宋体" w:eastAsia="宋体" w:cs="宋体"/>
                <w:color w:val="auto"/>
                <w:sz w:val="24"/>
                <w:highlight w:val="none"/>
              </w:rPr>
            </w:pPr>
          </w:p>
        </w:tc>
        <w:tc>
          <w:tcPr>
            <w:tcW w:w="1358" w:type="dxa"/>
            <w:vAlign w:val="center"/>
          </w:tcPr>
          <w:p w14:paraId="11D48FD5">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88" w:type="dxa"/>
            <w:vAlign w:val="center"/>
          </w:tcPr>
          <w:p w14:paraId="0718C410">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0DC97BC3">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1984" w:type="dxa"/>
            <w:vAlign w:val="center"/>
          </w:tcPr>
          <w:p w14:paraId="6918B5A2">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7207157C">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1859" w:type="dxa"/>
            <w:vAlign w:val="center"/>
          </w:tcPr>
          <w:p w14:paraId="4E400BC7">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6A87A272">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1586" w:type="dxa"/>
            <w:vAlign w:val="center"/>
          </w:tcPr>
          <w:p w14:paraId="40BFC7FA">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173797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6" w:hRule="atLeast"/>
          <w:jc w:val="center"/>
        </w:trPr>
        <w:tc>
          <w:tcPr>
            <w:tcW w:w="939" w:type="dxa"/>
            <w:vMerge w:val="restart"/>
            <w:vAlign w:val="center"/>
          </w:tcPr>
          <w:p w14:paraId="2BB3415B">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w:t>
            </w:r>
          </w:p>
          <w:p w14:paraId="5D3D691B">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术</w:t>
            </w:r>
          </w:p>
          <w:p w14:paraId="00F11BFA">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w:t>
            </w:r>
          </w:p>
          <w:p w14:paraId="218B6B5F">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w:t>
            </w:r>
          </w:p>
        </w:tc>
        <w:tc>
          <w:tcPr>
            <w:tcW w:w="1358" w:type="dxa"/>
            <w:vAlign w:val="center"/>
          </w:tcPr>
          <w:p w14:paraId="0DEA4175">
            <w:pPr>
              <w:spacing w:line="380" w:lineRule="exact"/>
              <w:jc w:val="center"/>
              <w:rPr>
                <w:rFonts w:hint="eastAsia" w:ascii="宋体" w:hAnsi="宋体" w:eastAsia="宋体" w:cs="宋体"/>
                <w:color w:val="auto"/>
                <w:sz w:val="24"/>
                <w:highlight w:val="none"/>
              </w:rPr>
            </w:pPr>
          </w:p>
        </w:tc>
        <w:tc>
          <w:tcPr>
            <w:tcW w:w="2088" w:type="dxa"/>
            <w:vAlign w:val="center"/>
          </w:tcPr>
          <w:p w14:paraId="6BCA31C4">
            <w:pPr>
              <w:spacing w:line="380" w:lineRule="exact"/>
              <w:jc w:val="center"/>
              <w:rPr>
                <w:rFonts w:hint="eastAsia" w:ascii="宋体" w:hAnsi="宋体" w:eastAsia="宋体" w:cs="宋体"/>
                <w:color w:val="auto"/>
                <w:sz w:val="24"/>
                <w:highlight w:val="none"/>
              </w:rPr>
            </w:pPr>
          </w:p>
        </w:tc>
        <w:tc>
          <w:tcPr>
            <w:tcW w:w="1984" w:type="dxa"/>
            <w:vAlign w:val="center"/>
          </w:tcPr>
          <w:p w14:paraId="226A4DBA">
            <w:pPr>
              <w:spacing w:line="380" w:lineRule="exact"/>
              <w:jc w:val="center"/>
              <w:rPr>
                <w:rFonts w:hint="eastAsia" w:ascii="宋体" w:hAnsi="宋体" w:eastAsia="宋体" w:cs="宋体"/>
                <w:color w:val="auto"/>
                <w:sz w:val="24"/>
                <w:highlight w:val="none"/>
              </w:rPr>
            </w:pPr>
          </w:p>
        </w:tc>
        <w:tc>
          <w:tcPr>
            <w:tcW w:w="1859" w:type="dxa"/>
            <w:vAlign w:val="center"/>
          </w:tcPr>
          <w:p w14:paraId="590C80D1">
            <w:pPr>
              <w:spacing w:line="380" w:lineRule="exact"/>
              <w:jc w:val="center"/>
              <w:rPr>
                <w:rFonts w:hint="eastAsia" w:ascii="宋体" w:hAnsi="宋体" w:eastAsia="宋体" w:cs="宋体"/>
                <w:color w:val="auto"/>
                <w:sz w:val="24"/>
                <w:highlight w:val="none"/>
              </w:rPr>
            </w:pPr>
          </w:p>
        </w:tc>
        <w:tc>
          <w:tcPr>
            <w:tcW w:w="1586" w:type="dxa"/>
            <w:vAlign w:val="center"/>
          </w:tcPr>
          <w:p w14:paraId="5842CF53">
            <w:pPr>
              <w:spacing w:line="380" w:lineRule="exact"/>
              <w:jc w:val="center"/>
              <w:rPr>
                <w:rFonts w:hint="eastAsia" w:ascii="宋体" w:hAnsi="宋体" w:eastAsia="宋体" w:cs="宋体"/>
                <w:color w:val="auto"/>
                <w:sz w:val="24"/>
                <w:highlight w:val="none"/>
              </w:rPr>
            </w:pPr>
          </w:p>
        </w:tc>
      </w:tr>
      <w:tr w14:paraId="488C07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97F843A">
            <w:pPr>
              <w:spacing w:line="380" w:lineRule="exact"/>
              <w:ind w:firstLine="240" w:firstLineChars="100"/>
              <w:rPr>
                <w:rFonts w:hint="eastAsia" w:ascii="宋体" w:hAnsi="宋体" w:eastAsia="宋体" w:cs="宋体"/>
                <w:color w:val="auto"/>
                <w:sz w:val="24"/>
                <w:highlight w:val="none"/>
              </w:rPr>
            </w:pPr>
          </w:p>
        </w:tc>
        <w:tc>
          <w:tcPr>
            <w:tcW w:w="1358" w:type="dxa"/>
            <w:vAlign w:val="center"/>
          </w:tcPr>
          <w:p w14:paraId="690FAF4F">
            <w:pPr>
              <w:spacing w:line="380" w:lineRule="exact"/>
              <w:jc w:val="center"/>
              <w:rPr>
                <w:rFonts w:hint="eastAsia" w:ascii="宋体" w:hAnsi="宋体" w:eastAsia="宋体" w:cs="宋体"/>
                <w:color w:val="auto"/>
                <w:sz w:val="24"/>
                <w:highlight w:val="none"/>
              </w:rPr>
            </w:pPr>
          </w:p>
        </w:tc>
        <w:tc>
          <w:tcPr>
            <w:tcW w:w="2088" w:type="dxa"/>
            <w:vAlign w:val="center"/>
          </w:tcPr>
          <w:p w14:paraId="7F2B3FBD">
            <w:pPr>
              <w:spacing w:line="380" w:lineRule="exact"/>
              <w:jc w:val="center"/>
              <w:rPr>
                <w:rFonts w:hint="eastAsia" w:ascii="宋体" w:hAnsi="宋体" w:eastAsia="宋体" w:cs="宋体"/>
                <w:color w:val="auto"/>
                <w:sz w:val="24"/>
                <w:highlight w:val="none"/>
              </w:rPr>
            </w:pPr>
          </w:p>
        </w:tc>
        <w:tc>
          <w:tcPr>
            <w:tcW w:w="1984" w:type="dxa"/>
            <w:vAlign w:val="center"/>
          </w:tcPr>
          <w:p w14:paraId="075D8FDD">
            <w:pPr>
              <w:spacing w:line="380" w:lineRule="exact"/>
              <w:jc w:val="center"/>
              <w:rPr>
                <w:rFonts w:hint="eastAsia" w:ascii="宋体" w:hAnsi="宋体" w:eastAsia="宋体" w:cs="宋体"/>
                <w:color w:val="auto"/>
                <w:sz w:val="24"/>
                <w:highlight w:val="none"/>
              </w:rPr>
            </w:pPr>
          </w:p>
        </w:tc>
        <w:tc>
          <w:tcPr>
            <w:tcW w:w="1859" w:type="dxa"/>
            <w:vAlign w:val="center"/>
          </w:tcPr>
          <w:p w14:paraId="1794D0F8">
            <w:pPr>
              <w:spacing w:line="380" w:lineRule="exact"/>
              <w:jc w:val="center"/>
              <w:rPr>
                <w:rFonts w:hint="eastAsia" w:ascii="宋体" w:hAnsi="宋体" w:eastAsia="宋体" w:cs="宋体"/>
                <w:color w:val="auto"/>
                <w:sz w:val="24"/>
                <w:highlight w:val="none"/>
              </w:rPr>
            </w:pPr>
          </w:p>
        </w:tc>
        <w:tc>
          <w:tcPr>
            <w:tcW w:w="1586" w:type="dxa"/>
            <w:vAlign w:val="center"/>
          </w:tcPr>
          <w:p w14:paraId="2424A937">
            <w:pPr>
              <w:spacing w:line="380" w:lineRule="exact"/>
              <w:jc w:val="center"/>
              <w:rPr>
                <w:rFonts w:hint="eastAsia" w:ascii="宋体" w:hAnsi="宋体" w:eastAsia="宋体" w:cs="宋体"/>
                <w:color w:val="auto"/>
                <w:sz w:val="24"/>
                <w:highlight w:val="none"/>
              </w:rPr>
            </w:pPr>
          </w:p>
        </w:tc>
      </w:tr>
      <w:tr w14:paraId="44C855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1F0D838F">
            <w:pPr>
              <w:spacing w:line="380" w:lineRule="exact"/>
              <w:jc w:val="center"/>
              <w:rPr>
                <w:rFonts w:hint="eastAsia" w:ascii="宋体" w:hAnsi="宋体" w:eastAsia="宋体" w:cs="宋体"/>
                <w:color w:val="auto"/>
                <w:sz w:val="24"/>
                <w:highlight w:val="none"/>
              </w:rPr>
            </w:pPr>
          </w:p>
        </w:tc>
        <w:tc>
          <w:tcPr>
            <w:tcW w:w="1358" w:type="dxa"/>
            <w:vAlign w:val="center"/>
          </w:tcPr>
          <w:p w14:paraId="5811D583">
            <w:pPr>
              <w:spacing w:line="380" w:lineRule="exact"/>
              <w:jc w:val="center"/>
              <w:rPr>
                <w:rFonts w:hint="eastAsia" w:ascii="宋体" w:hAnsi="宋体" w:eastAsia="宋体" w:cs="宋体"/>
                <w:color w:val="auto"/>
                <w:sz w:val="24"/>
                <w:highlight w:val="none"/>
              </w:rPr>
            </w:pPr>
          </w:p>
        </w:tc>
        <w:tc>
          <w:tcPr>
            <w:tcW w:w="2088" w:type="dxa"/>
            <w:vAlign w:val="center"/>
          </w:tcPr>
          <w:p w14:paraId="68060904">
            <w:pPr>
              <w:spacing w:line="380" w:lineRule="exact"/>
              <w:jc w:val="center"/>
              <w:rPr>
                <w:rFonts w:hint="eastAsia" w:ascii="宋体" w:hAnsi="宋体" w:eastAsia="宋体" w:cs="宋体"/>
                <w:color w:val="auto"/>
                <w:sz w:val="24"/>
                <w:highlight w:val="none"/>
              </w:rPr>
            </w:pPr>
          </w:p>
        </w:tc>
        <w:tc>
          <w:tcPr>
            <w:tcW w:w="1984" w:type="dxa"/>
            <w:vAlign w:val="center"/>
          </w:tcPr>
          <w:p w14:paraId="20F6F201">
            <w:pPr>
              <w:spacing w:line="380" w:lineRule="exact"/>
              <w:jc w:val="center"/>
              <w:rPr>
                <w:rFonts w:hint="eastAsia" w:ascii="宋体" w:hAnsi="宋体" w:eastAsia="宋体" w:cs="宋体"/>
                <w:color w:val="auto"/>
                <w:sz w:val="24"/>
                <w:highlight w:val="none"/>
              </w:rPr>
            </w:pPr>
          </w:p>
        </w:tc>
        <w:tc>
          <w:tcPr>
            <w:tcW w:w="1859" w:type="dxa"/>
            <w:vAlign w:val="center"/>
          </w:tcPr>
          <w:p w14:paraId="0ACAD7BC">
            <w:pPr>
              <w:spacing w:line="380" w:lineRule="exact"/>
              <w:jc w:val="center"/>
              <w:rPr>
                <w:rFonts w:hint="eastAsia" w:ascii="宋体" w:hAnsi="宋体" w:eastAsia="宋体" w:cs="宋体"/>
                <w:color w:val="auto"/>
                <w:sz w:val="24"/>
                <w:highlight w:val="none"/>
              </w:rPr>
            </w:pPr>
          </w:p>
        </w:tc>
        <w:tc>
          <w:tcPr>
            <w:tcW w:w="1586" w:type="dxa"/>
            <w:vAlign w:val="center"/>
          </w:tcPr>
          <w:p w14:paraId="4C1AF277">
            <w:pPr>
              <w:spacing w:line="380" w:lineRule="exact"/>
              <w:jc w:val="center"/>
              <w:rPr>
                <w:rFonts w:hint="eastAsia" w:ascii="宋体" w:hAnsi="宋体" w:eastAsia="宋体" w:cs="宋体"/>
                <w:color w:val="auto"/>
                <w:sz w:val="24"/>
                <w:highlight w:val="none"/>
              </w:rPr>
            </w:pPr>
          </w:p>
        </w:tc>
      </w:tr>
      <w:tr w14:paraId="1EE7A6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379EB191">
            <w:pPr>
              <w:spacing w:line="380" w:lineRule="exact"/>
              <w:jc w:val="center"/>
              <w:rPr>
                <w:rFonts w:hint="eastAsia" w:ascii="宋体" w:hAnsi="宋体" w:eastAsia="宋体" w:cs="宋体"/>
                <w:color w:val="auto"/>
                <w:sz w:val="24"/>
                <w:highlight w:val="none"/>
              </w:rPr>
            </w:pPr>
          </w:p>
        </w:tc>
        <w:tc>
          <w:tcPr>
            <w:tcW w:w="1358" w:type="dxa"/>
            <w:vAlign w:val="center"/>
          </w:tcPr>
          <w:p w14:paraId="79CA5BCF">
            <w:pPr>
              <w:spacing w:line="380" w:lineRule="exact"/>
              <w:jc w:val="center"/>
              <w:rPr>
                <w:rFonts w:hint="eastAsia" w:ascii="宋体" w:hAnsi="宋体" w:eastAsia="宋体" w:cs="宋体"/>
                <w:color w:val="auto"/>
                <w:sz w:val="24"/>
                <w:highlight w:val="none"/>
              </w:rPr>
            </w:pPr>
          </w:p>
        </w:tc>
        <w:tc>
          <w:tcPr>
            <w:tcW w:w="2088" w:type="dxa"/>
            <w:vAlign w:val="center"/>
          </w:tcPr>
          <w:p w14:paraId="2EC30DDE">
            <w:pPr>
              <w:spacing w:line="380" w:lineRule="exact"/>
              <w:jc w:val="center"/>
              <w:rPr>
                <w:rFonts w:hint="eastAsia" w:ascii="宋体" w:hAnsi="宋体" w:eastAsia="宋体" w:cs="宋体"/>
                <w:color w:val="auto"/>
                <w:sz w:val="24"/>
                <w:highlight w:val="none"/>
              </w:rPr>
            </w:pPr>
          </w:p>
        </w:tc>
        <w:tc>
          <w:tcPr>
            <w:tcW w:w="1984" w:type="dxa"/>
            <w:vAlign w:val="center"/>
          </w:tcPr>
          <w:p w14:paraId="1B6A86A8">
            <w:pPr>
              <w:spacing w:line="380" w:lineRule="exact"/>
              <w:jc w:val="center"/>
              <w:rPr>
                <w:rFonts w:hint="eastAsia" w:ascii="宋体" w:hAnsi="宋体" w:eastAsia="宋体" w:cs="宋体"/>
                <w:color w:val="auto"/>
                <w:sz w:val="24"/>
                <w:highlight w:val="none"/>
              </w:rPr>
            </w:pPr>
          </w:p>
        </w:tc>
        <w:tc>
          <w:tcPr>
            <w:tcW w:w="1859" w:type="dxa"/>
            <w:vAlign w:val="center"/>
          </w:tcPr>
          <w:p w14:paraId="1C4E4FDE">
            <w:pPr>
              <w:spacing w:line="380" w:lineRule="exact"/>
              <w:jc w:val="center"/>
              <w:rPr>
                <w:rFonts w:hint="eastAsia" w:ascii="宋体" w:hAnsi="宋体" w:eastAsia="宋体" w:cs="宋体"/>
                <w:color w:val="auto"/>
                <w:sz w:val="24"/>
                <w:highlight w:val="none"/>
              </w:rPr>
            </w:pPr>
          </w:p>
        </w:tc>
        <w:tc>
          <w:tcPr>
            <w:tcW w:w="1586" w:type="dxa"/>
            <w:vAlign w:val="center"/>
          </w:tcPr>
          <w:p w14:paraId="415ED36B">
            <w:pPr>
              <w:spacing w:line="380" w:lineRule="exact"/>
              <w:jc w:val="center"/>
              <w:rPr>
                <w:rFonts w:hint="eastAsia" w:ascii="宋体" w:hAnsi="宋体" w:eastAsia="宋体" w:cs="宋体"/>
                <w:color w:val="auto"/>
                <w:sz w:val="24"/>
                <w:highlight w:val="none"/>
              </w:rPr>
            </w:pPr>
          </w:p>
        </w:tc>
      </w:tr>
      <w:tr w14:paraId="1D51E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5CEF2C7B">
            <w:pPr>
              <w:spacing w:line="380" w:lineRule="exact"/>
              <w:jc w:val="center"/>
              <w:rPr>
                <w:rFonts w:hint="eastAsia" w:ascii="宋体" w:hAnsi="宋体" w:eastAsia="宋体" w:cs="宋体"/>
                <w:color w:val="auto"/>
                <w:sz w:val="24"/>
                <w:highlight w:val="none"/>
              </w:rPr>
            </w:pPr>
          </w:p>
        </w:tc>
        <w:tc>
          <w:tcPr>
            <w:tcW w:w="1358" w:type="dxa"/>
            <w:vAlign w:val="center"/>
          </w:tcPr>
          <w:p w14:paraId="7712E7F5">
            <w:pPr>
              <w:spacing w:line="380" w:lineRule="exact"/>
              <w:jc w:val="center"/>
              <w:rPr>
                <w:rFonts w:hint="eastAsia" w:ascii="宋体" w:hAnsi="宋体" w:eastAsia="宋体" w:cs="宋体"/>
                <w:color w:val="auto"/>
                <w:sz w:val="24"/>
                <w:highlight w:val="none"/>
              </w:rPr>
            </w:pPr>
          </w:p>
        </w:tc>
        <w:tc>
          <w:tcPr>
            <w:tcW w:w="2088" w:type="dxa"/>
            <w:vAlign w:val="center"/>
          </w:tcPr>
          <w:p w14:paraId="1813DA89">
            <w:pPr>
              <w:spacing w:line="380" w:lineRule="exact"/>
              <w:jc w:val="center"/>
              <w:rPr>
                <w:rFonts w:hint="eastAsia" w:ascii="宋体" w:hAnsi="宋体" w:eastAsia="宋体" w:cs="宋体"/>
                <w:color w:val="auto"/>
                <w:sz w:val="24"/>
                <w:highlight w:val="none"/>
              </w:rPr>
            </w:pPr>
          </w:p>
        </w:tc>
        <w:tc>
          <w:tcPr>
            <w:tcW w:w="1984" w:type="dxa"/>
            <w:vAlign w:val="center"/>
          </w:tcPr>
          <w:p w14:paraId="62C0A0EA">
            <w:pPr>
              <w:spacing w:line="380" w:lineRule="exact"/>
              <w:jc w:val="center"/>
              <w:rPr>
                <w:rFonts w:hint="eastAsia" w:ascii="宋体" w:hAnsi="宋体" w:eastAsia="宋体" w:cs="宋体"/>
                <w:color w:val="auto"/>
                <w:sz w:val="24"/>
                <w:highlight w:val="none"/>
              </w:rPr>
            </w:pPr>
          </w:p>
        </w:tc>
        <w:tc>
          <w:tcPr>
            <w:tcW w:w="1859" w:type="dxa"/>
            <w:vAlign w:val="center"/>
          </w:tcPr>
          <w:p w14:paraId="6F51DD42">
            <w:pPr>
              <w:spacing w:line="380" w:lineRule="exact"/>
              <w:jc w:val="center"/>
              <w:rPr>
                <w:rFonts w:hint="eastAsia" w:ascii="宋体" w:hAnsi="宋体" w:eastAsia="宋体" w:cs="宋体"/>
                <w:color w:val="auto"/>
                <w:sz w:val="24"/>
                <w:highlight w:val="none"/>
              </w:rPr>
            </w:pPr>
          </w:p>
        </w:tc>
        <w:tc>
          <w:tcPr>
            <w:tcW w:w="1586" w:type="dxa"/>
            <w:vAlign w:val="center"/>
          </w:tcPr>
          <w:p w14:paraId="61753FC5">
            <w:pPr>
              <w:spacing w:line="380" w:lineRule="exact"/>
              <w:jc w:val="center"/>
              <w:rPr>
                <w:rFonts w:hint="eastAsia" w:ascii="宋体" w:hAnsi="宋体" w:eastAsia="宋体" w:cs="宋体"/>
                <w:color w:val="auto"/>
                <w:sz w:val="24"/>
                <w:highlight w:val="none"/>
              </w:rPr>
            </w:pPr>
          </w:p>
        </w:tc>
      </w:tr>
      <w:tr w14:paraId="66FDC0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4" w:hRule="atLeast"/>
          <w:jc w:val="center"/>
        </w:trPr>
        <w:tc>
          <w:tcPr>
            <w:tcW w:w="939" w:type="dxa"/>
            <w:vMerge w:val="restart"/>
            <w:vAlign w:val="center"/>
          </w:tcPr>
          <w:p w14:paraId="56C1771B">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w:t>
            </w:r>
          </w:p>
          <w:p w14:paraId="492646D5">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务</w:t>
            </w:r>
          </w:p>
          <w:p w14:paraId="461331DF">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条</w:t>
            </w:r>
          </w:p>
          <w:p w14:paraId="57BE5704">
            <w:pPr>
              <w:spacing w:line="3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款</w:t>
            </w:r>
          </w:p>
        </w:tc>
        <w:tc>
          <w:tcPr>
            <w:tcW w:w="1358" w:type="dxa"/>
            <w:vAlign w:val="center"/>
          </w:tcPr>
          <w:p w14:paraId="5D03F3A9">
            <w:pPr>
              <w:spacing w:line="380" w:lineRule="exact"/>
              <w:jc w:val="center"/>
              <w:rPr>
                <w:rFonts w:hint="eastAsia" w:ascii="宋体" w:hAnsi="宋体" w:eastAsia="宋体" w:cs="宋体"/>
                <w:color w:val="auto"/>
                <w:sz w:val="24"/>
                <w:highlight w:val="none"/>
              </w:rPr>
            </w:pPr>
          </w:p>
        </w:tc>
        <w:tc>
          <w:tcPr>
            <w:tcW w:w="2088" w:type="dxa"/>
            <w:vAlign w:val="center"/>
          </w:tcPr>
          <w:p w14:paraId="3C054AFD">
            <w:pPr>
              <w:spacing w:line="380" w:lineRule="exact"/>
              <w:jc w:val="center"/>
              <w:rPr>
                <w:rFonts w:hint="eastAsia" w:ascii="宋体" w:hAnsi="宋体" w:eastAsia="宋体" w:cs="宋体"/>
                <w:color w:val="auto"/>
                <w:sz w:val="24"/>
                <w:highlight w:val="none"/>
              </w:rPr>
            </w:pPr>
          </w:p>
        </w:tc>
        <w:tc>
          <w:tcPr>
            <w:tcW w:w="1984" w:type="dxa"/>
            <w:vAlign w:val="center"/>
          </w:tcPr>
          <w:p w14:paraId="5FCC3EE3">
            <w:pPr>
              <w:spacing w:line="380" w:lineRule="exact"/>
              <w:jc w:val="center"/>
              <w:rPr>
                <w:rFonts w:hint="eastAsia" w:ascii="宋体" w:hAnsi="宋体" w:eastAsia="宋体" w:cs="宋体"/>
                <w:color w:val="auto"/>
                <w:sz w:val="24"/>
                <w:highlight w:val="none"/>
              </w:rPr>
            </w:pPr>
          </w:p>
        </w:tc>
        <w:tc>
          <w:tcPr>
            <w:tcW w:w="1859" w:type="dxa"/>
            <w:vAlign w:val="center"/>
          </w:tcPr>
          <w:p w14:paraId="538921AA">
            <w:pPr>
              <w:spacing w:line="380" w:lineRule="exact"/>
              <w:jc w:val="center"/>
              <w:rPr>
                <w:rFonts w:hint="eastAsia" w:ascii="宋体" w:hAnsi="宋体" w:eastAsia="宋体" w:cs="宋体"/>
                <w:color w:val="auto"/>
                <w:sz w:val="24"/>
                <w:highlight w:val="none"/>
              </w:rPr>
            </w:pPr>
          </w:p>
        </w:tc>
        <w:tc>
          <w:tcPr>
            <w:tcW w:w="1586" w:type="dxa"/>
            <w:vAlign w:val="center"/>
          </w:tcPr>
          <w:p w14:paraId="7FB3ACF5">
            <w:pPr>
              <w:spacing w:line="380" w:lineRule="exact"/>
              <w:jc w:val="center"/>
              <w:rPr>
                <w:rFonts w:hint="eastAsia" w:ascii="宋体" w:hAnsi="宋体" w:eastAsia="宋体" w:cs="宋体"/>
                <w:color w:val="auto"/>
                <w:sz w:val="24"/>
                <w:highlight w:val="none"/>
              </w:rPr>
            </w:pPr>
          </w:p>
        </w:tc>
      </w:tr>
      <w:tr w14:paraId="2A5DC1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0638A763">
            <w:pPr>
              <w:spacing w:line="380" w:lineRule="exact"/>
              <w:jc w:val="center"/>
              <w:rPr>
                <w:rFonts w:hint="eastAsia" w:ascii="宋体" w:hAnsi="宋体" w:eastAsia="宋体" w:cs="宋体"/>
                <w:color w:val="auto"/>
                <w:sz w:val="24"/>
                <w:highlight w:val="none"/>
              </w:rPr>
            </w:pPr>
          </w:p>
        </w:tc>
        <w:tc>
          <w:tcPr>
            <w:tcW w:w="1358" w:type="dxa"/>
            <w:vAlign w:val="center"/>
          </w:tcPr>
          <w:p w14:paraId="3AFA9977">
            <w:pPr>
              <w:spacing w:line="380" w:lineRule="exact"/>
              <w:jc w:val="center"/>
              <w:rPr>
                <w:rFonts w:hint="eastAsia" w:ascii="宋体" w:hAnsi="宋体" w:eastAsia="宋体" w:cs="宋体"/>
                <w:color w:val="auto"/>
                <w:sz w:val="24"/>
                <w:highlight w:val="none"/>
              </w:rPr>
            </w:pPr>
          </w:p>
        </w:tc>
        <w:tc>
          <w:tcPr>
            <w:tcW w:w="2088" w:type="dxa"/>
            <w:vAlign w:val="center"/>
          </w:tcPr>
          <w:p w14:paraId="4C8D588C">
            <w:pPr>
              <w:spacing w:line="380" w:lineRule="exact"/>
              <w:jc w:val="center"/>
              <w:rPr>
                <w:rFonts w:hint="eastAsia" w:ascii="宋体" w:hAnsi="宋体" w:eastAsia="宋体" w:cs="宋体"/>
                <w:color w:val="auto"/>
                <w:sz w:val="24"/>
                <w:highlight w:val="none"/>
              </w:rPr>
            </w:pPr>
          </w:p>
        </w:tc>
        <w:tc>
          <w:tcPr>
            <w:tcW w:w="1984" w:type="dxa"/>
            <w:vAlign w:val="center"/>
          </w:tcPr>
          <w:p w14:paraId="5DA20F19">
            <w:pPr>
              <w:spacing w:line="380" w:lineRule="exact"/>
              <w:jc w:val="center"/>
              <w:rPr>
                <w:rFonts w:hint="eastAsia" w:ascii="宋体" w:hAnsi="宋体" w:eastAsia="宋体" w:cs="宋体"/>
                <w:color w:val="auto"/>
                <w:sz w:val="24"/>
                <w:highlight w:val="none"/>
              </w:rPr>
            </w:pPr>
          </w:p>
        </w:tc>
        <w:tc>
          <w:tcPr>
            <w:tcW w:w="1859" w:type="dxa"/>
            <w:vAlign w:val="center"/>
          </w:tcPr>
          <w:p w14:paraId="73E12BB5">
            <w:pPr>
              <w:spacing w:line="380" w:lineRule="exact"/>
              <w:jc w:val="center"/>
              <w:rPr>
                <w:rFonts w:hint="eastAsia" w:ascii="宋体" w:hAnsi="宋体" w:eastAsia="宋体" w:cs="宋体"/>
                <w:color w:val="auto"/>
                <w:sz w:val="24"/>
                <w:highlight w:val="none"/>
              </w:rPr>
            </w:pPr>
          </w:p>
        </w:tc>
        <w:tc>
          <w:tcPr>
            <w:tcW w:w="1586" w:type="dxa"/>
            <w:vAlign w:val="center"/>
          </w:tcPr>
          <w:p w14:paraId="2C7B1DBC">
            <w:pPr>
              <w:spacing w:line="380" w:lineRule="exact"/>
              <w:jc w:val="center"/>
              <w:rPr>
                <w:rFonts w:hint="eastAsia" w:ascii="宋体" w:hAnsi="宋体" w:eastAsia="宋体" w:cs="宋体"/>
                <w:color w:val="auto"/>
                <w:sz w:val="24"/>
                <w:highlight w:val="none"/>
              </w:rPr>
            </w:pPr>
          </w:p>
        </w:tc>
      </w:tr>
      <w:tr w14:paraId="74398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40FBBB69">
            <w:pPr>
              <w:spacing w:line="380" w:lineRule="exact"/>
              <w:jc w:val="center"/>
              <w:rPr>
                <w:rFonts w:hint="eastAsia" w:ascii="宋体" w:hAnsi="宋体" w:eastAsia="宋体" w:cs="宋体"/>
                <w:color w:val="auto"/>
                <w:sz w:val="24"/>
                <w:highlight w:val="none"/>
              </w:rPr>
            </w:pPr>
          </w:p>
        </w:tc>
        <w:tc>
          <w:tcPr>
            <w:tcW w:w="1358" w:type="dxa"/>
            <w:vAlign w:val="center"/>
          </w:tcPr>
          <w:p w14:paraId="2AD99D91">
            <w:pPr>
              <w:spacing w:line="380" w:lineRule="exact"/>
              <w:jc w:val="center"/>
              <w:rPr>
                <w:rFonts w:hint="eastAsia" w:ascii="宋体" w:hAnsi="宋体" w:eastAsia="宋体" w:cs="宋体"/>
                <w:color w:val="auto"/>
                <w:sz w:val="24"/>
                <w:highlight w:val="none"/>
              </w:rPr>
            </w:pPr>
          </w:p>
        </w:tc>
        <w:tc>
          <w:tcPr>
            <w:tcW w:w="2088" w:type="dxa"/>
            <w:vAlign w:val="center"/>
          </w:tcPr>
          <w:p w14:paraId="3EE2AEBB">
            <w:pPr>
              <w:spacing w:line="380" w:lineRule="exact"/>
              <w:jc w:val="center"/>
              <w:rPr>
                <w:rFonts w:hint="eastAsia" w:ascii="宋体" w:hAnsi="宋体" w:eastAsia="宋体" w:cs="宋体"/>
                <w:color w:val="auto"/>
                <w:sz w:val="24"/>
                <w:highlight w:val="none"/>
              </w:rPr>
            </w:pPr>
          </w:p>
        </w:tc>
        <w:tc>
          <w:tcPr>
            <w:tcW w:w="1984" w:type="dxa"/>
            <w:vAlign w:val="center"/>
          </w:tcPr>
          <w:p w14:paraId="08839FF4">
            <w:pPr>
              <w:spacing w:line="380" w:lineRule="exact"/>
              <w:jc w:val="center"/>
              <w:rPr>
                <w:rFonts w:hint="eastAsia" w:ascii="宋体" w:hAnsi="宋体" w:eastAsia="宋体" w:cs="宋体"/>
                <w:color w:val="auto"/>
                <w:sz w:val="24"/>
                <w:highlight w:val="none"/>
              </w:rPr>
            </w:pPr>
          </w:p>
        </w:tc>
        <w:tc>
          <w:tcPr>
            <w:tcW w:w="1859" w:type="dxa"/>
            <w:vAlign w:val="center"/>
          </w:tcPr>
          <w:p w14:paraId="29D7F611">
            <w:pPr>
              <w:spacing w:line="380" w:lineRule="exact"/>
              <w:jc w:val="center"/>
              <w:rPr>
                <w:rFonts w:hint="eastAsia" w:ascii="宋体" w:hAnsi="宋体" w:eastAsia="宋体" w:cs="宋体"/>
                <w:color w:val="auto"/>
                <w:sz w:val="24"/>
                <w:highlight w:val="none"/>
              </w:rPr>
            </w:pPr>
          </w:p>
        </w:tc>
        <w:tc>
          <w:tcPr>
            <w:tcW w:w="1586" w:type="dxa"/>
            <w:vAlign w:val="center"/>
          </w:tcPr>
          <w:p w14:paraId="7FDF2BCA">
            <w:pPr>
              <w:spacing w:line="380" w:lineRule="exact"/>
              <w:jc w:val="center"/>
              <w:rPr>
                <w:rFonts w:hint="eastAsia" w:ascii="宋体" w:hAnsi="宋体" w:eastAsia="宋体" w:cs="宋体"/>
                <w:color w:val="auto"/>
                <w:sz w:val="24"/>
                <w:highlight w:val="none"/>
              </w:rPr>
            </w:pPr>
          </w:p>
        </w:tc>
      </w:tr>
      <w:tr w14:paraId="7680E8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34E36316">
            <w:pPr>
              <w:spacing w:line="380" w:lineRule="exact"/>
              <w:jc w:val="center"/>
              <w:rPr>
                <w:rFonts w:hint="eastAsia" w:ascii="宋体" w:hAnsi="宋体" w:eastAsia="宋体" w:cs="宋体"/>
                <w:color w:val="auto"/>
                <w:sz w:val="24"/>
                <w:highlight w:val="none"/>
              </w:rPr>
            </w:pPr>
          </w:p>
        </w:tc>
        <w:tc>
          <w:tcPr>
            <w:tcW w:w="1358" w:type="dxa"/>
            <w:vAlign w:val="center"/>
          </w:tcPr>
          <w:p w14:paraId="65A4A962">
            <w:pPr>
              <w:spacing w:line="380" w:lineRule="exact"/>
              <w:jc w:val="center"/>
              <w:rPr>
                <w:rFonts w:hint="eastAsia" w:ascii="宋体" w:hAnsi="宋体" w:eastAsia="宋体" w:cs="宋体"/>
                <w:color w:val="auto"/>
                <w:sz w:val="24"/>
                <w:highlight w:val="none"/>
              </w:rPr>
            </w:pPr>
          </w:p>
        </w:tc>
        <w:tc>
          <w:tcPr>
            <w:tcW w:w="2088" w:type="dxa"/>
            <w:vAlign w:val="center"/>
          </w:tcPr>
          <w:p w14:paraId="3BDDB5D1">
            <w:pPr>
              <w:spacing w:line="380" w:lineRule="exact"/>
              <w:jc w:val="center"/>
              <w:rPr>
                <w:rFonts w:hint="eastAsia" w:ascii="宋体" w:hAnsi="宋体" w:eastAsia="宋体" w:cs="宋体"/>
                <w:color w:val="auto"/>
                <w:sz w:val="24"/>
                <w:highlight w:val="none"/>
              </w:rPr>
            </w:pPr>
          </w:p>
        </w:tc>
        <w:tc>
          <w:tcPr>
            <w:tcW w:w="1984" w:type="dxa"/>
            <w:vAlign w:val="center"/>
          </w:tcPr>
          <w:p w14:paraId="50420800">
            <w:pPr>
              <w:spacing w:line="380" w:lineRule="exact"/>
              <w:jc w:val="center"/>
              <w:rPr>
                <w:rFonts w:hint="eastAsia" w:ascii="宋体" w:hAnsi="宋体" w:eastAsia="宋体" w:cs="宋体"/>
                <w:color w:val="auto"/>
                <w:sz w:val="24"/>
                <w:highlight w:val="none"/>
              </w:rPr>
            </w:pPr>
          </w:p>
        </w:tc>
        <w:tc>
          <w:tcPr>
            <w:tcW w:w="1859" w:type="dxa"/>
            <w:vAlign w:val="center"/>
          </w:tcPr>
          <w:p w14:paraId="59929A18">
            <w:pPr>
              <w:spacing w:line="380" w:lineRule="exact"/>
              <w:jc w:val="center"/>
              <w:rPr>
                <w:rFonts w:hint="eastAsia" w:ascii="宋体" w:hAnsi="宋体" w:eastAsia="宋体" w:cs="宋体"/>
                <w:color w:val="auto"/>
                <w:sz w:val="24"/>
                <w:highlight w:val="none"/>
              </w:rPr>
            </w:pPr>
          </w:p>
        </w:tc>
        <w:tc>
          <w:tcPr>
            <w:tcW w:w="1586" w:type="dxa"/>
            <w:vAlign w:val="center"/>
          </w:tcPr>
          <w:p w14:paraId="1F33AC95">
            <w:pPr>
              <w:spacing w:line="380" w:lineRule="exact"/>
              <w:jc w:val="center"/>
              <w:rPr>
                <w:rFonts w:hint="eastAsia" w:ascii="宋体" w:hAnsi="宋体" w:eastAsia="宋体" w:cs="宋体"/>
                <w:color w:val="auto"/>
                <w:sz w:val="24"/>
                <w:highlight w:val="none"/>
              </w:rPr>
            </w:pPr>
          </w:p>
        </w:tc>
      </w:tr>
      <w:tr w14:paraId="45FFCD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7" w:hRule="atLeast"/>
          <w:jc w:val="center"/>
        </w:trPr>
        <w:tc>
          <w:tcPr>
            <w:tcW w:w="939" w:type="dxa"/>
            <w:vMerge w:val="continue"/>
          </w:tcPr>
          <w:p w14:paraId="62678A7F">
            <w:pPr>
              <w:spacing w:line="380" w:lineRule="exact"/>
              <w:jc w:val="center"/>
              <w:rPr>
                <w:rFonts w:hint="eastAsia" w:ascii="宋体" w:hAnsi="宋体" w:eastAsia="宋体" w:cs="宋体"/>
                <w:color w:val="auto"/>
                <w:sz w:val="24"/>
                <w:highlight w:val="none"/>
              </w:rPr>
            </w:pPr>
          </w:p>
        </w:tc>
        <w:tc>
          <w:tcPr>
            <w:tcW w:w="1358" w:type="dxa"/>
            <w:vAlign w:val="center"/>
          </w:tcPr>
          <w:p w14:paraId="0630C3E1">
            <w:pPr>
              <w:spacing w:line="380" w:lineRule="exact"/>
              <w:jc w:val="center"/>
              <w:rPr>
                <w:rFonts w:hint="eastAsia" w:ascii="宋体" w:hAnsi="宋体" w:eastAsia="宋体" w:cs="宋体"/>
                <w:color w:val="auto"/>
                <w:sz w:val="24"/>
                <w:highlight w:val="none"/>
              </w:rPr>
            </w:pPr>
          </w:p>
        </w:tc>
        <w:tc>
          <w:tcPr>
            <w:tcW w:w="2088" w:type="dxa"/>
            <w:vAlign w:val="center"/>
          </w:tcPr>
          <w:p w14:paraId="79DEC92D">
            <w:pPr>
              <w:spacing w:line="380" w:lineRule="exact"/>
              <w:jc w:val="center"/>
              <w:rPr>
                <w:rFonts w:hint="eastAsia" w:ascii="宋体" w:hAnsi="宋体" w:eastAsia="宋体" w:cs="宋体"/>
                <w:color w:val="auto"/>
                <w:sz w:val="24"/>
                <w:highlight w:val="none"/>
              </w:rPr>
            </w:pPr>
          </w:p>
        </w:tc>
        <w:tc>
          <w:tcPr>
            <w:tcW w:w="1984" w:type="dxa"/>
            <w:vAlign w:val="center"/>
          </w:tcPr>
          <w:p w14:paraId="1B979AEB">
            <w:pPr>
              <w:spacing w:line="380" w:lineRule="exact"/>
              <w:jc w:val="center"/>
              <w:rPr>
                <w:rFonts w:hint="eastAsia" w:ascii="宋体" w:hAnsi="宋体" w:eastAsia="宋体" w:cs="宋体"/>
                <w:color w:val="auto"/>
                <w:sz w:val="24"/>
                <w:highlight w:val="none"/>
              </w:rPr>
            </w:pPr>
          </w:p>
        </w:tc>
        <w:tc>
          <w:tcPr>
            <w:tcW w:w="1859" w:type="dxa"/>
            <w:vAlign w:val="center"/>
          </w:tcPr>
          <w:p w14:paraId="4DDC20F8">
            <w:pPr>
              <w:spacing w:line="380" w:lineRule="exact"/>
              <w:jc w:val="center"/>
              <w:rPr>
                <w:rFonts w:hint="eastAsia" w:ascii="宋体" w:hAnsi="宋体" w:eastAsia="宋体" w:cs="宋体"/>
                <w:color w:val="auto"/>
                <w:sz w:val="24"/>
                <w:highlight w:val="none"/>
              </w:rPr>
            </w:pPr>
          </w:p>
        </w:tc>
        <w:tc>
          <w:tcPr>
            <w:tcW w:w="1586" w:type="dxa"/>
            <w:vAlign w:val="center"/>
          </w:tcPr>
          <w:p w14:paraId="21D11EFB">
            <w:pPr>
              <w:spacing w:line="380" w:lineRule="exact"/>
              <w:jc w:val="center"/>
              <w:rPr>
                <w:rFonts w:hint="eastAsia" w:ascii="宋体" w:hAnsi="宋体" w:eastAsia="宋体" w:cs="宋体"/>
                <w:color w:val="auto"/>
                <w:sz w:val="24"/>
                <w:highlight w:val="none"/>
              </w:rPr>
            </w:pPr>
          </w:p>
        </w:tc>
      </w:tr>
    </w:tbl>
    <w:p w14:paraId="2A386575">
      <w:pPr>
        <w:spacing w:line="38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注：如投标文件含正偏离和负偏离，都应说明。如未填写则视为完全响应招标文件要求。</w:t>
      </w:r>
    </w:p>
    <w:p w14:paraId="0701EEB5">
      <w:pPr>
        <w:spacing w:line="380" w:lineRule="exact"/>
        <w:rPr>
          <w:rFonts w:hint="eastAsia" w:ascii="宋体" w:hAnsi="宋体" w:eastAsia="宋体" w:cs="宋体"/>
          <w:b/>
          <w:color w:val="auto"/>
          <w:sz w:val="24"/>
          <w:highlight w:val="none"/>
        </w:rPr>
      </w:pPr>
    </w:p>
    <w:p w14:paraId="072F23E8">
      <w:pPr>
        <w:widowControl/>
        <w:adjustRightInd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投标人全称（</w:t>
      </w:r>
      <w:r>
        <w:rPr>
          <w:rFonts w:hint="eastAsia" w:ascii="宋体" w:hAnsi="宋体" w:eastAsia="宋体" w:cs="宋体"/>
          <w:color w:val="auto"/>
          <w:sz w:val="22"/>
          <w:szCs w:val="22"/>
          <w:highlight w:val="none"/>
        </w:rPr>
        <w:t>加盖单位公章</w:t>
      </w:r>
      <w:r>
        <w:rPr>
          <w:rFonts w:hint="eastAsia" w:ascii="宋体" w:hAnsi="宋体" w:eastAsia="宋体" w:cs="宋体"/>
          <w:color w:val="auto"/>
          <w:kern w:val="0"/>
          <w:sz w:val="22"/>
          <w:szCs w:val="22"/>
          <w:highlight w:val="none"/>
        </w:rPr>
        <w:t>）：</w:t>
      </w:r>
    </w:p>
    <w:p w14:paraId="4FBFC947">
      <w:pPr>
        <w:widowControl/>
        <w:adjustRightInd w:val="0"/>
        <w:snapToGrid w:val="0"/>
        <w:spacing w:line="360" w:lineRule="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法定代表人或授权代表（签字或盖章）：</w:t>
      </w:r>
    </w:p>
    <w:p w14:paraId="635D1475">
      <w:pPr>
        <w:spacing w:line="440" w:lineRule="exac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日          期：  年  月  日</w:t>
      </w:r>
    </w:p>
    <w:p w14:paraId="150686AF">
      <w:pPr>
        <w:snapToGrid w:val="0"/>
        <w:spacing w:before="50" w:after="156" w:afterLines="50"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28"/>
          <w:szCs w:val="28"/>
          <w:highlight w:val="none"/>
        </w:rPr>
        <w:br w:type="page"/>
      </w:r>
    </w:p>
    <w:p w14:paraId="2B6C416C">
      <w:pPr>
        <w:widowControl/>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附件四</w:t>
      </w:r>
    </w:p>
    <w:p w14:paraId="3CFA566E">
      <w:pPr>
        <w:snapToGrid w:val="0"/>
        <w:spacing w:before="156" w:beforeLines="50" w:after="50"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投标人基本情况表</w:t>
      </w:r>
    </w:p>
    <w:tbl>
      <w:tblPr>
        <w:tblStyle w:val="29"/>
        <w:tblW w:w="9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975"/>
      </w:tblGrid>
      <w:tr w14:paraId="3CC1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3862C5F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7861" w:type="dxa"/>
            <w:gridSpan w:val="10"/>
            <w:vAlign w:val="center"/>
          </w:tcPr>
          <w:p w14:paraId="7050C08F">
            <w:pPr>
              <w:spacing w:line="360" w:lineRule="auto"/>
              <w:jc w:val="center"/>
              <w:rPr>
                <w:rFonts w:hint="eastAsia" w:ascii="宋体" w:hAnsi="宋体" w:eastAsia="宋体" w:cs="宋体"/>
                <w:color w:val="auto"/>
                <w:sz w:val="22"/>
                <w:szCs w:val="22"/>
                <w:highlight w:val="none"/>
              </w:rPr>
            </w:pPr>
          </w:p>
        </w:tc>
      </w:tr>
      <w:tr w14:paraId="36A7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590A4B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3647" w:type="dxa"/>
            <w:gridSpan w:val="4"/>
            <w:vAlign w:val="center"/>
          </w:tcPr>
          <w:p w14:paraId="42F31F49">
            <w:pPr>
              <w:spacing w:line="360" w:lineRule="auto"/>
              <w:jc w:val="center"/>
              <w:rPr>
                <w:rFonts w:hint="eastAsia" w:ascii="宋体" w:hAnsi="宋体" w:eastAsia="宋体" w:cs="宋体"/>
                <w:color w:val="auto"/>
                <w:sz w:val="22"/>
                <w:szCs w:val="22"/>
                <w:highlight w:val="none"/>
              </w:rPr>
            </w:pPr>
          </w:p>
        </w:tc>
        <w:tc>
          <w:tcPr>
            <w:tcW w:w="1602" w:type="dxa"/>
            <w:gridSpan w:val="3"/>
            <w:vAlign w:val="center"/>
          </w:tcPr>
          <w:p w14:paraId="5F59CC0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tc>
        <w:tc>
          <w:tcPr>
            <w:tcW w:w="2612" w:type="dxa"/>
            <w:gridSpan w:val="3"/>
            <w:vAlign w:val="center"/>
          </w:tcPr>
          <w:p w14:paraId="79718CAA">
            <w:pPr>
              <w:spacing w:line="360" w:lineRule="auto"/>
              <w:jc w:val="center"/>
              <w:rPr>
                <w:rFonts w:hint="eastAsia" w:ascii="宋体" w:hAnsi="宋体" w:eastAsia="宋体" w:cs="宋体"/>
                <w:color w:val="auto"/>
                <w:sz w:val="22"/>
                <w:szCs w:val="22"/>
                <w:highlight w:val="none"/>
              </w:rPr>
            </w:pPr>
          </w:p>
        </w:tc>
      </w:tr>
      <w:tr w14:paraId="15B9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Merge w:val="restart"/>
            <w:vAlign w:val="center"/>
          </w:tcPr>
          <w:p w14:paraId="1E3FF72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w:t>
            </w:r>
          </w:p>
        </w:tc>
        <w:tc>
          <w:tcPr>
            <w:tcW w:w="1283" w:type="dxa"/>
            <w:gridSpan w:val="2"/>
            <w:vAlign w:val="center"/>
          </w:tcPr>
          <w:p w14:paraId="365038C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2364" w:type="dxa"/>
            <w:gridSpan w:val="2"/>
            <w:vAlign w:val="center"/>
          </w:tcPr>
          <w:p w14:paraId="1348F180">
            <w:pPr>
              <w:spacing w:line="360" w:lineRule="auto"/>
              <w:jc w:val="center"/>
              <w:rPr>
                <w:rFonts w:hint="eastAsia" w:ascii="宋体" w:hAnsi="宋体" w:eastAsia="宋体" w:cs="宋体"/>
                <w:color w:val="auto"/>
                <w:sz w:val="22"/>
                <w:szCs w:val="22"/>
                <w:highlight w:val="none"/>
              </w:rPr>
            </w:pPr>
          </w:p>
        </w:tc>
        <w:tc>
          <w:tcPr>
            <w:tcW w:w="1602" w:type="dxa"/>
            <w:gridSpan w:val="3"/>
            <w:vAlign w:val="center"/>
          </w:tcPr>
          <w:p w14:paraId="1AAEB28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2612" w:type="dxa"/>
            <w:gridSpan w:val="3"/>
            <w:vAlign w:val="center"/>
          </w:tcPr>
          <w:p w14:paraId="6DF60FA7">
            <w:pPr>
              <w:spacing w:line="360" w:lineRule="auto"/>
              <w:jc w:val="center"/>
              <w:rPr>
                <w:rFonts w:hint="eastAsia" w:ascii="宋体" w:hAnsi="宋体" w:eastAsia="宋体" w:cs="宋体"/>
                <w:color w:val="auto"/>
                <w:sz w:val="22"/>
                <w:szCs w:val="22"/>
                <w:highlight w:val="none"/>
              </w:rPr>
            </w:pPr>
          </w:p>
        </w:tc>
      </w:tr>
      <w:tr w14:paraId="2CED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25B2E561">
            <w:pPr>
              <w:spacing w:line="360" w:lineRule="auto"/>
              <w:jc w:val="center"/>
              <w:rPr>
                <w:rFonts w:hint="eastAsia" w:ascii="宋体" w:hAnsi="宋体" w:eastAsia="宋体" w:cs="宋体"/>
                <w:color w:val="auto"/>
                <w:sz w:val="22"/>
                <w:szCs w:val="22"/>
                <w:highlight w:val="none"/>
              </w:rPr>
            </w:pPr>
          </w:p>
        </w:tc>
        <w:tc>
          <w:tcPr>
            <w:tcW w:w="1283" w:type="dxa"/>
            <w:gridSpan w:val="2"/>
            <w:vAlign w:val="center"/>
          </w:tcPr>
          <w:p w14:paraId="0765B3E1">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2364" w:type="dxa"/>
            <w:gridSpan w:val="2"/>
            <w:vAlign w:val="center"/>
          </w:tcPr>
          <w:p w14:paraId="6C527010">
            <w:pPr>
              <w:spacing w:line="360" w:lineRule="auto"/>
              <w:jc w:val="center"/>
              <w:rPr>
                <w:rFonts w:hint="eastAsia" w:ascii="宋体" w:hAnsi="宋体" w:eastAsia="宋体" w:cs="宋体"/>
                <w:color w:val="auto"/>
                <w:sz w:val="22"/>
                <w:szCs w:val="22"/>
                <w:highlight w:val="none"/>
              </w:rPr>
            </w:pPr>
          </w:p>
        </w:tc>
        <w:tc>
          <w:tcPr>
            <w:tcW w:w="1602" w:type="dxa"/>
            <w:gridSpan w:val="3"/>
            <w:vAlign w:val="center"/>
          </w:tcPr>
          <w:p w14:paraId="00F4393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网址</w:t>
            </w:r>
          </w:p>
        </w:tc>
        <w:tc>
          <w:tcPr>
            <w:tcW w:w="2612" w:type="dxa"/>
            <w:gridSpan w:val="3"/>
            <w:vAlign w:val="center"/>
          </w:tcPr>
          <w:p w14:paraId="7212B4DF">
            <w:pPr>
              <w:spacing w:line="360" w:lineRule="auto"/>
              <w:jc w:val="center"/>
              <w:rPr>
                <w:rFonts w:hint="eastAsia" w:ascii="宋体" w:hAnsi="宋体" w:eastAsia="宋体" w:cs="宋体"/>
                <w:color w:val="auto"/>
                <w:sz w:val="22"/>
                <w:szCs w:val="22"/>
                <w:highlight w:val="none"/>
              </w:rPr>
            </w:pPr>
          </w:p>
        </w:tc>
      </w:tr>
      <w:tr w14:paraId="0BCC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2807FE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组织结构</w:t>
            </w:r>
          </w:p>
        </w:tc>
        <w:tc>
          <w:tcPr>
            <w:tcW w:w="7861" w:type="dxa"/>
            <w:gridSpan w:val="10"/>
            <w:vAlign w:val="center"/>
          </w:tcPr>
          <w:p w14:paraId="40D64B98">
            <w:pPr>
              <w:spacing w:line="360" w:lineRule="auto"/>
              <w:jc w:val="center"/>
              <w:rPr>
                <w:rFonts w:hint="eastAsia" w:ascii="宋体" w:hAnsi="宋体" w:eastAsia="宋体" w:cs="宋体"/>
                <w:color w:val="auto"/>
                <w:sz w:val="22"/>
                <w:szCs w:val="22"/>
                <w:highlight w:val="none"/>
              </w:rPr>
            </w:pPr>
          </w:p>
        </w:tc>
      </w:tr>
      <w:tr w14:paraId="7771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2147719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974" w:type="dxa"/>
            <w:vAlign w:val="center"/>
          </w:tcPr>
          <w:p w14:paraId="7FC7C7E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661" w:type="dxa"/>
            <w:gridSpan w:val="2"/>
            <w:vAlign w:val="center"/>
          </w:tcPr>
          <w:p w14:paraId="51ABED91">
            <w:pPr>
              <w:spacing w:line="360" w:lineRule="auto"/>
              <w:jc w:val="center"/>
              <w:rPr>
                <w:rFonts w:hint="eastAsia" w:ascii="宋体" w:hAnsi="宋体" w:eastAsia="宋体" w:cs="宋体"/>
                <w:color w:val="auto"/>
                <w:sz w:val="22"/>
                <w:szCs w:val="22"/>
                <w:highlight w:val="none"/>
              </w:rPr>
            </w:pPr>
          </w:p>
        </w:tc>
        <w:tc>
          <w:tcPr>
            <w:tcW w:w="1361" w:type="dxa"/>
            <w:gridSpan w:val="2"/>
            <w:vAlign w:val="center"/>
          </w:tcPr>
          <w:p w14:paraId="69CD7C1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技术职称</w:t>
            </w:r>
          </w:p>
        </w:tc>
        <w:tc>
          <w:tcPr>
            <w:tcW w:w="1074" w:type="dxa"/>
            <w:vAlign w:val="center"/>
          </w:tcPr>
          <w:p w14:paraId="7119C60B">
            <w:pPr>
              <w:spacing w:line="360" w:lineRule="auto"/>
              <w:jc w:val="center"/>
              <w:rPr>
                <w:rFonts w:hint="eastAsia" w:ascii="宋体" w:hAnsi="宋体" w:eastAsia="宋体" w:cs="宋体"/>
                <w:color w:val="auto"/>
                <w:sz w:val="22"/>
                <w:szCs w:val="22"/>
                <w:highlight w:val="none"/>
              </w:rPr>
            </w:pPr>
          </w:p>
        </w:tc>
        <w:tc>
          <w:tcPr>
            <w:tcW w:w="816" w:type="dxa"/>
            <w:gridSpan w:val="3"/>
            <w:vAlign w:val="center"/>
          </w:tcPr>
          <w:p w14:paraId="037F956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975" w:type="dxa"/>
            <w:vAlign w:val="center"/>
          </w:tcPr>
          <w:p w14:paraId="59C56CD0">
            <w:pPr>
              <w:spacing w:line="360" w:lineRule="auto"/>
              <w:jc w:val="center"/>
              <w:rPr>
                <w:rFonts w:hint="eastAsia" w:ascii="宋体" w:hAnsi="宋体" w:eastAsia="宋体" w:cs="宋体"/>
                <w:color w:val="auto"/>
                <w:sz w:val="22"/>
                <w:szCs w:val="22"/>
                <w:highlight w:val="none"/>
              </w:rPr>
            </w:pPr>
          </w:p>
        </w:tc>
      </w:tr>
      <w:tr w14:paraId="1CB5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99A329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技术负责人</w:t>
            </w:r>
          </w:p>
        </w:tc>
        <w:tc>
          <w:tcPr>
            <w:tcW w:w="974" w:type="dxa"/>
            <w:vAlign w:val="center"/>
          </w:tcPr>
          <w:p w14:paraId="49F2849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661" w:type="dxa"/>
            <w:gridSpan w:val="2"/>
            <w:vAlign w:val="center"/>
          </w:tcPr>
          <w:p w14:paraId="7A29C52C">
            <w:pPr>
              <w:spacing w:line="360" w:lineRule="auto"/>
              <w:jc w:val="center"/>
              <w:rPr>
                <w:rFonts w:hint="eastAsia" w:ascii="宋体" w:hAnsi="宋体" w:eastAsia="宋体" w:cs="宋体"/>
                <w:color w:val="auto"/>
                <w:sz w:val="22"/>
                <w:szCs w:val="22"/>
                <w:highlight w:val="none"/>
              </w:rPr>
            </w:pPr>
          </w:p>
        </w:tc>
        <w:tc>
          <w:tcPr>
            <w:tcW w:w="1361" w:type="dxa"/>
            <w:gridSpan w:val="2"/>
            <w:vAlign w:val="center"/>
          </w:tcPr>
          <w:p w14:paraId="3E53AD4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技术职称</w:t>
            </w:r>
          </w:p>
        </w:tc>
        <w:tc>
          <w:tcPr>
            <w:tcW w:w="1074" w:type="dxa"/>
            <w:vAlign w:val="center"/>
          </w:tcPr>
          <w:p w14:paraId="5233A7CA">
            <w:pPr>
              <w:spacing w:line="360" w:lineRule="auto"/>
              <w:jc w:val="center"/>
              <w:rPr>
                <w:rFonts w:hint="eastAsia" w:ascii="宋体" w:hAnsi="宋体" w:eastAsia="宋体" w:cs="宋体"/>
                <w:color w:val="auto"/>
                <w:sz w:val="22"/>
                <w:szCs w:val="22"/>
                <w:highlight w:val="none"/>
              </w:rPr>
            </w:pPr>
          </w:p>
        </w:tc>
        <w:tc>
          <w:tcPr>
            <w:tcW w:w="816" w:type="dxa"/>
            <w:gridSpan w:val="3"/>
            <w:vAlign w:val="center"/>
          </w:tcPr>
          <w:p w14:paraId="71AB4A3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p>
        </w:tc>
        <w:tc>
          <w:tcPr>
            <w:tcW w:w="1975" w:type="dxa"/>
            <w:vAlign w:val="center"/>
          </w:tcPr>
          <w:p w14:paraId="4DE6C7ED">
            <w:pPr>
              <w:spacing w:line="360" w:lineRule="auto"/>
              <w:jc w:val="center"/>
              <w:rPr>
                <w:rFonts w:hint="eastAsia" w:ascii="宋体" w:hAnsi="宋体" w:eastAsia="宋体" w:cs="宋体"/>
                <w:color w:val="auto"/>
                <w:sz w:val="22"/>
                <w:szCs w:val="22"/>
                <w:highlight w:val="none"/>
              </w:rPr>
            </w:pPr>
          </w:p>
        </w:tc>
      </w:tr>
      <w:tr w14:paraId="3FE0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5CB4A52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w:t>
            </w:r>
          </w:p>
        </w:tc>
        <w:tc>
          <w:tcPr>
            <w:tcW w:w="2635" w:type="dxa"/>
            <w:gridSpan w:val="3"/>
            <w:vAlign w:val="center"/>
          </w:tcPr>
          <w:p w14:paraId="2A716F31">
            <w:pPr>
              <w:spacing w:line="360" w:lineRule="auto"/>
              <w:jc w:val="center"/>
              <w:rPr>
                <w:rFonts w:hint="eastAsia" w:ascii="宋体" w:hAnsi="宋体" w:eastAsia="宋体" w:cs="宋体"/>
                <w:color w:val="auto"/>
                <w:sz w:val="22"/>
                <w:szCs w:val="22"/>
                <w:highlight w:val="none"/>
              </w:rPr>
            </w:pPr>
          </w:p>
        </w:tc>
        <w:tc>
          <w:tcPr>
            <w:tcW w:w="5226" w:type="dxa"/>
            <w:gridSpan w:val="7"/>
            <w:vAlign w:val="center"/>
          </w:tcPr>
          <w:p w14:paraId="47856E8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员工总人数：</w:t>
            </w:r>
          </w:p>
        </w:tc>
      </w:tr>
      <w:tr w14:paraId="073A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1" w:type="dxa"/>
            <w:vAlign w:val="center"/>
          </w:tcPr>
          <w:p w14:paraId="4D625DFB">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企业资质等级</w:t>
            </w:r>
          </w:p>
        </w:tc>
        <w:tc>
          <w:tcPr>
            <w:tcW w:w="2635" w:type="dxa"/>
            <w:gridSpan w:val="3"/>
            <w:vAlign w:val="center"/>
          </w:tcPr>
          <w:p w14:paraId="3A134B60">
            <w:pPr>
              <w:spacing w:line="360" w:lineRule="auto"/>
              <w:jc w:val="center"/>
              <w:rPr>
                <w:rFonts w:hint="eastAsia" w:ascii="宋体" w:hAnsi="宋体" w:eastAsia="宋体" w:cs="宋体"/>
                <w:color w:val="auto"/>
                <w:sz w:val="22"/>
                <w:szCs w:val="22"/>
                <w:highlight w:val="none"/>
              </w:rPr>
            </w:pPr>
          </w:p>
        </w:tc>
        <w:tc>
          <w:tcPr>
            <w:tcW w:w="1012" w:type="dxa"/>
            <w:vMerge w:val="restart"/>
            <w:vAlign w:val="center"/>
          </w:tcPr>
          <w:p w14:paraId="469C2B25">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w:t>
            </w:r>
          </w:p>
        </w:tc>
        <w:tc>
          <w:tcPr>
            <w:tcW w:w="1954" w:type="dxa"/>
            <w:gridSpan w:val="4"/>
            <w:vAlign w:val="center"/>
          </w:tcPr>
          <w:p w14:paraId="514C74D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高级职称人员</w:t>
            </w:r>
          </w:p>
        </w:tc>
        <w:tc>
          <w:tcPr>
            <w:tcW w:w="2260" w:type="dxa"/>
            <w:gridSpan w:val="2"/>
            <w:vAlign w:val="center"/>
          </w:tcPr>
          <w:p w14:paraId="147318D1">
            <w:pPr>
              <w:spacing w:line="360" w:lineRule="auto"/>
              <w:jc w:val="center"/>
              <w:rPr>
                <w:rFonts w:hint="eastAsia" w:ascii="宋体" w:hAnsi="宋体" w:eastAsia="宋体" w:cs="宋体"/>
                <w:color w:val="auto"/>
                <w:sz w:val="22"/>
                <w:szCs w:val="22"/>
                <w:highlight w:val="none"/>
              </w:rPr>
            </w:pPr>
          </w:p>
        </w:tc>
      </w:tr>
      <w:tr w14:paraId="6E8B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EC5E7D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营业执照号</w:t>
            </w:r>
          </w:p>
        </w:tc>
        <w:tc>
          <w:tcPr>
            <w:tcW w:w="2635" w:type="dxa"/>
            <w:gridSpan w:val="3"/>
            <w:vAlign w:val="center"/>
          </w:tcPr>
          <w:p w14:paraId="5A77E1AA">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26C75A74">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3EBE5DD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中级职称人员</w:t>
            </w:r>
          </w:p>
        </w:tc>
        <w:tc>
          <w:tcPr>
            <w:tcW w:w="2260" w:type="dxa"/>
            <w:gridSpan w:val="2"/>
            <w:vAlign w:val="center"/>
          </w:tcPr>
          <w:p w14:paraId="20A95714">
            <w:pPr>
              <w:spacing w:line="360" w:lineRule="auto"/>
              <w:jc w:val="center"/>
              <w:rPr>
                <w:rFonts w:hint="eastAsia" w:ascii="宋体" w:hAnsi="宋体" w:eastAsia="宋体" w:cs="宋体"/>
                <w:color w:val="auto"/>
                <w:sz w:val="22"/>
                <w:szCs w:val="22"/>
                <w:highlight w:val="none"/>
              </w:rPr>
            </w:pPr>
          </w:p>
        </w:tc>
      </w:tr>
      <w:tr w14:paraId="50AF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4E2EFC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注册资金</w:t>
            </w:r>
          </w:p>
        </w:tc>
        <w:tc>
          <w:tcPr>
            <w:tcW w:w="2635" w:type="dxa"/>
            <w:gridSpan w:val="3"/>
            <w:vAlign w:val="center"/>
          </w:tcPr>
          <w:p w14:paraId="5F993313">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1F4DFAB1">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5C38B91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初级职称人员</w:t>
            </w:r>
          </w:p>
        </w:tc>
        <w:tc>
          <w:tcPr>
            <w:tcW w:w="2260" w:type="dxa"/>
            <w:gridSpan w:val="2"/>
            <w:vAlign w:val="center"/>
          </w:tcPr>
          <w:p w14:paraId="38599766">
            <w:pPr>
              <w:spacing w:line="360" w:lineRule="auto"/>
              <w:jc w:val="center"/>
              <w:rPr>
                <w:rFonts w:hint="eastAsia" w:ascii="宋体" w:hAnsi="宋体" w:eastAsia="宋体" w:cs="宋体"/>
                <w:color w:val="auto"/>
                <w:sz w:val="22"/>
                <w:szCs w:val="22"/>
                <w:highlight w:val="none"/>
              </w:rPr>
            </w:pPr>
          </w:p>
        </w:tc>
      </w:tr>
      <w:tr w14:paraId="22E9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095BC8A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c>
          <w:tcPr>
            <w:tcW w:w="2635" w:type="dxa"/>
            <w:gridSpan w:val="3"/>
            <w:vAlign w:val="center"/>
          </w:tcPr>
          <w:p w14:paraId="78936F45">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5AC83AE6">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48A601F7">
            <w:pPr>
              <w:spacing w:line="360" w:lineRule="auto"/>
              <w:jc w:val="center"/>
              <w:rPr>
                <w:rFonts w:hint="eastAsia" w:ascii="宋体" w:hAnsi="宋体" w:eastAsia="宋体" w:cs="宋体"/>
                <w:color w:val="auto"/>
                <w:sz w:val="22"/>
                <w:szCs w:val="22"/>
                <w:highlight w:val="none"/>
              </w:rPr>
            </w:pPr>
          </w:p>
        </w:tc>
        <w:tc>
          <w:tcPr>
            <w:tcW w:w="2260" w:type="dxa"/>
            <w:gridSpan w:val="2"/>
            <w:vAlign w:val="center"/>
          </w:tcPr>
          <w:p w14:paraId="0B527545">
            <w:pPr>
              <w:spacing w:line="360" w:lineRule="auto"/>
              <w:jc w:val="center"/>
              <w:rPr>
                <w:rFonts w:hint="eastAsia" w:ascii="宋体" w:hAnsi="宋体" w:eastAsia="宋体" w:cs="宋体"/>
                <w:color w:val="auto"/>
                <w:sz w:val="22"/>
                <w:szCs w:val="22"/>
                <w:highlight w:val="none"/>
              </w:rPr>
            </w:pPr>
          </w:p>
        </w:tc>
      </w:tr>
      <w:tr w14:paraId="4066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878C964">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w:t>
            </w:r>
          </w:p>
        </w:tc>
        <w:tc>
          <w:tcPr>
            <w:tcW w:w="2635" w:type="dxa"/>
            <w:gridSpan w:val="3"/>
            <w:vAlign w:val="center"/>
          </w:tcPr>
          <w:p w14:paraId="74BB4375">
            <w:pPr>
              <w:spacing w:line="360" w:lineRule="auto"/>
              <w:jc w:val="center"/>
              <w:rPr>
                <w:rFonts w:hint="eastAsia" w:ascii="宋体" w:hAnsi="宋体" w:eastAsia="宋体" w:cs="宋体"/>
                <w:color w:val="auto"/>
                <w:sz w:val="22"/>
                <w:szCs w:val="22"/>
                <w:highlight w:val="none"/>
              </w:rPr>
            </w:pPr>
          </w:p>
        </w:tc>
        <w:tc>
          <w:tcPr>
            <w:tcW w:w="1012" w:type="dxa"/>
            <w:vMerge w:val="continue"/>
            <w:vAlign w:val="center"/>
          </w:tcPr>
          <w:p w14:paraId="3A855D65">
            <w:pPr>
              <w:spacing w:line="360" w:lineRule="auto"/>
              <w:jc w:val="center"/>
              <w:rPr>
                <w:rFonts w:hint="eastAsia" w:ascii="宋体" w:hAnsi="宋体" w:eastAsia="宋体" w:cs="宋体"/>
                <w:color w:val="auto"/>
                <w:sz w:val="22"/>
                <w:szCs w:val="22"/>
                <w:highlight w:val="none"/>
              </w:rPr>
            </w:pPr>
          </w:p>
        </w:tc>
        <w:tc>
          <w:tcPr>
            <w:tcW w:w="1954" w:type="dxa"/>
            <w:gridSpan w:val="4"/>
            <w:vAlign w:val="center"/>
          </w:tcPr>
          <w:p w14:paraId="7823916B">
            <w:pPr>
              <w:spacing w:line="360" w:lineRule="auto"/>
              <w:jc w:val="center"/>
              <w:rPr>
                <w:rFonts w:hint="eastAsia" w:ascii="宋体" w:hAnsi="宋体" w:eastAsia="宋体" w:cs="宋体"/>
                <w:color w:val="auto"/>
                <w:sz w:val="22"/>
                <w:szCs w:val="22"/>
                <w:highlight w:val="none"/>
              </w:rPr>
            </w:pPr>
          </w:p>
        </w:tc>
        <w:tc>
          <w:tcPr>
            <w:tcW w:w="2260" w:type="dxa"/>
            <w:gridSpan w:val="2"/>
            <w:vAlign w:val="center"/>
          </w:tcPr>
          <w:p w14:paraId="46839F57">
            <w:pPr>
              <w:spacing w:line="360" w:lineRule="auto"/>
              <w:jc w:val="center"/>
              <w:rPr>
                <w:rFonts w:hint="eastAsia" w:ascii="宋体" w:hAnsi="宋体" w:eastAsia="宋体" w:cs="宋体"/>
                <w:color w:val="auto"/>
                <w:sz w:val="22"/>
                <w:szCs w:val="22"/>
                <w:highlight w:val="none"/>
              </w:rPr>
            </w:pPr>
          </w:p>
        </w:tc>
      </w:tr>
      <w:tr w14:paraId="4C29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71" w:type="dxa"/>
            <w:vAlign w:val="center"/>
          </w:tcPr>
          <w:p w14:paraId="61F1715A">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经营范围</w:t>
            </w:r>
          </w:p>
        </w:tc>
        <w:tc>
          <w:tcPr>
            <w:tcW w:w="7861" w:type="dxa"/>
            <w:gridSpan w:val="10"/>
            <w:vAlign w:val="center"/>
          </w:tcPr>
          <w:p w14:paraId="10DDA5B4">
            <w:pPr>
              <w:spacing w:line="360" w:lineRule="auto"/>
              <w:jc w:val="center"/>
              <w:rPr>
                <w:rFonts w:hint="eastAsia" w:ascii="宋体" w:hAnsi="宋体" w:eastAsia="宋体" w:cs="宋体"/>
                <w:color w:val="auto"/>
                <w:sz w:val="22"/>
                <w:szCs w:val="22"/>
                <w:highlight w:val="none"/>
              </w:rPr>
            </w:pPr>
          </w:p>
        </w:tc>
      </w:tr>
      <w:tr w14:paraId="6E4A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1" w:type="dxa"/>
            <w:vAlign w:val="center"/>
          </w:tcPr>
          <w:p w14:paraId="50D9338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财务状况</w:t>
            </w:r>
          </w:p>
        </w:tc>
        <w:tc>
          <w:tcPr>
            <w:tcW w:w="7861" w:type="dxa"/>
            <w:gridSpan w:val="10"/>
            <w:vAlign w:val="center"/>
          </w:tcPr>
          <w:p w14:paraId="25779623">
            <w:pPr>
              <w:spacing w:line="360" w:lineRule="exact"/>
              <w:ind w:firstLine="462" w:firstLineChars="210"/>
              <w:jc w:val="center"/>
              <w:rPr>
                <w:rFonts w:hint="eastAsia" w:ascii="宋体" w:hAnsi="宋体" w:eastAsia="宋体" w:cs="宋体"/>
                <w:color w:val="auto"/>
                <w:sz w:val="22"/>
                <w:szCs w:val="22"/>
                <w:highlight w:val="none"/>
              </w:rPr>
            </w:pPr>
          </w:p>
        </w:tc>
      </w:tr>
      <w:tr w14:paraId="274D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771" w:type="dxa"/>
            <w:vAlign w:val="center"/>
          </w:tcPr>
          <w:p w14:paraId="63FC3607">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c>
          <w:tcPr>
            <w:tcW w:w="7861" w:type="dxa"/>
            <w:gridSpan w:val="10"/>
            <w:vAlign w:val="center"/>
          </w:tcPr>
          <w:p w14:paraId="0B4CF1A0">
            <w:pPr>
              <w:spacing w:line="360" w:lineRule="auto"/>
              <w:jc w:val="center"/>
              <w:rPr>
                <w:rFonts w:hint="eastAsia" w:ascii="宋体" w:hAnsi="宋体" w:eastAsia="宋体" w:cs="宋体"/>
                <w:color w:val="auto"/>
                <w:sz w:val="22"/>
                <w:szCs w:val="22"/>
                <w:highlight w:val="none"/>
              </w:rPr>
            </w:pPr>
          </w:p>
        </w:tc>
      </w:tr>
    </w:tbl>
    <w:p w14:paraId="2379E8C1">
      <w:pPr>
        <w:snapToGrid w:val="0"/>
        <w:spacing w:before="156" w:beforeLines="50" w:after="50" w:line="360" w:lineRule="auto"/>
        <w:rPr>
          <w:rFonts w:hint="eastAsia" w:ascii="宋体" w:hAnsi="宋体" w:eastAsia="宋体" w:cs="宋体"/>
          <w:color w:val="auto"/>
          <w:sz w:val="28"/>
          <w:szCs w:val="28"/>
          <w:highlight w:val="none"/>
        </w:rPr>
      </w:pPr>
    </w:p>
    <w:p w14:paraId="605DD5C5">
      <w:pPr>
        <w:pStyle w:val="28"/>
        <w:rPr>
          <w:rFonts w:hint="eastAsia" w:ascii="宋体" w:hAnsi="宋体" w:eastAsia="宋体" w:cs="宋体"/>
          <w:color w:val="auto"/>
          <w:highlight w:val="none"/>
        </w:rPr>
      </w:pPr>
    </w:p>
    <w:p w14:paraId="250CD357">
      <w:pPr>
        <w:rPr>
          <w:rFonts w:hint="eastAsia" w:ascii="宋体" w:hAnsi="宋体" w:eastAsia="宋体" w:cs="宋体"/>
          <w:color w:val="auto"/>
          <w:highlight w:val="none"/>
        </w:rPr>
      </w:pPr>
    </w:p>
    <w:p w14:paraId="483DA88A">
      <w:pPr>
        <w:rPr>
          <w:rFonts w:hint="eastAsia" w:ascii="宋体" w:hAnsi="宋体" w:eastAsia="宋体" w:cs="宋体"/>
          <w:color w:val="auto"/>
          <w:highlight w:val="none"/>
        </w:rPr>
      </w:pPr>
    </w:p>
    <w:p w14:paraId="045903F7">
      <w:pPr>
        <w:pStyle w:val="28"/>
        <w:rPr>
          <w:rFonts w:hint="eastAsia" w:ascii="宋体" w:hAnsi="宋体" w:eastAsia="宋体" w:cs="宋体"/>
          <w:color w:val="auto"/>
          <w:highlight w:val="none"/>
        </w:rPr>
      </w:pPr>
    </w:p>
    <w:p w14:paraId="556A80A5">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F13A90E">
      <w:pPr>
        <w:snapToGrid w:val="0"/>
        <w:spacing w:before="50" w:after="156" w:afterLines="50"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五</w:t>
      </w:r>
    </w:p>
    <w:p w14:paraId="274F6F29">
      <w:pPr>
        <w:spacing w:line="320" w:lineRule="exact"/>
        <w:jc w:val="center"/>
        <w:rPr>
          <w:rFonts w:hint="eastAsia" w:ascii="宋体" w:hAnsi="宋体" w:eastAsia="宋体" w:cs="宋体"/>
          <w:b/>
          <w:bCs/>
          <w:color w:val="auto"/>
          <w:sz w:val="30"/>
          <w:highlight w:val="none"/>
        </w:rPr>
      </w:pPr>
      <w:r>
        <w:rPr>
          <w:rFonts w:hint="eastAsia" w:ascii="宋体" w:hAnsi="宋体" w:eastAsia="宋体" w:cs="宋体"/>
          <w:b/>
          <w:bCs/>
          <w:color w:val="auto"/>
          <w:sz w:val="30"/>
          <w:highlight w:val="none"/>
        </w:rPr>
        <w:t>项目业绩情况表</w:t>
      </w:r>
    </w:p>
    <w:tbl>
      <w:tblPr>
        <w:tblStyle w:val="2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0"/>
        <w:gridCol w:w="1200"/>
        <w:gridCol w:w="1675"/>
        <w:gridCol w:w="1598"/>
        <w:gridCol w:w="1803"/>
      </w:tblGrid>
      <w:tr w14:paraId="359E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vAlign w:val="center"/>
          </w:tcPr>
          <w:p w14:paraId="4560FEBD">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200" w:type="dxa"/>
            <w:vAlign w:val="center"/>
          </w:tcPr>
          <w:p w14:paraId="4A94EEFB">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合同金额</w:t>
            </w:r>
          </w:p>
        </w:tc>
        <w:tc>
          <w:tcPr>
            <w:tcW w:w="1675" w:type="dxa"/>
            <w:vAlign w:val="center"/>
          </w:tcPr>
          <w:p w14:paraId="7BDD9CBA">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业主单位全称</w:t>
            </w:r>
          </w:p>
        </w:tc>
        <w:tc>
          <w:tcPr>
            <w:tcW w:w="1598" w:type="dxa"/>
            <w:tcBorders>
              <w:bottom w:val="single" w:color="auto" w:sz="4" w:space="0"/>
            </w:tcBorders>
            <w:vAlign w:val="center"/>
          </w:tcPr>
          <w:p w14:paraId="5D1E02EF">
            <w:pPr>
              <w:spacing w:line="400" w:lineRule="atLeas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合作单位联系人电话</w:t>
            </w:r>
          </w:p>
        </w:tc>
        <w:tc>
          <w:tcPr>
            <w:tcW w:w="1803" w:type="dxa"/>
            <w:tcBorders>
              <w:bottom w:val="single" w:color="auto" w:sz="4" w:space="0"/>
            </w:tcBorders>
            <w:vAlign w:val="center"/>
          </w:tcPr>
          <w:p w14:paraId="5E2688AD">
            <w:pPr>
              <w:tabs>
                <w:tab w:val="left" w:pos="692"/>
              </w:tabs>
              <w:spacing w:line="400" w:lineRule="atLeast"/>
              <w:ind w:left="240" w:hanging="240" w:hangingChars="100"/>
              <w:rPr>
                <w:rFonts w:hint="eastAsia" w:ascii="宋体" w:hAnsi="宋体" w:eastAsia="宋体" w:cs="宋体"/>
                <w:b/>
                <w:color w:val="auto"/>
                <w:sz w:val="24"/>
                <w:highlight w:val="none"/>
                <w:u w:val="thick"/>
              </w:rPr>
            </w:pPr>
            <w:r>
              <w:rPr>
                <w:rFonts w:hint="eastAsia" w:ascii="宋体" w:hAnsi="宋体" w:eastAsia="宋体" w:cs="宋体"/>
                <w:color w:val="auto"/>
                <w:sz w:val="24"/>
                <w:highlight w:val="none"/>
              </w:rPr>
              <w:t>合同签订时间</w:t>
            </w:r>
          </w:p>
        </w:tc>
      </w:tr>
      <w:tr w14:paraId="47CC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062FC13A">
            <w:pPr>
              <w:spacing w:line="400" w:lineRule="atLeast"/>
              <w:jc w:val="center"/>
              <w:rPr>
                <w:rFonts w:hint="eastAsia" w:ascii="宋体" w:hAnsi="宋体" w:eastAsia="宋体" w:cs="宋体"/>
                <w:color w:val="auto"/>
                <w:sz w:val="24"/>
                <w:highlight w:val="none"/>
              </w:rPr>
            </w:pPr>
          </w:p>
        </w:tc>
        <w:tc>
          <w:tcPr>
            <w:tcW w:w="1200" w:type="dxa"/>
          </w:tcPr>
          <w:p w14:paraId="79796226">
            <w:pPr>
              <w:spacing w:line="400" w:lineRule="atLeast"/>
              <w:jc w:val="center"/>
              <w:rPr>
                <w:rFonts w:hint="eastAsia" w:ascii="宋体" w:hAnsi="宋体" w:eastAsia="宋体" w:cs="宋体"/>
                <w:color w:val="auto"/>
                <w:sz w:val="24"/>
                <w:highlight w:val="none"/>
              </w:rPr>
            </w:pPr>
          </w:p>
        </w:tc>
        <w:tc>
          <w:tcPr>
            <w:tcW w:w="1675" w:type="dxa"/>
          </w:tcPr>
          <w:p w14:paraId="6FDCCC03">
            <w:pPr>
              <w:spacing w:line="400" w:lineRule="atLeast"/>
              <w:jc w:val="center"/>
              <w:rPr>
                <w:rFonts w:hint="eastAsia" w:ascii="宋体" w:hAnsi="宋体" w:eastAsia="宋体" w:cs="宋体"/>
                <w:color w:val="auto"/>
                <w:sz w:val="24"/>
                <w:highlight w:val="none"/>
              </w:rPr>
            </w:pPr>
          </w:p>
        </w:tc>
        <w:tc>
          <w:tcPr>
            <w:tcW w:w="1598" w:type="dxa"/>
          </w:tcPr>
          <w:p w14:paraId="30198EE6">
            <w:pPr>
              <w:spacing w:line="400" w:lineRule="atLeast"/>
              <w:jc w:val="center"/>
              <w:rPr>
                <w:rFonts w:hint="eastAsia" w:ascii="宋体" w:hAnsi="宋体" w:eastAsia="宋体" w:cs="宋体"/>
                <w:color w:val="auto"/>
                <w:sz w:val="24"/>
                <w:highlight w:val="none"/>
              </w:rPr>
            </w:pPr>
          </w:p>
        </w:tc>
        <w:tc>
          <w:tcPr>
            <w:tcW w:w="1803" w:type="dxa"/>
          </w:tcPr>
          <w:p w14:paraId="4ECB511D">
            <w:pPr>
              <w:spacing w:line="400" w:lineRule="atLeast"/>
              <w:jc w:val="center"/>
              <w:rPr>
                <w:rFonts w:hint="eastAsia" w:ascii="宋体" w:hAnsi="宋体" w:eastAsia="宋体" w:cs="宋体"/>
                <w:color w:val="auto"/>
                <w:sz w:val="24"/>
                <w:highlight w:val="none"/>
              </w:rPr>
            </w:pPr>
          </w:p>
        </w:tc>
      </w:tr>
      <w:tr w14:paraId="5006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51E1282">
            <w:pPr>
              <w:spacing w:line="400" w:lineRule="atLeast"/>
              <w:jc w:val="center"/>
              <w:rPr>
                <w:rFonts w:hint="eastAsia" w:ascii="宋体" w:hAnsi="宋体" w:eastAsia="宋体" w:cs="宋体"/>
                <w:color w:val="auto"/>
                <w:sz w:val="24"/>
                <w:highlight w:val="none"/>
              </w:rPr>
            </w:pPr>
          </w:p>
        </w:tc>
        <w:tc>
          <w:tcPr>
            <w:tcW w:w="1200" w:type="dxa"/>
          </w:tcPr>
          <w:p w14:paraId="185C99F6">
            <w:pPr>
              <w:spacing w:line="400" w:lineRule="atLeast"/>
              <w:jc w:val="center"/>
              <w:rPr>
                <w:rFonts w:hint="eastAsia" w:ascii="宋体" w:hAnsi="宋体" w:eastAsia="宋体" w:cs="宋体"/>
                <w:color w:val="auto"/>
                <w:sz w:val="24"/>
                <w:highlight w:val="none"/>
              </w:rPr>
            </w:pPr>
          </w:p>
        </w:tc>
        <w:tc>
          <w:tcPr>
            <w:tcW w:w="1675" w:type="dxa"/>
          </w:tcPr>
          <w:p w14:paraId="1BDE6E6A">
            <w:pPr>
              <w:spacing w:line="400" w:lineRule="atLeast"/>
              <w:jc w:val="center"/>
              <w:rPr>
                <w:rFonts w:hint="eastAsia" w:ascii="宋体" w:hAnsi="宋体" w:eastAsia="宋体" w:cs="宋体"/>
                <w:color w:val="auto"/>
                <w:sz w:val="24"/>
                <w:highlight w:val="none"/>
              </w:rPr>
            </w:pPr>
          </w:p>
        </w:tc>
        <w:tc>
          <w:tcPr>
            <w:tcW w:w="1598" w:type="dxa"/>
          </w:tcPr>
          <w:p w14:paraId="10ED487E">
            <w:pPr>
              <w:spacing w:line="400" w:lineRule="atLeast"/>
              <w:jc w:val="center"/>
              <w:rPr>
                <w:rFonts w:hint="eastAsia" w:ascii="宋体" w:hAnsi="宋体" w:eastAsia="宋体" w:cs="宋体"/>
                <w:color w:val="auto"/>
                <w:sz w:val="24"/>
                <w:highlight w:val="none"/>
              </w:rPr>
            </w:pPr>
          </w:p>
        </w:tc>
        <w:tc>
          <w:tcPr>
            <w:tcW w:w="1803" w:type="dxa"/>
          </w:tcPr>
          <w:p w14:paraId="09F820D7">
            <w:pPr>
              <w:spacing w:line="400" w:lineRule="atLeast"/>
              <w:jc w:val="center"/>
              <w:rPr>
                <w:rFonts w:hint="eastAsia" w:ascii="宋体" w:hAnsi="宋体" w:eastAsia="宋体" w:cs="宋体"/>
                <w:color w:val="auto"/>
                <w:sz w:val="24"/>
                <w:highlight w:val="none"/>
              </w:rPr>
            </w:pPr>
          </w:p>
        </w:tc>
      </w:tr>
      <w:tr w14:paraId="78A0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5815C62">
            <w:pPr>
              <w:spacing w:line="400" w:lineRule="atLeast"/>
              <w:jc w:val="center"/>
              <w:rPr>
                <w:rFonts w:hint="eastAsia" w:ascii="宋体" w:hAnsi="宋体" w:eastAsia="宋体" w:cs="宋体"/>
                <w:color w:val="auto"/>
                <w:sz w:val="24"/>
                <w:highlight w:val="none"/>
              </w:rPr>
            </w:pPr>
          </w:p>
        </w:tc>
        <w:tc>
          <w:tcPr>
            <w:tcW w:w="1200" w:type="dxa"/>
          </w:tcPr>
          <w:p w14:paraId="325011CA">
            <w:pPr>
              <w:spacing w:line="400" w:lineRule="atLeast"/>
              <w:jc w:val="center"/>
              <w:rPr>
                <w:rFonts w:hint="eastAsia" w:ascii="宋体" w:hAnsi="宋体" w:eastAsia="宋体" w:cs="宋体"/>
                <w:color w:val="auto"/>
                <w:sz w:val="24"/>
                <w:highlight w:val="none"/>
              </w:rPr>
            </w:pPr>
          </w:p>
        </w:tc>
        <w:tc>
          <w:tcPr>
            <w:tcW w:w="1675" w:type="dxa"/>
          </w:tcPr>
          <w:p w14:paraId="4EA52F25">
            <w:pPr>
              <w:spacing w:line="400" w:lineRule="atLeast"/>
              <w:jc w:val="center"/>
              <w:rPr>
                <w:rFonts w:hint="eastAsia" w:ascii="宋体" w:hAnsi="宋体" w:eastAsia="宋体" w:cs="宋体"/>
                <w:color w:val="auto"/>
                <w:sz w:val="24"/>
                <w:highlight w:val="none"/>
              </w:rPr>
            </w:pPr>
          </w:p>
        </w:tc>
        <w:tc>
          <w:tcPr>
            <w:tcW w:w="1598" w:type="dxa"/>
          </w:tcPr>
          <w:p w14:paraId="154948CA">
            <w:pPr>
              <w:spacing w:line="400" w:lineRule="atLeast"/>
              <w:jc w:val="center"/>
              <w:rPr>
                <w:rFonts w:hint="eastAsia" w:ascii="宋体" w:hAnsi="宋体" w:eastAsia="宋体" w:cs="宋体"/>
                <w:color w:val="auto"/>
                <w:sz w:val="24"/>
                <w:highlight w:val="none"/>
              </w:rPr>
            </w:pPr>
          </w:p>
        </w:tc>
        <w:tc>
          <w:tcPr>
            <w:tcW w:w="1803" w:type="dxa"/>
          </w:tcPr>
          <w:p w14:paraId="1D5A8A9C">
            <w:pPr>
              <w:spacing w:line="400" w:lineRule="atLeast"/>
              <w:jc w:val="center"/>
              <w:rPr>
                <w:rFonts w:hint="eastAsia" w:ascii="宋体" w:hAnsi="宋体" w:eastAsia="宋体" w:cs="宋体"/>
                <w:color w:val="auto"/>
                <w:sz w:val="24"/>
                <w:highlight w:val="none"/>
              </w:rPr>
            </w:pPr>
          </w:p>
        </w:tc>
      </w:tr>
      <w:tr w14:paraId="5267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48EEC46">
            <w:pPr>
              <w:spacing w:line="400" w:lineRule="atLeast"/>
              <w:jc w:val="center"/>
              <w:rPr>
                <w:rFonts w:hint="eastAsia" w:ascii="宋体" w:hAnsi="宋体" w:eastAsia="宋体" w:cs="宋体"/>
                <w:color w:val="auto"/>
                <w:sz w:val="24"/>
                <w:highlight w:val="none"/>
              </w:rPr>
            </w:pPr>
          </w:p>
        </w:tc>
        <w:tc>
          <w:tcPr>
            <w:tcW w:w="1200" w:type="dxa"/>
          </w:tcPr>
          <w:p w14:paraId="6AFB662B">
            <w:pPr>
              <w:spacing w:line="400" w:lineRule="atLeast"/>
              <w:jc w:val="center"/>
              <w:rPr>
                <w:rFonts w:hint="eastAsia" w:ascii="宋体" w:hAnsi="宋体" w:eastAsia="宋体" w:cs="宋体"/>
                <w:color w:val="auto"/>
                <w:sz w:val="24"/>
                <w:highlight w:val="none"/>
              </w:rPr>
            </w:pPr>
          </w:p>
        </w:tc>
        <w:tc>
          <w:tcPr>
            <w:tcW w:w="1675" w:type="dxa"/>
          </w:tcPr>
          <w:p w14:paraId="26370DA4">
            <w:pPr>
              <w:spacing w:line="400" w:lineRule="atLeast"/>
              <w:jc w:val="center"/>
              <w:rPr>
                <w:rFonts w:hint="eastAsia" w:ascii="宋体" w:hAnsi="宋体" w:eastAsia="宋体" w:cs="宋体"/>
                <w:color w:val="auto"/>
                <w:sz w:val="24"/>
                <w:highlight w:val="none"/>
              </w:rPr>
            </w:pPr>
          </w:p>
        </w:tc>
        <w:tc>
          <w:tcPr>
            <w:tcW w:w="1598" w:type="dxa"/>
          </w:tcPr>
          <w:p w14:paraId="61A53E60">
            <w:pPr>
              <w:spacing w:line="400" w:lineRule="atLeast"/>
              <w:jc w:val="center"/>
              <w:rPr>
                <w:rFonts w:hint="eastAsia" w:ascii="宋体" w:hAnsi="宋体" w:eastAsia="宋体" w:cs="宋体"/>
                <w:color w:val="auto"/>
                <w:sz w:val="24"/>
                <w:highlight w:val="none"/>
              </w:rPr>
            </w:pPr>
          </w:p>
        </w:tc>
        <w:tc>
          <w:tcPr>
            <w:tcW w:w="1803" w:type="dxa"/>
          </w:tcPr>
          <w:p w14:paraId="29AE191D">
            <w:pPr>
              <w:spacing w:line="400" w:lineRule="atLeast"/>
              <w:jc w:val="center"/>
              <w:rPr>
                <w:rFonts w:hint="eastAsia" w:ascii="宋体" w:hAnsi="宋体" w:eastAsia="宋体" w:cs="宋体"/>
                <w:color w:val="auto"/>
                <w:sz w:val="24"/>
                <w:highlight w:val="none"/>
              </w:rPr>
            </w:pPr>
          </w:p>
        </w:tc>
      </w:tr>
      <w:tr w14:paraId="2C2C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DD83059">
            <w:pPr>
              <w:spacing w:line="400" w:lineRule="atLeast"/>
              <w:jc w:val="center"/>
              <w:rPr>
                <w:rFonts w:hint="eastAsia" w:ascii="宋体" w:hAnsi="宋体" w:eastAsia="宋体" w:cs="宋体"/>
                <w:color w:val="auto"/>
                <w:sz w:val="24"/>
                <w:highlight w:val="none"/>
              </w:rPr>
            </w:pPr>
          </w:p>
        </w:tc>
        <w:tc>
          <w:tcPr>
            <w:tcW w:w="1200" w:type="dxa"/>
          </w:tcPr>
          <w:p w14:paraId="158458F5">
            <w:pPr>
              <w:spacing w:line="400" w:lineRule="atLeast"/>
              <w:jc w:val="center"/>
              <w:rPr>
                <w:rFonts w:hint="eastAsia" w:ascii="宋体" w:hAnsi="宋体" w:eastAsia="宋体" w:cs="宋体"/>
                <w:color w:val="auto"/>
                <w:sz w:val="24"/>
                <w:highlight w:val="none"/>
              </w:rPr>
            </w:pPr>
          </w:p>
        </w:tc>
        <w:tc>
          <w:tcPr>
            <w:tcW w:w="1675" w:type="dxa"/>
          </w:tcPr>
          <w:p w14:paraId="4678AF6E">
            <w:pPr>
              <w:spacing w:line="400" w:lineRule="atLeast"/>
              <w:jc w:val="center"/>
              <w:rPr>
                <w:rFonts w:hint="eastAsia" w:ascii="宋体" w:hAnsi="宋体" w:eastAsia="宋体" w:cs="宋体"/>
                <w:color w:val="auto"/>
                <w:sz w:val="24"/>
                <w:highlight w:val="none"/>
              </w:rPr>
            </w:pPr>
          </w:p>
        </w:tc>
        <w:tc>
          <w:tcPr>
            <w:tcW w:w="1598" w:type="dxa"/>
          </w:tcPr>
          <w:p w14:paraId="498D7D27">
            <w:pPr>
              <w:spacing w:line="400" w:lineRule="atLeast"/>
              <w:jc w:val="center"/>
              <w:rPr>
                <w:rFonts w:hint="eastAsia" w:ascii="宋体" w:hAnsi="宋体" w:eastAsia="宋体" w:cs="宋体"/>
                <w:color w:val="auto"/>
                <w:sz w:val="24"/>
                <w:highlight w:val="none"/>
              </w:rPr>
            </w:pPr>
          </w:p>
        </w:tc>
        <w:tc>
          <w:tcPr>
            <w:tcW w:w="1803" w:type="dxa"/>
          </w:tcPr>
          <w:p w14:paraId="4F57B313">
            <w:pPr>
              <w:spacing w:line="400" w:lineRule="atLeast"/>
              <w:jc w:val="center"/>
              <w:rPr>
                <w:rFonts w:hint="eastAsia" w:ascii="宋体" w:hAnsi="宋体" w:eastAsia="宋体" w:cs="宋体"/>
                <w:color w:val="auto"/>
                <w:sz w:val="24"/>
                <w:highlight w:val="none"/>
              </w:rPr>
            </w:pPr>
          </w:p>
        </w:tc>
      </w:tr>
      <w:tr w14:paraId="18E1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69EF150">
            <w:pPr>
              <w:spacing w:line="400" w:lineRule="atLeast"/>
              <w:jc w:val="center"/>
              <w:rPr>
                <w:rFonts w:hint="eastAsia" w:ascii="宋体" w:hAnsi="宋体" w:eastAsia="宋体" w:cs="宋体"/>
                <w:color w:val="auto"/>
                <w:sz w:val="24"/>
                <w:highlight w:val="none"/>
              </w:rPr>
            </w:pPr>
          </w:p>
        </w:tc>
        <w:tc>
          <w:tcPr>
            <w:tcW w:w="1200" w:type="dxa"/>
          </w:tcPr>
          <w:p w14:paraId="01DBCC77">
            <w:pPr>
              <w:spacing w:line="400" w:lineRule="atLeast"/>
              <w:jc w:val="center"/>
              <w:rPr>
                <w:rFonts w:hint="eastAsia" w:ascii="宋体" w:hAnsi="宋体" w:eastAsia="宋体" w:cs="宋体"/>
                <w:color w:val="auto"/>
                <w:sz w:val="24"/>
                <w:highlight w:val="none"/>
              </w:rPr>
            </w:pPr>
          </w:p>
        </w:tc>
        <w:tc>
          <w:tcPr>
            <w:tcW w:w="1675" w:type="dxa"/>
          </w:tcPr>
          <w:p w14:paraId="23EA73B0">
            <w:pPr>
              <w:spacing w:line="400" w:lineRule="atLeast"/>
              <w:jc w:val="center"/>
              <w:rPr>
                <w:rFonts w:hint="eastAsia" w:ascii="宋体" w:hAnsi="宋体" w:eastAsia="宋体" w:cs="宋体"/>
                <w:color w:val="auto"/>
                <w:sz w:val="24"/>
                <w:highlight w:val="none"/>
              </w:rPr>
            </w:pPr>
          </w:p>
        </w:tc>
        <w:tc>
          <w:tcPr>
            <w:tcW w:w="1598" w:type="dxa"/>
          </w:tcPr>
          <w:p w14:paraId="1EFD3B29">
            <w:pPr>
              <w:spacing w:line="400" w:lineRule="atLeast"/>
              <w:jc w:val="center"/>
              <w:rPr>
                <w:rFonts w:hint="eastAsia" w:ascii="宋体" w:hAnsi="宋体" w:eastAsia="宋体" w:cs="宋体"/>
                <w:color w:val="auto"/>
                <w:sz w:val="24"/>
                <w:highlight w:val="none"/>
              </w:rPr>
            </w:pPr>
          </w:p>
        </w:tc>
        <w:tc>
          <w:tcPr>
            <w:tcW w:w="1803" w:type="dxa"/>
          </w:tcPr>
          <w:p w14:paraId="3E7A74D1">
            <w:pPr>
              <w:spacing w:line="400" w:lineRule="atLeast"/>
              <w:jc w:val="center"/>
              <w:rPr>
                <w:rFonts w:hint="eastAsia" w:ascii="宋体" w:hAnsi="宋体" w:eastAsia="宋体" w:cs="宋体"/>
                <w:color w:val="auto"/>
                <w:sz w:val="24"/>
                <w:highlight w:val="none"/>
              </w:rPr>
            </w:pPr>
          </w:p>
        </w:tc>
      </w:tr>
      <w:tr w14:paraId="5752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9FAFA25">
            <w:pPr>
              <w:spacing w:line="400" w:lineRule="atLeast"/>
              <w:jc w:val="center"/>
              <w:rPr>
                <w:rFonts w:hint="eastAsia" w:ascii="宋体" w:hAnsi="宋体" w:eastAsia="宋体" w:cs="宋体"/>
                <w:color w:val="auto"/>
                <w:sz w:val="24"/>
                <w:highlight w:val="none"/>
              </w:rPr>
            </w:pPr>
          </w:p>
        </w:tc>
        <w:tc>
          <w:tcPr>
            <w:tcW w:w="1200" w:type="dxa"/>
          </w:tcPr>
          <w:p w14:paraId="3E5782C1">
            <w:pPr>
              <w:spacing w:line="400" w:lineRule="atLeast"/>
              <w:jc w:val="center"/>
              <w:rPr>
                <w:rFonts w:hint="eastAsia" w:ascii="宋体" w:hAnsi="宋体" w:eastAsia="宋体" w:cs="宋体"/>
                <w:color w:val="auto"/>
                <w:sz w:val="24"/>
                <w:highlight w:val="none"/>
              </w:rPr>
            </w:pPr>
          </w:p>
        </w:tc>
        <w:tc>
          <w:tcPr>
            <w:tcW w:w="1675" w:type="dxa"/>
          </w:tcPr>
          <w:p w14:paraId="724AA1E0">
            <w:pPr>
              <w:spacing w:line="400" w:lineRule="atLeast"/>
              <w:jc w:val="center"/>
              <w:rPr>
                <w:rFonts w:hint="eastAsia" w:ascii="宋体" w:hAnsi="宋体" w:eastAsia="宋体" w:cs="宋体"/>
                <w:color w:val="auto"/>
                <w:sz w:val="24"/>
                <w:highlight w:val="none"/>
              </w:rPr>
            </w:pPr>
          </w:p>
        </w:tc>
        <w:tc>
          <w:tcPr>
            <w:tcW w:w="1598" w:type="dxa"/>
          </w:tcPr>
          <w:p w14:paraId="780AC525">
            <w:pPr>
              <w:spacing w:line="400" w:lineRule="atLeast"/>
              <w:jc w:val="center"/>
              <w:rPr>
                <w:rFonts w:hint="eastAsia" w:ascii="宋体" w:hAnsi="宋体" w:eastAsia="宋体" w:cs="宋体"/>
                <w:color w:val="auto"/>
                <w:sz w:val="24"/>
                <w:highlight w:val="none"/>
              </w:rPr>
            </w:pPr>
          </w:p>
        </w:tc>
        <w:tc>
          <w:tcPr>
            <w:tcW w:w="1803" w:type="dxa"/>
          </w:tcPr>
          <w:p w14:paraId="0877798A">
            <w:pPr>
              <w:spacing w:line="400" w:lineRule="atLeast"/>
              <w:jc w:val="center"/>
              <w:rPr>
                <w:rFonts w:hint="eastAsia" w:ascii="宋体" w:hAnsi="宋体" w:eastAsia="宋体" w:cs="宋体"/>
                <w:color w:val="auto"/>
                <w:sz w:val="24"/>
                <w:highlight w:val="none"/>
              </w:rPr>
            </w:pPr>
          </w:p>
        </w:tc>
      </w:tr>
      <w:tr w14:paraId="4B99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0FD1A920">
            <w:pPr>
              <w:spacing w:line="400" w:lineRule="atLeast"/>
              <w:jc w:val="center"/>
              <w:rPr>
                <w:rFonts w:hint="eastAsia" w:ascii="宋体" w:hAnsi="宋体" w:eastAsia="宋体" w:cs="宋体"/>
                <w:color w:val="auto"/>
                <w:sz w:val="24"/>
                <w:highlight w:val="none"/>
              </w:rPr>
            </w:pPr>
          </w:p>
        </w:tc>
        <w:tc>
          <w:tcPr>
            <w:tcW w:w="1200" w:type="dxa"/>
          </w:tcPr>
          <w:p w14:paraId="0CC3AC1E">
            <w:pPr>
              <w:spacing w:line="400" w:lineRule="atLeast"/>
              <w:jc w:val="center"/>
              <w:rPr>
                <w:rFonts w:hint="eastAsia" w:ascii="宋体" w:hAnsi="宋体" w:eastAsia="宋体" w:cs="宋体"/>
                <w:color w:val="auto"/>
                <w:sz w:val="24"/>
                <w:highlight w:val="none"/>
              </w:rPr>
            </w:pPr>
          </w:p>
        </w:tc>
        <w:tc>
          <w:tcPr>
            <w:tcW w:w="1675" w:type="dxa"/>
          </w:tcPr>
          <w:p w14:paraId="79F93D08">
            <w:pPr>
              <w:spacing w:line="400" w:lineRule="atLeast"/>
              <w:jc w:val="center"/>
              <w:rPr>
                <w:rFonts w:hint="eastAsia" w:ascii="宋体" w:hAnsi="宋体" w:eastAsia="宋体" w:cs="宋体"/>
                <w:color w:val="auto"/>
                <w:sz w:val="24"/>
                <w:highlight w:val="none"/>
              </w:rPr>
            </w:pPr>
          </w:p>
        </w:tc>
        <w:tc>
          <w:tcPr>
            <w:tcW w:w="1598" w:type="dxa"/>
          </w:tcPr>
          <w:p w14:paraId="0C4D9B43">
            <w:pPr>
              <w:spacing w:line="400" w:lineRule="atLeast"/>
              <w:jc w:val="center"/>
              <w:rPr>
                <w:rFonts w:hint="eastAsia" w:ascii="宋体" w:hAnsi="宋体" w:eastAsia="宋体" w:cs="宋体"/>
                <w:color w:val="auto"/>
                <w:sz w:val="24"/>
                <w:highlight w:val="none"/>
              </w:rPr>
            </w:pPr>
          </w:p>
        </w:tc>
        <w:tc>
          <w:tcPr>
            <w:tcW w:w="1803" w:type="dxa"/>
          </w:tcPr>
          <w:p w14:paraId="07800916">
            <w:pPr>
              <w:spacing w:line="400" w:lineRule="atLeast"/>
              <w:jc w:val="center"/>
              <w:rPr>
                <w:rFonts w:hint="eastAsia" w:ascii="宋体" w:hAnsi="宋体" w:eastAsia="宋体" w:cs="宋体"/>
                <w:color w:val="auto"/>
                <w:sz w:val="24"/>
                <w:highlight w:val="none"/>
              </w:rPr>
            </w:pPr>
          </w:p>
        </w:tc>
      </w:tr>
      <w:tr w14:paraId="08B3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8BEDF0E">
            <w:pPr>
              <w:spacing w:line="400" w:lineRule="atLeast"/>
              <w:jc w:val="center"/>
              <w:rPr>
                <w:rFonts w:hint="eastAsia" w:ascii="宋体" w:hAnsi="宋体" w:eastAsia="宋体" w:cs="宋体"/>
                <w:color w:val="auto"/>
                <w:sz w:val="24"/>
                <w:highlight w:val="none"/>
              </w:rPr>
            </w:pPr>
          </w:p>
        </w:tc>
        <w:tc>
          <w:tcPr>
            <w:tcW w:w="1200" w:type="dxa"/>
          </w:tcPr>
          <w:p w14:paraId="4F42411B">
            <w:pPr>
              <w:spacing w:line="400" w:lineRule="atLeast"/>
              <w:jc w:val="center"/>
              <w:rPr>
                <w:rFonts w:hint="eastAsia" w:ascii="宋体" w:hAnsi="宋体" w:eastAsia="宋体" w:cs="宋体"/>
                <w:color w:val="auto"/>
                <w:sz w:val="24"/>
                <w:highlight w:val="none"/>
              </w:rPr>
            </w:pPr>
          </w:p>
        </w:tc>
        <w:tc>
          <w:tcPr>
            <w:tcW w:w="1675" w:type="dxa"/>
          </w:tcPr>
          <w:p w14:paraId="1AE31D9E">
            <w:pPr>
              <w:spacing w:line="400" w:lineRule="atLeast"/>
              <w:jc w:val="center"/>
              <w:rPr>
                <w:rFonts w:hint="eastAsia" w:ascii="宋体" w:hAnsi="宋体" w:eastAsia="宋体" w:cs="宋体"/>
                <w:color w:val="auto"/>
                <w:sz w:val="24"/>
                <w:highlight w:val="none"/>
              </w:rPr>
            </w:pPr>
          </w:p>
        </w:tc>
        <w:tc>
          <w:tcPr>
            <w:tcW w:w="1598" w:type="dxa"/>
          </w:tcPr>
          <w:p w14:paraId="4D2AF59B">
            <w:pPr>
              <w:spacing w:line="400" w:lineRule="atLeast"/>
              <w:jc w:val="center"/>
              <w:rPr>
                <w:rFonts w:hint="eastAsia" w:ascii="宋体" w:hAnsi="宋体" w:eastAsia="宋体" w:cs="宋体"/>
                <w:color w:val="auto"/>
                <w:sz w:val="24"/>
                <w:highlight w:val="none"/>
              </w:rPr>
            </w:pPr>
          </w:p>
        </w:tc>
        <w:tc>
          <w:tcPr>
            <w:tcW w:w="1803" w:type="dxa"/>
          </w:tcPr>
          <w:p w14:paraId="559EE348">
            <w:pPr>
              <w:spacing w:line="400" w:lineRule="atLeast"/>
              <w:jc w:val="center"/>
              <w:rPr>
                <w:rFonts w:hint="eastAsia" w:ascii="宋体" w:hAnsi="宋体" w:eastAsia="宋体" w:cs="宋体"/>
                <w:color w:val="auto"/>
                <w:sz w:val="24"/>
                <w:highlight w:val="none"/>
              </w:rPr>
            </w:pPr>
          </w:p>
        </w:tc>
      </w:tr>
      <w:tr w14:paraId="0BFF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3009AEC7">
            <w:pPr>
              <w:spacing w:line="400" w:lineRule="atLeast"/>
              <w:jc w:val="center"/>
              <w:rPr>
                <w:rFonts w:hint="eastAsia" w:ascii="宋体" w:hAnsi="宋体" w:eastAsia="宋体" w:cs="宋体"/>
                <w:color w:val="auto"/>
                <w:sz w:val="24"/>
                <w:highlight w:val="none"/>
              </w:rPr>
            </w:pPr>
          </w:p>
        </w:tc>
        <w:tc>
          <w:tcPr>
            <w:tcW w:w="1200" w:type="dxa"/>
          </w:tcPr>
          <w:p w14:paraId="0EBBF78B">
            <w:pPr>
              <w:spacing w:line="400" w:lineRule="atLeast"/>
              <w:jc w:val="center"/>
              <w:rPr>
                <w:rFonts w:hint="eastAsia" w:ascii="宋体" w:hAnsi="宋体" w:eastAsia="宋体" w:cs="宋体"/>
                <w:color w:val="auto"/>
                <w:sz w:val="24"/>
                <w:highlight w:val="none"/>
              </w:rPr>
            </w:pPr>
          </w:p>
        </w:tc>
        <w:tc>
          <w:tcPr>
            <w:tcW w:w="1675" w:type="dxa"/>
          </w:tcPr>
          <w:p w14:paraId="16151F4D">
            <w:pPr>
              <w:spacing w:line="400" w:lineRule="atLeast"/>
              <w:jc w:val="center"/>
              <w:rPr>
                <w:rFonts w:hint="eastAsia" w:ascii="宋体" w:hAnsi="宋体" w:eastAsia="宋体" w:cs="宋体"/>
                <w:color w:val="auto"/>
                <w:sz w:val="24"/>
                <w:highlight w:val="none"/>
              </w:rPr>
            </w:pPr>
          </w:p>
        </w:tc>
        <w:tc>
          <w:tcPr>
            <w:tcW w:w="1598" w:type="dxa"/>
          </w:tcPr>
          <w:p w14:paraId="3530DD46">
            <w:pPr>
              <w:spacing w:line="400" w:lineRule="atLeast"/>
              <w:jc w:val="center"/>
              <w:rPr>
                <w:rFonts w:hint="eastAsia" w:ascii="宋体" w:hAnsi="宋体" w:eastAsia="宋体" w:cs="宋体"/>
                <w:color w:val="auto"/>
                <w:sz w:val="24"/>
                <w:highlight w:val="none"/>
              </w:rPr>
            </w:pPr>
          </w:p>
        </w:tc>
        <w:tc>
          <w:tcPr>
            <w:tcW w:w="1803" w:type="dxa"/>
          </w:tcPr>
          <w:p w14:paraId="3290AB75">
            <w:pPr>
              <w:spacing w:line="400" w:lineRule="atLeast"/>
              <w:jc w:val="center"/>
              <w:rPr>
                <w:rFonts w:hint="eastAsia" w:ascii="宋体" w:hAnsi="宋体" w:eastAsia="宋体" w:cs="宋体"/>
                <w:color w:val="auto"/>
                <w:sz w:val="24"/>
                <w:highlight w:val="none"/>
              </w:rPr>
            </w:pPr>
          </w:p>
        </w:tc>
      </w:tr>
      <w:tr w14:paraId="3955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1EE87909">
            <w:pPr>
              <w:spacing w:line="400" w:lineRule="atLeast"/>
              <w:jc w:val="center"/>
              <w:rPr>
                <w:rFonts w:hint="eastAsia" w:ascii="宋体" w:hAnsi="宋体" w:eastAsia="宋体" w:cs="宋体"/>
                <w:color w:val="auto"/>
                <w:sz w:val="24"/>
                <w:highlight w:val="none"/>
              </w:rPr>
            </w:pPr>
          </w:p>
        </w:tc>
        <w:tc>
          <w:tcPr>
            <w:tcW w:w="1200" w:type="dxa"/>
          </w:tcPr>
          <w:p w14:paraId="2AA3914A">
            <w:pPr>
              <w:spacing w:line="400" w:lineRule="atLeast"/>
              <w:jc w:val="center"/>
              <w:rPr>
                <w:rFonts w:hint="eastAsia" w:ascii="宋体" w:hAnsi="宋体" w:eastAsia="宋体" w:cs="宋体"/>
                <w:color w:val="auto"/>
                <w:sz w:val="24"/>
                <w:highlight w:val="none"/>
              </w:rPr>
            </w:pPr>
          </w:p>
        </w:tc>
        <w:tc>
          <w:tcPr>
            <w:tcW w:w="1675" w:type="dxa"/>
          </w:tcPr>
          <w:p w14:paraId="57DF4675">
            <w:pPr>
              <w:spacing w:line="400" w:lineRule="atLeast"/>
              <w:jc w:val="center"/>
              <w:rPr>
                <w:rFonts w:hint="eastAsia" w:ascii="宋体" w:hAnsi="宋体" w:eastAsia="宋体" w:cs="宋体"/>
                <w:color w:val="auto"/>
                <w:sz w:val="24"/>
                <w:highlight w:val="none"/>
              </w:rPr>
            </w:pPr>
          </w:p>
        </w:tc>
        <w:tc>
          <w:tcPr>
            <w:tcW w:w="1598" w:type="dxa"/>
          </w:tcPr>
          <w:p w14:paraId="1D573535">
            <w:pPr>
              <w:spacing w:line="400" w:lineRule="atLeast"/>
              <w:jc w:val="center"/>
              <w:rPr>
                <w:rFonts w:hint="eastAsia" w:ascii="宋体" w:hAnsi="宋体" w:eastAsia="宋体" w:cs="宋体"/>
                <w:color w:val="auto"/>
                <w:sz w:val="24"/>
                <w:highlight w:val="none"/>
              </w:rPr>
            </w:pPr>
          </w:p>
        </w:tc>
        <w:tc>
          <w:tcPr>
            <w:tcW w:w="1803" w:type="dxa"/>
          </w:tcPr>
          <w:p w14:paraId="5D1364C7">
            <w:pPr>
              <w:spacing w:line="400" w:lineRule="atLeast"/>
              <w:jc w:val="center"/>
              <w:rPr>
                <w:rFonts w:hint="eastAsia" w:ascii="宋体" w:hAnsi="宋体" w:eastAsia="宋体" w:cs="宋体"/>
                <w:color w:val="auto"/>
                <w:sz w:val="24"/>
                <w:highlight w:val="none"/>
              </w:rPr>
            </w:pPr>
          </w:p>
        </w:tc>
      </w:tr>
      <w:tr w14:paraId="609A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195DBD1">
            <w:pPr>
              <w:spacing w:line="400" w:lineRule="atLeast"/>
              <w:jc w:val="center"/>
              <w:rPr>
                <w:rFonts w:hint="eastAsia" w:ascii="宋体" w:hAnsi="宋体" w:eastAsia="宋体" w:cs="宋体"/>
                <w:color w:val="auto"/>
                <w:sz w:val="24"/>
                <w:highlight w:val="none"/>
              </w:rPr>
            </w:pPr>
          </w:p>
        </w:tc>
        <w:tc>
          <w:tcPr>
            <w:tcW w:w="1200" w:type="dxa"/>
          </w:tcPr>
          <w:p w14:paraId="774E05FE">
            <w:pPr>
              <w:spacing w:line="400" w:lineRule="atLeast"/>
              <w:jc w:val="center"/>
              <w:rPr>
                <w:rFonts w:hint="eastAsia" w:ascii="宋体" w:hAnsi="宋体" w:eastAsia="宋体" w:cs="宋体"/>
                <w:color w:val="auto"/>
                <w:sz w:val="24"/>
                <w:highlight w:val="none"/>
              </w:rPr>
            </w:pPr>
          </w:p>
        </w:tc>
        <w:tc>
          <w:tcPr>
            <w:tcW w:w="1675" w:type="dxa"/>
          </w:tcPr>
          <w:p w14:paraId="35DF3866">
            <w:pPr>
              <w:spacing w:line="400" w:lineRule="atLeast"/>
              <w:jc w:val="center"/>
              <w:rPr>
                <w:rFonts w:hint="eastAsia" w:ascii="宋体" w:hAnsi="宋体" w:eastAsia="宋体" w:cs="宋体"/>
                <w:color w:val="auto"/>
                <w:sz w:val="24"/>
                <w:highlight w:val="none"/>
              </w:rPr>
            </w:pPr>
          </w:p>
        </w:tc>
        <w:tc>
          <w:tcPr>
            <w:tcW w:w="1598" w:type="dxa"/>
          </w:tcPr>
          <w:p w14:paraId="257EE6A6">
            <w:pPr>
              <w:spacing w:line="400" w:lineRule="atLeast"/>
              <w:jc w:val="center"/>
              <w:rPr>
                <w:rFonts w:hint="eastAsia" w:ascii="宋体" w:hAnsi="宋体" w:eastAsia="宋体" w:cs="宋体"/>
                <w:color w:val="auto"/>
                <w:sz w:val="24"/>
                <w:highlight w:val="none"/>
              </w:rPr>
            </w:pPr>
          </w:p>
        </w:tc>
        <w:tc>
          <w:tcPr>
            <w:tcW w:w="1803" w:type="dxa"/>
          </w:tcPr>
          <w:p w14:paraId="3622B8F6">
            <w:pPr>
              <w:spacing w:line="400" w:lineRule="atLeast"/>
              <w:jc w:val="center"/>
              <w:rPr>
                <w:rFonts w:hint="eastAsia" w:ascii="宋体" w:hAnsi="宋体" w:eastAsia="宋体" w:cs="宋体"/>
                <w:color w:val="auto"/>
                <w:sz w:val="24"/>
                <w:highlight w:val="none"/>
              </w:rPr>
            </w:pPr>
          </w:p>
        </w:tc>
      </w:tr>
      <w:tr w14:paraId="3839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2189E18B">
            <w:pPr>
              <w:spacing w:line="400" w:lineRule="atLeast"/>
              <w:jc w:val="center"/>
              <w:rPr>
                <w:rFonts w:hint="eastAsia" w:ascii="宋体" w:hAnsi="宋体" w:eastAsia="宋体" w:cs="宋体"/>
                <w:color w:val="auto"/>
                <w:sz w:val="24"/>
                <w:highlight w:val="none"/>
              </w:rPr>
            </w:pPr>
          </w:p>
        </w:tc>
        <w:tc>
          <w:tcPr>
            <w:tcW w:w="1200" w:type="dxa"/>
          </w:tcPr>
          <w:p w14:paraId="24CD4861">
            <w:pPr>
              <w:spacing w:line="400" w:lineRule="atLeast"/>
              <w:jc w:val="center"/>
              <w:rPr>
                <w:rFonts w:hint="eastAsia" w:ascii="宋体" w:hAnsi="宋体" w:eastAsia="宋体" w:cs="宋体"/>
                <w:color w:val="auto"/>
                <w:sz w:val="24"/>
                <w:highlight w:val="none"/>
              </w:rPr>
            </w:pPr>
          </w:p>
        </w:tc>
        <w:tc>
          <w:tcPr>
            <w:tcW w:w="1675" w:type="dxa"/>
          </w:tcPr>
          <w:p w14:paraId="4B88F3B3">
            <w:pPr>
              <w:spacing w:line="400" w:lineRule="atLeast"/>
              <w:jc w:val="center"/>
              <w:rPr>
                <w:rFonts w:hint="eastAsia" w:ascii="宋体" w:hAnsi="宋体" w:eastAsia="宋体" w:cs="宋体"/>
                <w:color w:val="auto"/>
                <w:sz w:val="24"/>
                <w:highlight w:val="none"/>
              </w:rPr>
            </w:pPr>
          </w:p>
        </w:tc>
        <w:tc>
          <w:tcPr>
            <w:tcW w:w="1598" w:type="dxa"/>
          </w:tcPr>
          <w:p w14:paraId="17662E32">
            <w:pPr>
              <w:spacing w:line="400" w:lineRule="atLeast"/>
              <w:jc w:val="center"/>
              <w:rPr>
                <w:rFonts w:hint="eastAsia" w:ascii="宋体" w:hAnsi="宋体" w:eastAsia="宋体" w:cs="宋体"/>
                <w:color w:val="auto"/>
                <w:sz w:val="24"/>
                <w:highlight w:val="none"/>
              </w:rPr>
            </w:pPr>
          </w:p>
        </w:tc>
        <w:tc>
          <w:tcPr>
            <w:tcW w:w="1803" w:type="dxa"/>
          </w:tcPr>
          <w:p w14:paraId="1CA5BE24">
            <w:pPr>
              <w:spacing w:line="400" w:lineRule="atLeast"/>
              <w:jc w:val="center"/>
              <w:rPr>
                <w:rFonts w:hint="eastAsia" w:ascii="宋体" w:hAnsi="宋体" w:eastAsia="宋体" w:cs="宋体"/>
                <w:color w:val="auto"/>
                <w:sz w:val="24"/>
                <w:highlight w:val="none"/>
              </w:rPr>
            </w:pPr>
          </w:p>
        </w:tc>
      </w:tr>
      <w:tr w14:paraId="1044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42AF3A02">
            <w:pPr>
              <w:spacing w:line="400" w:lineRule="atLeast"/>
              <w:jc w:val="center"/>
              <w:rPr>
                <w:rFonts w:hint="eastAsia" w:ascii="宋体" w:hAnsi="宋体" w:eastAsia="宋体" w:cs="宋体"/>
                <w:color w:val="auto"/>
                <w:sz w:val="24"/>
                <w:highlight w:val="none"/>
              </w:rPr>
            </w:pPr>
          </w:p>
        </w:tc>
        <w:tc>
          <w:tcPr>
            <w:tcW w:w="1200" w:type="dxa"/>
          </w:tcPr>
          <w:p w14:paraId="7FC0CC65">
            <w:pPr>
              <w:spacing w:line="400" w:lineRule="atLeast"/>
              <w:jc w:val="center"/>
              <w:rPr>
                <w:rFonts w:hint="eastAsia" w:ascii="宋体" w:hAnsi="宋体" w:eastAsia="宋体" w:cs="宋体"/>
                <w:color w:val="auto"/>
                <w:sz w:val="24"/>
                <w:highlight w:val="none"/>
              </w:rPr>
            </w:pPr>
          </w:p>
        </w:tc>
        <w:tc>
          <w:tcPr>
            <w:tcW w:w="1675" w:type="dxa"/>
          </w:tcPr>
          <w:p w14:paraId="281A8FAC">
            <w:pPr>
              <w:spacing w:line="400" w:lineRule="atLeast"/>
              <w:jc w:val="center"/>
              <w:rPr>
                <w:rFonts w:hint="eastAsia" w:ascii="宋体" w:hAnsi="宋体" w:eastAsia="宋体" w:cs="宋体"/>
                <w:color w:val="auto"/>
                <w:sz w:val="24"/>
                <w:highlight w:val="none"/>
              </w:rPr>
            </w:pPr>
          </w:p>
        </w:tc>
        <w:tc>
          <w:tcPr>
            <w:tcW w:w="1598" w:type="dxa"/>
          </w:tcPr>
          <w:p w14:paraId="4E416C62">
            <w:pPr>
              <w:spacing w:line="400" w:lineRule="atLeast"/>
              <w:jc w:val="center"/>
              <w:rPr>
                <w:rFonts w:hint="eastAsia" w:ascii="宋体" w:hAnsi="宋体" w:eastAsia="宋体" w:cs="宋体"/>
                <w:color w:val="auto"/>
                <w:sz w:val="24"/>
                <w:highlight w:val="none"/>
              </w:rPr>
            </w:pPr>
          </w:p>
        </w:tc>
        <w:tc>
          <w:tcPr>
            <w:tcW w:w="1803" w:type="dxa"/>
          </w:tcPr>
          <w:p w14:paraId="2CB84DBF">
            <w:pPr>
              <w:spacing w:line="400" w:lineRule="atLeast"/>
              <w:jc w:val="center"/>
              <w:rPr>
                <w:rFonts w:hint="eastAsia" w:ascii="宋体" w:hAnsi="宋体" w:eastAsia="宋体" w:cs="宋体"/>
                <w:color w:val="auto"/>
                <w:sz w:val="24"/>
                <w:highlight w:val="none"/>
              </w:rPr>
            </w:pPr>
          </w:p>
        </w:tc>
      </w:tr>
      <w:tr w14:paraId="6417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BA03FA7">
            <w:pPr>
              <w:spacing w:line="400" w:lineRule="atLeast"/>
              <w:jc w:val="center"/>
              <w:rPr>
                <w:rFonts w:hint="eastAsia" w:ascii="宋体" w:hAnsi="宋体" w:eastAsia="宋体" w:cs="宋体"/>
                <w:color w:val="auto"/>
                <w:sz w:val="24"/>
                <w:highlight w:val="none"/>
              </w:rPr>
            </w:pPr>
          </w:p>
        </w:tc>
        <w:tc>
          <w:tcPr>
            <w:tcW w:w="1200" w:type="dxa"/>
          </w:tcPr>
          <w:p w14:paraId="6AC44C64">
            <w:pPr>
              <w:spacing w:line="400" w:lineRule="atLeast"/>
              <w:jc w:val="center"/>
              <w:rPr>
                <w:rFonts w:hint="eastAsia" w:ascii="宋体" w:hAnsi="宋体" w:eastAsia="宋体" w:cs="宋体"/>
                <w:color w:val="auto"/>
                <w:sz w:val="24"/>
                <w:highlight w:val="none"/>
              </w:rPr>
            </w:pPr>
          </w:p>
        </w:tc>
        <w:tc>
          <w:tcPr>
            <w:tcW w:w="1675" w:type="dxa"/>
          </w:tcPr>
          <w:p w14:paraId="4F9B7FD5">
            <w:pPr>
              <w:spacing w:line="400" w:lineRule="atLeast"/>
              <w:jc w:val="center"/>
              <w:rPr>
                <w:rFonts w:hint="eastAsia" w:ascii="宋体" w:hAnsi="宋体" w:eastAsia="宋体" w:cs="宋体"/>
                <w:color w:val="auto"/>
                <w:sz w:val="24"/>
                <w:highlight w:val="none"/>
              </w:rPr>
            </w:pPr>
          </w:p>
        </w:tc>
        <w:tc>
          <w:tcPr>
            <w:tcW w:w="1598" w:type="dxa"/>
          </w:tcPr>
          <w:p w14:paraId="2CA25F11">
            <w:pPr>
              <w:spacing w:line="400" w:lineRule="atLeast"/>
              <w:jc w:val="center"/>
              <w:rPr>
                <w:rFonts w:hint="eastAsia" w:ascii="宋体" w:hAnsi="宋体" w:eastAsia="宋体" w:cs="宋体"/>
                <w:color w:val="auto"/>
                <w:sz w:val="24"/>
                <w:highlight w:val="none"/>
              </w:rPr>
            </w:pPr>
          </w:p>
        </w:tc>
        <w:tc>
          <w:tcPr>
            <w:tcW w:w="1803" w:type="dxa"/>
          </w:tcPr>
          <w:p w14:paraId="420D4791">
            <w:pPr>
              <w:spacing w:line="400" w:lineRule="atLeast"/>
              <w:jc w:val="center"/>
              <w:rPr>
                <w:rFonts w:hint="eastAsia" w:ascii="宋体" w:hAnsi="宋体" w:eastAsia="宋体" w:cs="宋体"/>
                <w:color w:val="auto"/>
                <w:sz w:val="24"/>
                <w:highlight w:val="none"/>
              </w:rPr>
            </w:pPr>
          </w:p>
        </w:tc>
      </w:tr>
      <w:tr w14:paraId="239D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5938A286">
            <w:pPr>
              <w:spacing w:line="400" w:lineRule="atLeast"/>
              <w:jc w:val="center"/>
              <w:rPr>
                <w:rFonts w:hint="eastAsia" w:ascii="宋体" w:hAnsi="宋体" w:eastAsia="宋体" w:cs="宋体"/>
                <w:color w:val="auto"/>
                <w:sz w:val="24"/>
                <w:highlight w:val="none"/>
              </w:rPr>
            </w:pPr>
          </w:p>
        </w:tc>
        <w:tc>
          <w:tcPr>
            <w:tcW w:w="1200" w:type="dxa"/>
          </w:tcPr>
          <w:p w14:paraId="133DEC10">
            <w:pPr>
              <w:spacing w:line="400" w:lineRule="atLeast"/>
              <w:jc w:val="center"/>
              <w:rPr>
                <w:rFonts w:hint="eastAsia" w:ascii="宋体" w:hAnsi="宋体" w:eastAsia="宋体" w:cs="宋体"/>
                <w:color w:val="auto"/>
                <w:sz w:val="24"/>
                <w:highlight w:val="none"/>
              </w:rPr>
            </w:pPr>
          </w:p>
        </w:tc>
        <w:tc>
          <w:tcPr>
            <w:tcW w:w="1675" w:type="dxa"/>
          </w:tcPr>
          <w:p w14:paraId="701555C9">
            <w:pPr>
              <w:spacing w:line="400" w:lineRule="atLeast"/>
              <w:jc w:val="center"/>
              <w:rPr>
                <w:rFonts w:hint="eastAsia" w:ascii="宋体" w:hAnsi="宋体" w:eastAsia="宋体" w:cs="宋体"/>
                <w:color w:val="auto"/>
                <w:sz w:val="24"/>
                <w:highlight w:val="none"/>
              </w:rPr>
            </w:pPr>
          </w:p>
        </w:tc>
        <w:tc>
          <w:tcPr>
            <w:tcW w:w="1598" w:type="dxa"/>
          </w:tcPr>
          <w:p w14:paraId="6FAC7580">
            <w:pPr>
              <w:spacing w:line="400" w:lineRule="atLeast"/>
              <w:jc w:val="center"/>
              <w:rPr>
                <w:rFonts w:hint="eastAsia" w:ascii="宋体" w:hAnsi="宋体" w:eastAsia="宋体" w:cs="宋体"/>
                <w:color w:val="auto"/>
                <w:sz w:val="24"/>
                <w:highlight w:val="none"/>
              </w:rPr>
            </w:pPr>
          </w:p>
        </w:tc>
        <w:tc>
          <w:tcPr>
            <w:tcW w:w="1803" w:type="dxa"/>
          </w:tcPr>
          <w:p w14:paraId="3EA46346">
            <w:pPr>
              <w:spacing w:line="400" w:lineRule="atLeast"/>
              <w:jc w:val="center"/>
              <w:rPr>
                <w:rFonts w:hint="eastAsia" w:ascii="宋体" w:hAnsi="宋体" w:eastAsia="宋体" w:cs="宋体"/>
                <w:color w:val="auto"/>
                <w:sz w:val="24"/>
                <w:highlight w:val="none"/>
              </w:rPr>
            </w:pPr>
          </w:p>
        </w:tc>
      </w:tr>
      <w:tr w14:paraId="3B3A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0A3FACC2">
            <w:pPr>
              <w:spacing w:line="400" w:lineRule="atLeast"/>
              <w:jc w:val="center"/>
              <w:rPr>
                <w:rFonts w:hint="eastAsia" w:ascii="宋体" w:hAnsi="宋体" w:eastAsia="宋体" w:cs="宋体"/>
                <w:color w:val="auto"/>
                <w:sz w:val="24"/>
                <w:highlight w:val="none"/>
              </w:rPr>
            </w:pPr>
          </w:p>
        </w:tc>
        <w:tc>
          <w:tcPr>
            <w:tcW w:w="1200" w:type="dxa"/>
          </w:tcPr>
          <w:p w14:paraId="43B28FB3">
            <w:pPr>
              <w:spacing w:line="400" w:lineRule="atLeast"/>
              <w:jc w:val="center"/>
              <w:rPr>
                <w:rFonts w:hint="eastAsia" w:ascii="宋体" w:hAnsi="宋体" w:eastAsia="宋体" w:cs="宋体"/>
                <w:color w:val="auto"/>
                <w:sz w:val="24"/>
                <w:highlight w:val="none"/>
              </w:rPr>
            </w:pPr>
          </w:p>
        </w:tc>
        <w:tc>
          <w:tcPr>
            <w:tcW w:w="1675" w:type="dxa"/>
          </w:tcPr>
          <w:p w14:paraId="366CFA6D">
            <w:pPr>
              <w:spacing w:line="400" w:lineRule="atLeast"/>
              <w:jc w:val="center"/>
              <w:rPr>
                <w:rFonts w:hint="eastAsia" w:ascii="宋体" w:hAnsi="宋体" w:eastAsia="宋体" w:cs="宋体"/>
                <w:color w:val="auto"/>
                <w:sz w:val="24"/>
                <w:highlight w:val="none"/>
              </w:rPr>
            </w:pPr>
          </w:p>
        </w:tc>
        <w:tc>
          <w:tcPr>
            <w:tcW w:w="1598" w:type="dxa"/>
          </w:tcPr>
          <w:p w14:paraId="544BB122">
            <w:pPr>
              <w:spacing w:line="400" w:lineRule="atLeast"/>
              <w:jc w:val="center"/>
              <w:rPr>
                <w:rFonts w:hint="eastAsia" w:ascii="宋体" w:hAnsi="宋体" w:eastAsia="宋体" w:cs="宋体"/>
                <w:color w:val="auto"/>
                <w:sz w:val="24"/>
                <w:highlight w:val="none"/>
              </w:rPr>
            </w:pPr>
          </w:p>
        </w:tc>
        <w:tc>
          <w:tcPr>
            <w:tcW w:w="1803" w:type="dxa"/>
          </w:tcPr>
          <w:p w14:paraId="2FE9CEDF">
            <w:pPr>
              <w:spacing w:line="400" w:lineRule="atLeast"/>
              <w:jc w:val="center"/>
              <w:rPr>
                <w:rFonts w:hint="eastAsia" w:ascii="宋体" w:hAnsi="宋体" w:eastAsia="宋体" w:cs="宋体"/>
                <w:color w:val="auto"/>
                <w:sz w:val="24"/>
                <w:highlight w:val="none"/>
              </w:rPr>
            </w:pPr>
          </w:p>
        </w:tc>
      </w:tr>
      <w:tr w14:paraId="146FB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3180" w:type="dxa"/>
          </w:tcPr>
          <w:p w14:paraId="78BCB203">
            <w:pPr>
              <w:spacing w:line="400" w:lineRule="atLeast"/>
              <w:jc w:val="center"/>
              <w:rPr>
                <w:rFonts w:hint="eastAsia" w:ascii="宋体" w:hAnsi="宋体" w:eastAsia="宋体" w:cs="宋体"/>
                <w:color w:val="auto"/>
                <w:sz w:val="24"/>
                <w:highlight w:val="none"/>
              </w:rPr>
            </w:pPr>
          </w:p>
        </w:tc>
        <w:tc>
          <w:tcPr>
            <w:tcW w:w="1200" w:type="dxa"/>
          </w:tcPr>
          <w:p w14:paraId="1AB0BFD1">
            <w:pPr>
              <w:spacing w:line="400" w:lineRule="atLeast"/>
              <w:jc w:val="center"/>
              <w:rPr>
                <w:rFonts w:hint="eastAsia" w:ascii="宋体" w:hAnsi="宋体" w:eastAsia="宋体" w:cs="宋体"/>
                <w:color w:val="auto"/>
                <w:sz w:val="24"/>
                <w:highlight w:val="none"/>
              </w:rPr>
            </w:pPr>
          </w:p>
        </w:tc>
        <w:tc>
          <w:tcPr>
            <w:tcW w:w="1675" w:type="dxa"/>
          </w:tcPr>
          <w:p w14:paraId="36CDE4DA">
            <w:pPr>
              <w:spacing w:line="400" w:lineRule="atLeast"/>
              <w:jc w:val="center"/>
              <w:rPr>
                <w:rFonts w:hint="eastAsia" w:ascii="宋体" w:hAnsi="宋体" w:eastAsia="宋体" w:cs="宋体"/>
                <w:color w:val="auto"/>
                <w:sz w:val="24"/>
                <w:highlight w:val="none"/>
              </w:rPr>
            </w:pPr>
          </w:p>
        </w:tc>
        <w:tc>
          <w:tcPr>
            <w:tcW w:w="1598" w:type="dxa"/>
          </w:tcPr>
          <w:p w14:paraId="2F2AF3C0">
            <w:pPr>
              <w:spacing w:line="400" w:lineRule="atLeast"/>
              <w:jc w:val="center"/>
              <w:rPr>
                <w:rFonts w:hint="eastAsia" w:ascii="宋体" w:hAnsi="宋体" w:eastAsia="宋体" w:cs="宋体"/>
                <w:color w:val="auto"/>
                <w:sz w:val="24"/>
                <w:highlight w:val="none"/>
              </w:rPr>
            </w:pPr>
          </w:p>
        </w:tc>
        <w:tc>
          <w:tcPr>
            <w:tcW w:w="1803" w:type="dxa"/>
          </w:tcPr>
          <w:p w14:paraId="26139EBB">
            <w:pPr>
              <w:spacing w:line="400" w:lineRule="atLeast"/>
              <w:jc w:val="center"/>
              <w:rPr>
                <w:rFonts w:hint="eastAsia" w:ascii="宋体" w:hAnsi="宋体" w:eastAsia="宋体" w:cs="宋体"/>
                <w:color w:val="auto"/>
                <w:sz w:val="24"/>
                <w:highlight w:val="none"/>
              </w:rPr>
            </w:pPr>
          </w:p>
        </w:tc>
      </w:tr>
    </w:tbl>
    <w:p w14:paraId="6461725E">
      <w:pPr>
        <w:spacing w:line="38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注：1.提供合同复印件，同一</w:t>
      </w:r>
      <w:r>
        <w:rPr>
          <w:rFonts w:hint="eastAsia" w:ascii="宋体" w:hAnsi="宋体" w:eastAsia="宋体" w:cs="宋体"/>
          <w:color w:val="auto"/>
          <w:sz w:val="22"/>
          <w:szCs w:val="22"/>
          <w:highlight w:val="none"/>
          <w:lang w:val="en-US" w:eastAsia="zh-CN"/>
        </w:rPr>
        <w:t>招标人</w:t>
      </w:r>
      <w:r>
        <w:rPr>
          <w:rFonts w:hint="eastAsia" w:ascii="宋体" w:hAnsi="宋体" w:eastAsia="宋体" w:cs="宋体"/>
          <w:color w:val="auto"/>
          <w:sz w:val="22"/>
          <w:szCs w:val="22"/>
          <w:highlight w:val="none"/>
        </w:rPr>
        <w:t>单位</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rPr>
        <w:t>不重复得分</w:t>
      </w:r>
      <w:r>
        <w:rPr>
          <w:rFonts w:hint="eastAsia" w:ascii="宋体" w:hAnsi="宋体" w:eastAsia="宋体" w:cs="宋体"/>
          <w:color w:val="auto"/>
          <w:sz w:val="22"/>
          <w:szCs w:val="22"/>
          <w:highlight w:val="none"/>
          <w:lang w:eastAsia="zh-CN"/>
        </w:rPr>
        <w:t>，</w:t>
      </w:r>
    </w:p>
    <w:p w14:paraId="64A8F57F">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2.投标人不按要求提供业绩证明材料将视为无业绩。</w:t>
      </w:r>
    </w:p>
    <w:p w14:paraId="469E6985">
      <w:pPr>
        <w:spacing w:line="380" w:lineRule="exact"/>
        <w:ind w:firstLine="4400" w:firstLineChars="2000"/>
        <w:rPr>
          <w:rFonts w:hint="eastAsia" w:ascii="宋体" w:hAnsi="宋体" w:eastAsia="宋体" w:cs="宋体"/>
          <w:color w:val="auto"/>
          <w:sz w:val="22"/>
          <w:szCs w:val="22"/>
          <w:highlight w:val="none"/>
        </w:rPr>
      </w:pPr>
    </w:p>
    <w:p w14:paraId="4B9F783B">
      <w:pPr>
        <w:spacing w:line="380" w:lineRule="exact"/>
        <w:ind w:firstLine="4400" w:firstLineChars="2000"/>
        <w:rPr>
          <w:rFonts w:hint="eastAsia" w:ascii="宋体" w:hAnsi="宋体" w:eastAsia="宋体" w:cs="宋体"/>
          <w:color w:val="auto"/>
          <w:sz w:val="22"/>
          <w:szCs w:val="22"/>
          <w:highlight w:val="none"/>
        </w:rPr>
      </w:pPr>
    </w:p>
    <w:p w14:paraId="5ABB9477">
      <w:pPr>
        <w:spacing w:line="380" w:lineRule="exact"/>
        <w:ind w:firstLine="4400" w:firstLineChars="2000"/>
        <w:rPr>
          <w:rFonts w:hint="eastAsia" w:ascii="宋体" w:hAnsi="宋体" w:eastAsia="宋体" w:cs="宋体"/>
          <w:color w:val="auto"/>
          <w:sz w:val="22"/>
          <w:szCs w:val="22"/>
          <w:highlight w:val="none"/>
        </w:rPr>
      </w:pPr>
    </w:p>
    <w:p w14:paraId="38C2B6E1">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54759454">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0A2E3128">
      <w:pPr>
        <w:spacing w:line="38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 期：  年  月  日</w:t>
      </w:r>
      <w:r>
        <w:rPr>
          <w:rFonts w:hint="eastAsia" w:ascii="宋体" w:hAnsi="宋体" w:eastAsia="宋体" w:cs="宋体"/>
          <w:b/>
          <w:bCs/>
          <w:color w:val="auto"/>
          <w:sz w:val="22"/>
          <w:szCs w:val="22"/>
          <w:highlight w:val="none"/>
        </w:rPr>
        <w:t xml:space="preserve"> </w:t>
      </w:r>
    </w:p>
    <w:p w14:paraId="13D7BB63">
      <w:pPr>
        <w:widowControl/>
        <w:jc w:val="left"/>
        <w:rPr>
          <w:rFonts w:hint="eastAsia" w:ascii="宋体" w:hAnsi="宋体" w:eastAsia="宋体" w:cs="宋体"/>
          <w:b/>
          <w:color w:val="auto"/>
          <w:kern w:val="0"/>
          <w:sz w:val="28"/>
          <w:szCs w:val="28"/>
          <w:highlight w:val="none"/>
        </w:rPr>
      </w:pPr>
    </w:p>
    <w:p w14:paraId="46B1F7CD">
      <w:pPr>
        <w:pStyle w:val="28"/>
        <w:rPr>
          <w:rFonts w:hint="eastAsia" w:ascii="宋体" w:hAnsi="宋体" w:eastAsia="宋体" w:cs="宋体"/>
          <w:color w:val="auto"/>
          <w:highlight w:val="none"/>
        </w:rPr>
      </w:pPr>
    </w:p>
    <w:p w14:paraId="47B38550">
      <w:pPr>
        <w:snapToGrid w:val="0"/>
        <w:spacing w:before="50" w:after="156" w:afterLines="50"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六</w:t>
      </w:r>
    </w:p>
    <w:p w14:paraId="32983444">
      <w:pPr>
        <w:snapToGrid w:val="0"/>
        <w:spacing w:before="50" w:after="156" w:afterLines="5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拟投入的项目工作人员名单</w:t>
      </w:r>
    </w:p>
    <w:tbl>
      <w:tblPr>
        <w:tblStyle w:val="29"/>
        <w:tblW w:w="95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0"/>
        <w:gridCol w:w="925"/>
        <w:gridCol w:w="925"/>
        <w:gridCol w:w="740"/>
        <w:gridCol w:w="740"/>
        <w:gridCol w:w="1294"/>
        <w:gridCol w:w="1281"/>
        <w:gridCol w:w="1762"/>
        <w:gridCol w:w="1107"/>
      </w:tblGrid>
      <w:tr w14:paraId="1DCAF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40" w:type="dxa"/>
            <w:tcBorders>
              <w:top w:val="single" w:color="auto" w:sz="12" w:space="0"/>
            </w:tcBorders>
            <w:vAlign w:val="center"/>
          </w:tcPr>
          <w:p w14:paraId="12AB4FDD">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序号</w:t>
            </w:r>
          </w:p>
        </w:tc>
        <w:tc>
          <w:tcPr>
            <w:tcW w:w="925" w:type="dxa"/>
            <w:tcBorders>
              <w:top w:val="single" w:color="auto" w:sz="12" w:space="0"/>
            </w:tcBorders>
            <w:vAlign w:val="center"/>
          </w:tcPr>
          <w:p w14:paraId="16771E63">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姓名</w:t>
            </w:r>
          </w:p>
        </w:tc>
        <w:tc>
          <w:tcPr>
            <w:tcW w:w="925" w:type="dxa"/>
            <w:tcBorders>
              <w:top w:val="single" w:color="auto" w:sz="12" w:space="0"/>
            </w:tcBorders>
            <w:vAlign w:val="center"/>
          </w:tcPr>
          <w:p w14:paraId="00D6ADE0">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性别</w:t>
            </w:r>
          </w:p>
        </w:tc>
        <w:tc>
          <w:tcPr>
            <w:tcW w:w="740" w:type="dxa"/>
            <w:tcBorders>
              <w:top w:val="single" w:color="auto" w:sz="12" w:space="0"/>
            </w:tcBorders>
            <w:vAlign w:val="center"/>
          </w:tcPr>
          <w:p w14:paraId="63BE9FFD">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年龄</w:t>
            </w:r>
          </w:p>
        </w:tc>
        <w:tc>
          <w:tcPr>
            <w:tcW w:w="740" w:type="dxa"/>
            <w:tcBorders>
              <w:top w:val="single" w:color="auto" w:sz="12" w:space="0"/>
            </w:tcBorders>
            <w:vAlign w:val="center"/>
          </w:tcPr>
          <w:p w14:paraId="37A06442">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学历</w:t>
            </w:r>
          </w:p>
        </w:tc>
        <w:tc>
          <w:tcPr>
            <w:tcW w:w="1294" w:type="dxa"/>
            <w:tcBorders>
              <w:top w:val="single" w:color="auto" w:sz="12" w:space="0"/>
            </w:tcBorders>
            <w:vAlign w:val="center"/>
          </w:tcPr>
          <w:p w14:paraId="259121FB">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职称/职务</w:t>
            </w:r>
          </w:p>
        </w:tc>
        <w:tc>
          <w:tcPr>
            <w:tcW w:w="1281" w:type="dxa"/>
            <w:tcBorders>
              <w:top w:val="single" w:color="auto" w:sz="12" w:space="0"/>
            </w:tcBorders>
            <w:vAlign w:val="center"/>
          </w:tcPr>
          <w:p w14:paraId="093325E0">
            <w:pPr>
              <w:spacing w:line="280" w:lineRule="exact"/>
              <w:jc w:val="center"/>
              <w:rPr>
                <w:rFonts w:hint="eastAsia" w:ascii="宋体" w:hAnsi="宋体" w:eastAsia="宋体" w:cs="宋体"/>
                <w:color w:val="auto"/>
                <w:sz w:val="22"/>
                <w:highlight w:val="none"/>
              </w:rPr>
            </w:pPr>
            <w:r>
              <w:rPr>
                <w:rFonts w:hint="eastAsia" w:ascii="宋体" w:hAnsi="宋体" w:eastAsia="宋体" w:cs="宋体"/>
                <w:color w:val="auto"/>
                <w:highlight w:val="none"/>
              </w:rPr>
              <w:t>本项目中的岗位</w:t>
            </w:r>
          </w:p>
        </w:tc>
        <w:tc>
          <w:tcPr>
            <w:tcW w:w="1762" w:type="dxa"/>
            <w:tcBorders>
              <w:top w:val="single" w:color="auto" w:sz="12" w:space="0"/>
            </w:tcBorders>
            <w:vAlign w:val="center"/>
          </w:tcPr>
          <w:p w14:paraId="71293EC1">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从事专业年限</w:t>
            </w:r>
          </w:p>
        </w:tc>
        <w:tc>
          <w:tcPr>
            <w:tcW w:w="1107" w:type="dxa"/>
            <w:tcBorders>
              <w:top w:val="single" w:color="auto" w:sz="12" w:space="0"/>
            </w:tcBorders>
            <w:vAlign w:val="center"/>
          </w:tcPr>
          <w:p w14:paraId="0C9D1A46">
            <w:pPr>
              <w:spacing w:line="360" w:lineRule="auto"/>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备注</w:t>
            </w:r>
          </w:p>
        </w:tc>
      </w:tr>
      <w:tr w14:paraId="26A332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6B407F2A">
            <w:pPr>
              <w:spacing w:line="360" w:lineRule="auto"/>
              <w:jc w:val="center"/>
              <w:rPr>
                <w:rFonts w:hint="eastAsia" w:ascii="宋体" w:hAnsi="宋体" w:eastAsia="宋体" w:cs="宋体"/>
                <w:color w:val="auto"/>
                <w:sz w:val="22"/>
                <w:highlight w:val="none"/>
              </w:rPr>
            </w:pPr>
          </w:p>
        </w:tc>
        <w:tc>
          <w:tcPr>
            <w:tcW w:w="925" w:type="dxa"/>
            <w:vAlign w:val="center"/>
          </w:tcPr>
          <w:p w14:paraId="3BDD03DF">
            <w:pPr>
              <w:spacing w:line="360" w:lineRule="auto"/>
              <w:jc w:val="center"/>
              <w:rPr>
                <w:rFonts w:hint="eastAsia" w:ascii="宋体" w:hAnsi="宋体" w:eastAsia="宋体" w:cs="宋体"/>
                <w:color w:val="auto"/>
                <w:sz w:val="22"/>
                <w:highlight w:val="none"/>
              </w:rPr>
            </w:pPr>
          </w:p>
        </w:tc>
        <w:tc>
          <w:tcPr>
            <w:tcW w:w="925" w:type="dxa"/>
            <w:vAlign w:val="center"/>
          </w:tcPr>
          <w:p w14:paraId="3D0EE4FF">
            <w:pPr>
              <w:spacing w:line="360" w:lineRule="auto"/>
              <w:jc w:val="center"/>
              <w:rPr>
                <w:rFonts w:hint="eastAsia" w:ascii="宋体" w:hAnsi="宋体" w:eastAsia="宋体" w:cs="宋体"/>
                <w:color w:val="auto"/>
                <w:sz w:val="22"/>
                <w:highlight w:val="none"/>
              </w:rPr>
            </w:pPr>
          </w:p>
        </w:tc>
        <w:tc>
          <w:tcPr>
            <w:tcW w:w="740" w:type="dxa"/>
            <w:vAlign w:val="center"/>
          </w:tcPr>
          <w:p w14:paraId="41119F82">
            <w:pPr>
              <w:spacing w:line="360" w:lineRule="auto"/>
              <w:jc w:val="center"/>
              <w:rPr>
                <w:rFonts w:hint="eastAsia" w:ascii="宋体" w:hAnsi="宋体" w:eastAsia="宋体" w:cs="宋体"/>
                <w:color w:val="auto"/>
                <w:sz w:val="22"/>
                <w:highlight w:val="none"/>
              </w:rPr>
            </w:pPr>
          </w:p>
        </w:tc>
        <w:tc>
          <w:tcPr>
            <w:tcW w:w="740" w:type="dxa"/>
            <w:vAlign w:val="center"/>
          </w:tcPr>
          <w:p w14:paraId="4E676960">
            <w:pPr>
              <w:spacing w:line="360" w:lineRule="auto"/>
              <w:jc w:val="center"/>
              <w:rPr>
                <w:rFonts w:hint="eastAsia" w:ascii="宋体" w:hAnsi="宋体" w:eastAsia="宋体" w:cs="宋体"/>
                <w:color w:val="auto"/>
                <w:sz w:val="22"/>
                <w:highlight w:val="none"/>
              </w:rPr>
            </w:pPr>
          </w:p>
        </w:tc>
        <w:tc>
          <w:tcPr>
            <w:tcW w:w="1294" w:type="dxa"/>
            <w:vAlign w:val="center"/>
          </w:tcPr>
          <w:p w14:paraId="52A87DD7">
            <w:pPr>
              <w:spacing w:line="360" w:lineRule="auto"/>
              <w:jc w:val="center"/>
              <w:rPr>
                <w:rFonts w:hint="eastAsia" w:ascii="宋体" w:hAnsi="宋体" w:eastAsia="宋体" w:cs="宋体"/>
                <w:color w:val="auto"/>
                <w:sz w:val="22"/>
                <w:highlight w:val="none"/>
              </w:rPr>
            </w:pPr>
          </w:p>
        </w:tc>
        <w:tc>
          <w:tcPr>
            <w:tcW w:w="1281" w:type="dxa"/>
            <w:vAlign w:val="center"/>
          </w:tcPr>
          <w:p w14:paraId="6613589A">
            <w:pPr>
              <w:spacing w:line="360" w:lineRule="auto"/>
              <w:jc w:val="center"/>
              <w:rPr>
                <w:rFonts w:hint="eastAsia" w:ascii="宋体" w:hAnsi="宋体" w:eastAsia="宋体" w:cs="宋体"/>
                <w:color w:val="auto"/>
                <w:sz w:val="22"/>
                <w:highlight w:val="none"/>
              </w:rPr>
            </w:pPr>
          </w:p>
        </w:tc>
        <w:tc>
          <w:tcPr>
            <w:tcW w:w="1762" w:type="dxa"/>
          </w:tcPr>
          <w:p w14:paraId="5600609E">
            <w:pPr>
              <w:spacing w:line="360" w:lineRule="auto"/>
              <w:jc w:val="center"/>
              <w:rPr>
                <w:rFonts w:hint="eastAsia" w:ascii="宋体" w:hAnsi="宋体" w:eastAsia="宋体" w:cs="宋体"/>
                <w:color w:val="auto"/>
                <w:sz w:val="22"/>
                <w:highlight w:val="none"/>
              </w:rPr>
            </w:pPr>
          </w:p>
        </w:tc>
        <w:tc>
          <w:tcPr>
            <w:tcW w:w="1107" w:type="dxa"/>
            <w:vAlign w:val="center"/>
          </w:tcPr>
          <w:p w14:paraId="3611E7C5">
            <w:pPr>
              <w:spacing w:line="360" w:lineRule="auto"/>
              <w:jc w:val="center"/>
              <w:rPr>
                <w:rFonts w:hint="eastAsia" w:ascii="宋体" w:hAnsi="宋体" w:eastAsia="宋体" w:cs="宋体"/>
                <w:color w:val="auto"/>
                <w:sz w:val="22"/>
                <w:highlight w:val="none"/>
              </w:rPr>
            </w:pPr>
          </w:p>
        </w:tc>
      </w:tr>
      <w:tr w14:paraId="2EAA0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54D2E37E">
            <w:pPr>
              <w:spacing w:line="360" w:lineRule="auto"/>
              <w:jc w:val="center"/>
              <w:rPr>
                <w:rFonts w:hint="eastAsia" w:ascii="宋体" w:hAnsi="宋体" w:eastAsia="宋体" w:cs="宋体"/>
                <w:color w:val="auto"/>
                <w:sz w:val="22"/>
                <w:highlight w:val="none"/>
              </w:rPr>
            </w:pPr>
          </w:p>
        </w:tc>
        <w:tc>
          <w:tcPr>
            <w:tcW w:w="925" w:type="dxa"/>
            <w:vAlign w:val="center"/>
          </w:tcPr>
          <w:p w14:paraId="08E25113">
            <w:pPr>
              <w:spacing w:line="360" w:lineRule="auto"/>
              <w:jc w:val="center"/>
              <w:rPr>
                <w:rFonts w:hint="eastAsia" w:ascii="宋体" w:hAnsi="宋体" w:eastAsia="宋体" w:cs="宋体"/>
                <w:color w:val="auto"/>
                <w:sz w:val="22"/>
                <w:highlight w:val="none"/>
              </w:rPr>
            </w:pPr>
          </w:p>
        </w:tc>
        <w:tc>
          <w:tcPr>
            <w:tcW w:w="925" w:type="dxa"/>
            <w:vAlign w:val="center"/>
          </w:tcPr>
          <w:p w14:paraId="6054163B">
            <w:pPr>
              <w:spacing w:line="360" w:lineRule="auto"/>
              <w:jc w:val="center"/>
              <w:rPr>
                <w:rFonts w:hint="eastAsia" w:ascii="宋体" w:hAnsi="宋体" w:eastAsia="宋体" w:cs="宋体"/>
                <w:color w:val="auto"/>
                <w:sz w:val="22"/>
                <w:highlight w:val="none"/>
              </w:rPr>
            </w:pPr>
          </w:p>
        </w:tc>
        <w:tc>
          <w:tcPr>
            <w:tcW w:w="740" w:type="dxa"/>
            <w:vAlign w:val="center"/>
          </w:tcPr>
          <w:p w14:paraId="5C766E1E">
            <w:pPr>
              <w:spacing w:line="360" w:lineRule="auto"/>
              <w:jc w:val="center"/>
              <w:rPr>
                <w:rFonts w:hint="eastAsia" w:ascii="宋体" w:hAnsi="宋体" w:eastAsia="宋体" w:cs="宋体"/>
                <w:color w:val="auto"/>
                <w:sz w:val="22"/>
                <w:highlight w:val="none"/>
              </w:rPr>
            </w:pPr>
          </w:p>
        </w:tc>
        <w:tc>
          <w:tcPr>
            <w:tcW w:w="740" w:type="dxa"/>
            <w:vAlign w:val="center"/>
          </w:tcPr>
          <w:p w14:paraId="0CEDD564">
            <w:pPr>
              <w:spacing w:line="360" w:lineRule="auto"/>
              <w:jc w:val="center"/>
              <w:rPr>
                <w:rFonts w:hint="eastAsia" w:ascii="宋体" w:hAnsi="宋体" w:eastAsia="宋体" w:cs="宋体"/>
                <w:color w:val="auto"/>
                <w:sz w:val="22"/>
                <w:highlight w:val="none"/>
              </w:rPr>
            </w:pPr>
          </w:p>
        </w:tc>
        <w:tc>
          <w:tcPr>
            <w:tcW w:w="1294" w:type="dxa"/>
            <w:vAlign w:val="center"/>
          </w:tcPr>
          <w:p w14:paraId="341456D9">
            <w:pPr>
              <w:spacing w:line="360" w:lineRule="auto"/>
              <w:jc w:val="center"/>
              <w:rPr>
                <w:rFonts w:hint="eastAsia" w:ascii="宋体" w:hAnsi="宋体" w:eastAsia="宋体" w:cs="宋体"/>
                <w:color w:val="auto"/>
                <w:sz w:val="22"/>
                <w:highlight w:val="none"/>
              </w:rPr>
            </w:pPr>
          </w:p>
        </w:tc>
        <w:tc>
          <w:tcPr>
            <w:tcW w:w="1281" w:type="dxa"/>
            <w:vAlign w:val="center"/>
          </w:tcPr>
          <w:p w14:paraId="55CA3F6F">
            <w:pPr>
              <w:spacing w:line="360" w:lineRule="auto"/>
              <w:jc w:val="center"/>
              <w:rPr>
                <w:rFonts w:hint="eastAsia" w:ascii="宋体" w:hAnsi="宋体" w:eastAsia="宋体" w:cs="宋体"/>
                <w:color w:val="auto"/>
                <w:sz w:val="22"/>
                <w:highlight w:val="none"/>
              </w:rPr>
            </w:pPr>
          </w:p>
        </w:tc>
        <w:tc>
          <w:tcPr>
            <w:tcW w:w="1762" w:type="dxa"/>
          </w:tcPr>
          <w:p w14:paraId="193BBEAA">
            <w:pPr>
              <w:spacing w:line="360" w:lineRule="auto"/>
              <w:jc w:val="center"/>
              <w:rPr>
                <w:rFonts w:hint="eastAsia" w:ascii="宋体" w:hAnsi="宋体" w:eastAsia="宋体" w:cs="宋体"/>
                <w:color w:val="auto"/>
                <w:sz w:val="22"/>
                <w:highlight w:val="none"/>
              </w:rPr>
            </w:pPr>
          </w:p>
        </w:tc>
        <w:tc>
          <w:tcPr>
            <w:tcW w:w="1107" w:type="dxa"/>
            <w:vAlign w:val="center"/>
          </w:tcPr>
          <w:p w14:paraId="1E22A7EA">
            <w:pPr>
              <w:spacing w:line="360" w:lineRule="auto"/>
              <w:jc w:val="center"/>
              <w:rPr>
                <w:rFonts w:hint="eastAsia" w:ascii="宋体" w:hAnsi="宋体" w:eastAsia="宋体" w:cs="宋体"/>
                <w:color w:val="auto"/>
                <w:sz w:val="22"/>
                <w:highlight w:val="none"/>
              </w:rPr>
            </w:pPr>
          </w:p>
        </w:tc>
      </w:tr>
      <w:tr w14:paraId="2EFBC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42CB79F4">
            <w:pPr>
              <w:spacing w:line="360" w:lineRule="auto"/>
              <w:jc w:val="center"/>
              <w:rPr>
                <w:rFonts w:hint="eastAsia" w:ascii="宋体" w:hAnsi="宋体" w:eastAsia="宋体" w:cs="宋体"/>
                <w:color w:val="auto"/>
                <w:sz w:val="22"/>
                <w:highlight w:val="none"/>
              </w:rPr>
            </w:pPr>
          </w:p>
        </w:tc>
        <w:tc>
          <w:tcPr>
            <w:tcW w:w="925" w:type="dxa"/>
            <w:vAlign w:val="center"/>
          </w:tcPr>
          <w:p w14:paraId="72E2E9D2">
            <w:pPr>
              <w:spacing w:line="360" w:lineRule="auto"/>
              <w:jc w:val="center"/>
              <w:rPr>
                <w:rFonts w:hint="eastAsia" w:ascii="宋体" w:hAnsi="宋体" w:eastAsia="宋体" w:cs="宋体"/>
                <w:color w:val="auto"/>
                <w:sz w:val="22"/>
                <w:highlight w:val="none"/>
              </w:rPr>
            </w:pPr>
          </w:p>
        </w:tc>
        <w:tc>
          <w:tcPr>
            <w:tcW w:w="925" w:type="dxa"/>
            <w:vAlign w:val="center"/>
          </w:tcPr>
          <w:p w14:paraId="1A325C33">
            <w:pPr>
              <w:spacing w:line="360" w:lineRule="auto"/>
              <w:jc w:val="center"/>
              <w:rPr>
                <w:rFonts w:hint="eastAsia" w:ascii="宋体" w:hAnsi="宋体" w:eastAsia="宋体" w:cs="宋体"/>
                <w:color w:val="auto"/>
                <w:sz w:val="22"/>
                <w:highlight w:val="none"/>
              </w:rPr>
            </w:pPr>
          </w:p>
        </w:tc>
        <w:tc>
          <w:tcPr>
            <w:tcW w:w="740" w:type="dxa"/>
            <w:vAlign w:val="center"/>
          </w:tcPr>
          <w:p w14:paraId="4D7E9F49">
            <w:pPr>
              <w:spacing w:line="360" w:lineRule="auto"/>
              <w:jc w:val="center"/>
              <w:rPr>
                <w:rFonts w:hint="eastAsia" w:ascii="宋体" w:hAnsi="宋体" w:eastAsia="宋体" w:cs="宋体"/>
                <w:color w:val="auto"/>
                <w:sz w:val="22"/>
                <w:highlight w:val="none"/>
              </w:rPr>
            </w:pPr>
          </w:p>
        </w:tc>
        <w:tc>
          <w:tcPr>
            <w:tcW w:w="740" w:type="dxa"/>
            <w:vAlign w:val="center"/>
          </w:tcPr>
          <w:p w14:paraId="2171C858">
            <w:pPr>
              <w:spacing w:line="360" w:lineRule="auto"/>
              <w:jc w:val="center"/>
              <w:rPr>
                <w:rFonts w:hint="eastAsia" w:ascii="宋体" w:hAnsi="宋体" w:eastAsia="宋体" w:cs="宋体"/>
                <w:color w:val="auto"/>
                <w:sz w:val="22"/>
                <w:highlight w:val="none"/>
              </w:rPr>
            </w:pPr>
          </w:p>
        </w:tc>
        <w:tc>
          <w:tcPr>
            <w:tcW w:w="1294" w:type="dxa"/>
            <w:vAlign w:val="center"/>
          </w:tcPr>
          <w:p w14:paraId="3158D12D">
            <w:pPr>
              <w:spacing w:line="360" w:lineRule="auto"/>
              <w:jc w:val="center"/>
              <w:rPr>
                <w:rFonts w:hint="eastAsia" w:ascii="宋体" w:hAnsi="宋体" w:eastAsia="宋体" w:cs="宋体"/>
                <w:color w:val="auto"/>
                <w:sz w:val="22"/>
                <w:highlight w:val="none"/>
              </w:rPr>
            </w:pPr>
          </w:p>
        </w:tc>
        <w:tc>
          <w:tcPr>
            <w:tcW w:w="1281" w:type="dxa"/>
            <w:vAlign w:val="center"/>
          </w:tcPr>
          <w:p w14:paraId="0209EFE5">
            <w:pPr>
              <w:spacing w:line="360" w:lineRule="auto"/>
              <w:jc w:val="center"/>
              <w:rPr>
                <w:rFonts w:hint="eastAsia" w:ascii="宋体" w:hAnsi="宋体" w:eastAsia="宋体" w:cs="宋体"/>
                <w:color w:val="auto"/>
                <w:sz w:val="22"/>
                <w:highlight w:val="none"/>
              </w:rPr>
            </w:pPr>
          </w:p>
        </w:tc>
        <w:tc>
          <w:tcPr>
            <w:tcW w:w="1762" w:type="dxa"/>
          </w:tcPr>
          <w:p w14:paraId="08E55818">
            <w:pPr>
              <w:spacing w:line="360" w:lineRule="auto"/>
              <w:jc w:val="center"/>
              <w:rPr>
                <w:rFonts w:hint="eastAsia" w:ascii="宋体" w:hAnsi="宋体" w:eastAsia="宋体" w:cs="宋体"/>
                <w:color w:val="auto"/>
                <w:sz w:val="22"/>
                <w:highlight w:val="none"/>
              </w:rPr>
            </w:pPr>
          </w:p>
        </w:tc>
        <w:tc>
          <w:tcPr>
            <w:tcW w:w="1107" w:type="dxa"/>
            <w:vAlign w:val="center"/>
          </w:tcPr>
          <w:p w14:paraId="1517168C">
            <w:pPr>
              <w:spacing w:line="360" w:lineRule="auto"/>
              <w:jc w:val="center"/>
              <w:rPr>
                <w:rFonts w:hint="eastAsia" w:ascii="宋体" w:hAnsi="宋体" w:eastAsia="宋体" w:cs="宋体"/>
                <w:color w:val="auto"/>
                <w:sz w:val="22"/>
                <w:highlight w:val="none"/>
              </w:rPr>
            </w:pPr>
          </w:p>
        </w:tc>
      </w:tr>
      <w:tr w14:paraId="5D259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3E5BAB13">
            <w:pPr>
              <w:spacing w:line="360" w:lineRule="auto"/>
              <w:jc w:val="center"/>
              <w:rPr>
                <w:rFonts w:hint="eastAsia" w:ascii="宋体" w:hAnsi="宋体" w:eastAsia="宋体" w:cs="宋体"/>
                <w:color w:val="auto"/>
                <w:sz w:val="22"/>
                <w:highlight w:val="none"/>
              </w:rPr>
            </w:pPr>
          </w:p>
        </w:tc>
        <w:tc>
          <w:tcPr>
            <w:tcW w:w="925" w:type="dxa"/>
            <w:vAlign w:val="center"/>
          </w:tcPr>
          <w:p w14:paraId="7EDE5040">
            <w:pPr>
              <w:spacing w:line="360" w:lineRule="auto"/>
              <w:jc w:val="center"/>
              <w:rPr>
                <w:rFonts w:hint="eastAsia" w:ascii="宋体" w:hAnsi="宋体" w:eastAsia="宋体" w:cs="宋体"/>
                <w:color w:val="auto"/>
                <w:sz w:val="22"/>
                <w:highlight w:val="none"/>
              </w:rPr>
            </w:pPr>
          </w:p>
        </w:tc>
        <w:tc>
          <w:tcPr>
            <w:tcW w:w="925" w:type="dxa"/>
            <w:vAlign w:val="center"/>
          </w:tcPr>
          <w:p w14:paraId="6E332158">
            <w:pPr>
              <w:spacing w:line="360" w:lineRule="auto"/>
              <w:jc w:val="center"/>
              <w:rPr>
                <w:rFonts w:hint="eastAsia" w:ascii="宋体" w:hAnsi="宋体" w:eastAsia="宋体" w:cs="宋体"/>
                <w:color w:val="auto"/>
                <w:sz w:val="22"/>
                <w:highlight w:val="none"/>
              </w:rPr>
            </w:pPr>
          </w:p>
        </w:tc>
        <w:tc>
          <w:tcPr>
            <w:tcW w:w="740" w:type="dxa"/>
            <w:vAlign w:val="center"/>
          </w:tcPr>
          <w:p w14:paraId="39CAAFB7">
            <w:pPr>
              <w:spacing w:line="360" w:lineRule="auto"/>
              <w:jc w:val="center"/>
              <w:rPr>
                <w:rFonts w:hint="eastAsia" w:ascii="宋体" w:hAnsi="宋体" w:eastAsia="宋体" w:cs="宋体"/>
                <w:color w:val="auto"/>
                <w:sz w:val="22"/>
                <w:highlight w:val="none"/>
              </w:rPr>
            </w:pPr>
          </w:p>
        </w:tc>
        <w:tc>
          <w:tcPr>
            <w:tcW w:w="740" w:type="dxa"/>
            <w:vAlign w:val="center"/>
          </w:tcPr>
          <w:p w14:paraId="01F7CF52">
            <w:pPr>
              <w:spacing w:line="360" w:lineRule="auto"/>
              <w:jc w:val="center"/>
              <w:rPr>
                <w:rFonts w:hint="eastAsia" w:ascii="宋体" w:hAnsi="宋体" w:eastAsia="宋体" w:cs="宋体"/>
                <w:color w:val="auto"/>
                <w:sz w:val="22"/>
                <w:highlight w:val="none"/>
              </w:rPr>
            </w:pPr>
          </w:p>
        </w:tc>
        <w:tc>
          <w:tcPr>
            <w:tcW w:w="1294" w:type="dxa"/>
            <w:vAlign w:val="center"/>
          </w:tcPr>
          <w:p w14:paraId="7003FA5F">
            <w:pPr>
              <w:spacing w:line="360" w:lineRule="auto"/>
              <w:jc w:val="center"/>
              <w:rPr>
                <w:rFonts w:hint="eastAsia" w:ascii="宋体" w:hAnsi="宋体" w:eastAsia="宋体" w:cs="宋体"/>
                <w:color w:val="auto"/>
                <w:sz w:val="22"/>
                <w:highlight w:val="none"/>
              </w:rPr>
            </w:pPr>
          </w:p>
        </w:tc>
        <w:tc>
          <w:tcPr>
            <w:tcW w:w="1281" w:type="dxa"/>
            <w:vAlign w:val="center"/>
          </w:tcPr>
          <w:p w14:paraId="6F867EA2">
            <w:pPr>
              <w:spacing w:line="360" w:lineRule="auto"/>
              <w:jc w:val="center"/>
              <w:rPr>
                <w:rFonts w:hint="eastAsia" w:ascii="宋体" w:hAnsi="宋体" w:eastAsia="宋体" w:cs="宋体"/>
                <w:color w:val="auto"/>
                <w:sz w:val="22"/>
                <w:highlight w:val="none"/>
              </w:rPr>
            </w:pPr>
          </w:p>
        </w:tc>
        <w:tc>
          <w:tcPr>
            <w:tcW w:w="1762" w:type="dxa"/>
          </w:tcPr>
          <w:p w14:paraId="09E64441">
            <w:pPr>
              <w:spacing w:line="360" w:lineRule="auto"/>
              <w:jc w:val="center"/>
              <w:rPr>
                <w:rFonts w:hint="eastAsia" w:ascii="宋体" w:hAnsi="宋体" w:eastAsia="宋体" w:cs="宋体"/>
                <w:color w:val="auto"/>
                <w:sz w:val="22"/>
                <w:highlight w:val="none"/>
              </w:rPr>
            </w:pPr>
          </w:p>
        </w:tc>
        <w:tc>
          <w:tcPr>
            <w:tcW w:w="1107" w:type="dxa"/>
            <w:vAlign w:val="center"/>
          </w:tcPr>
          <w:p w14:paraId="4F1AA165">
            <w:pPr>
              <w:spacing w:line="360" w:lineRule="auto"/>
              <w:jc w:val="center"/>
              <w:rPr>
                <w:rFonts w:hint="eastAsia" w:ascii="宋体" w:hAnsi="宋体" w:eastAsia="宋体" w:cs="宋体"/>
                <w:color w:val="auto"/>
                <w:sz w:val="22"/>
                <w:highlight w:val="none"/>
              </w:rPr>
            </w:pPr>
          </w:p>
        </w:tc>
      </w:tr>
      <w:tr w14:paraId="747C8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3BD680E1">
            <w:pPr>
              <w:spacing w:line="360" w:lineRule="auto"/>
              <w:jc w:val="center"/>
              <w:rPr>
                <w:rFonts w:hint="eastAsia" w:ascii="宋体" w:hAnsi="宋体" w:eastAsia="宋体" w:cs="宋体"/>
                <w:color w:val="auto"/>
                <w:sz w:val="22"/>
                <w:highlight w:val="none"/>
              </w:rPr>
            </w:pPr>
          </w:p>
        </w:tc>
        <w:tc>
          <w:tcPr>
            <w:tcW w:w="925" w:type="dxa"/>
            <w:vAlign w:val="center"/>
          </w:tcPr>
          <w:p w14:paraId="5BD1679D">
            <w:pPr>
              <w:spacing w:line="360" w:lineRule="auto"/>
              <w:jc w:val="center"/>
              <w:rPr>
                <w:rFonts w:hint="eastAsia" w:ascii="宋体" w:hAnsi="宋体" w:eastAsia="宋体" w:cs="宋体"/>
                <w:color w:val="auto"/>
                <w:sz w:val="22"/>
                <w:highlight w:val="none"/>
              </w:rPr>
            </w:pPr>
          </w:p>
        </w:tc>
        <w:tc>
          <w:tcPr>
            <w:tcW w:w="925" w:type="dxa"/>
            <w:vAlign w:val="center"/>
          </w:tcPr>
          <w:p w14:paraId="6C888049">
            <w:pPr>
              <w:spacing w:line="360" w:lineRule="auto"/>
              <w:jc w:val="center"/>
              <w:rPr>
                <w:rFonts w:hint="eastAsia" w:ascii="宋体" w:hAnsi="宋体" w:eastAsia="宋体" w:cs="宋体"/>
                <w:color w:val="auto"/>
                <w:sz w:val="22"/>
                <w:highlight w:val="none"/>
              </w:rPr>
            </w:pPr>
          </w:p>
        </w:tc>
        <w:tc>
          <w:tcPr>
            <w:tcW w:w="740" w:type="dxa"/>
            <w:vAlign w:val="center"/>
          </w:tcPr>
          <w:p w14:paraId="270E9C9B">
            <w:pPr>
              <w:spacing w:line="360" w:lineRule="auto"/>
              <w:jc w:val="center"/>
              <w:rPr>
                <w:rFonts w:hint="eastAsia" w:ascii="宋体" w:hAnsi="宋体" w:eastAsia="宋体" w:cs="宋体"/>
                <w:color w:val="auto"/>
                <w:sz w:val="22"/>
                <w:highlight w:val="none"/>
              </w:rPr>
            </w:pPr>
          </w:p>
        </w:tc>
        <w:tc>
          <w:tcPr>
            <w:tcW w:w="740" w:type="dxa"/>
            <w:vAlign w:val="center"/>
          </w:tcPr>
          <w:p w14:paraId="4A5C49E9">
            <w:pPr>
              <w:spacing w:line="360" w:lineRule="auto"/>
              <w:jc w:val="center"/>
              <w:rPr>
                <w:rFonts w:hint="eastAsia" w:ascii="宋体" w:hAnsi="宋体" w:eastAsia="宋体" w:cs="宋体"/>
                <w:color w:val="auto"/>
                <w:sz w:val="22"/>
                <w:highlight w:val="none"/>
              </w:rPr>
            </w:pPr>
          </w:p>
        </w:tc>
        <w:tc>
          <w:tcPr>
            <w:tcW w:w="1294" w:type="dxa"/>
            <w:vAlign w:val="center"/>
          </w:tcPr>
          <w:p w14:paraId="39D8C417">
            <w:pPr>
              <w:spacing w:line="360" w:lineRule="auto"/>
              <w:jc w:val="center"/>
              <w:rPr>
                <w:rFonts w:hint="eastAsia" w:ascii="宋体" w:hAnsi="宋体" w:eastAsia="宋体" w:cs="宋体"/>
                <w:color w:val="auto"/>
                <w:sz w:val="22"/>
                <w:highlight w:val="none"/>
              </w:rPr>
            </w:pPr>
          </w:p>
        </w:tc>
        <w:tc>
          <w:tcPr>
            <w:tcW w:w="1281" w:type="dxa"/>
            <w:vAlign w:val="center"/>
          </w:tcPr>
          <w:p w14:paraId="6EF18663">
            <w:pPr>
              <w:spacing w:line="360" w:lineRule="auto"/>
              <w:jc w:val="center"/>
              <w:rPr>
                <w:rFonts w:hint="eastAsia" w:ascii="宋体" w:hAnsi="宋体" w:eastAsia="宋体" w:cs="宋体"/>
                <w:color w:val="auto"/>
                <w:sz w:val="22"/>
                <w:highlight w:val="none"/>
              </w:rPr>
            </w:pPr>
          </w:p>
        </w:tc>
        <w:tc>
          <w:tcPr>
            <w:tcW w:w="1762" w:type="dxa"/>
          </w:tcPr>
          <w:p w14:paraId="25CF751F">
            <w:pPr>
              <w:spacing w:line="360" w:lineRule="auto"/>
              <w:jc w:val="center"/>
              <w:rPr>
                <w:rFonts w:hint="eastAsia" w:ascii="宋体" w:hAnsi="宋体" w:eastAsia="宋体" w:cs="宋体"/>
                <w:color w:val="auto"/>
                <w:sz w:val="22"/>
                <w:highlight w:val="none"/>
              </w:rPr>
            </w:pPr>
          </w:p>
        </w:tc>
        <w:tc>
          <w:tcPr>
            <w:tcW w:w="1107" w:type="dxa"/>
            <w:vAlign w:val="center"/>
          </w:tcPr>
          <w:p w14:paraId="0BD9E5F0">
            <w:pPr>
              <w:spacing w:line="360" w:lineRule="auto"/>
              <w:jc w:val="center"/>
              <w:rPr>
                <w:rFonts w:hint="eastAsia" w:ascii="宋体" w:hAnsi="宋体" w:eastAsia="宋体" w:cs="宋体"/>
                <w:color w:val="auto"/>
                <w:sz w:val="22"/>
                <w:highlight w:val="none"/>
              </w:rPr>
            </w:pPr>
          </w:p>
        </w:tc>
      </w:tr>
      <w:tr w14:paraId="44007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01D0BDB3">
            <w:pPr>
              <w:spacing w:line="360" w:lineRule="auto"/>
              <w:jc w:val="center"/>
              <w:rPr>
                <w:rFonts w:hint="eastAsia" w:ascii="宋体" w:hAnsi="宋体" w:eastAsia="宋体" w:cs="宋体"/>
                <w:color w:val="auto"/>
                <w:sz w:val="22"/>
                <w:highlight w:val="none"/>
              </w:rPr>
            </w:pPr>
          </w:p>
        </w:tc>
        <w:tc>
          <w:tcPr>
            <w:tcW w:w="925" w:type="dxa"/>
            <w:vAlign w:val="center"/>
          </w:tcPr>
          <w:p w14:paraId="166D6837">
            <w:pPr>
              <w:spacing w:line="360" w:lineRule="auto"/>
              <w:jc w:val="center"/>
              <w:rPr>
                <w:rFonts w:hint="eastAsia" w:ascii="宋体" w:hAnsi="宋体" w:eastAsia="宋体" w:cs="宋体"/>
                <w:color w:val="auto"/>
                <w:sz w:val="22"/>
                <w:highlight w:val="none"/>
              </w:rPr>
            </w:pPr>
          </w:p>
        </w:tc>
        <w:tc>
          <w:tcPr>
            <w:tcW w:w="925" w:type="dxa"/>
            <w:vAlign w:val="center"/>
          </w:tcPr>
          <w:p w14:paraId="2008CC96">
            <w:pPr>
              <w:spacing w:line="360" w:lineRule="auto"/>
              <w:jc w:val="center"/>
              <w:rPr>
                <w:rFonts w:hint="eastAsia" w:ascii="宋体" w:hAnsi="宋体" w:eastAsia="宋体" w:cs="宋体"/>
                <w:color w:val="auto"/>
                <w:sz w:val="22"/>
                <w:highlight w:val="none"/>
              </w:rPr>
            </w:pPr>
          </w:p>
        </w:tc>
        <w:tc>
          <w:tcPr>
            <w:tcW w:w="740" w:type="dxa"/>
            <w:vAlign w:val="center"/>
          </w:tcPr>
          <w:p w14:paraId="3C041809">
            <w:pPr>
              <w:spacing w:line="360" w:lineRule="auto"/>
              <w:jc w:val="center"/>
              <w:rPr>
                <w:rFonts w:hint="eastAsia" w:ascii="宋体" w:hAnsi="宋体" w:eastAsia="宋体" w:cs="宋体"/>
                <w:color w:val="auto"/>
                <w:sz w:val="22"/>
                <w:highlight w:val="none"/>
              </w:rPr>
            </w:pPr>
          </w:p>
        </w:tc>
        <w:tc>
          <w:tcPr>
            <w:tcW w:w="740" w:type="dxa"/>
            <w:vAlign w:val="center"/>
          </w:tcPr>
          <w:p w14:paraId="6E50D4EB">
            <w:pPr>
              <w:spacing w:line="360" w:lineRule="auto"/>
              <w:jc w:val="center"/>
              <w:rPr>
                <w:rFonts w:hint="eastAsia" w:ascii="宋体" w:hAnsi="宋体" w:eastAsia="宋体" w:cs="宋体"/>
                <w:color w:val="auto"/>
                <w:sz w:val="22"/>
                <w:highlight w:val="none"/>
              </w:rPr>
            </w:pPr>
          </w:p>
        </w:tc>
        <w:tc>
          <w:tcPr>
            <w:tcW w:w="1294" w:type="dxa"/>
            <w:vAlign w:val="center"/>
          </w:tcPr>
          <w:p w14:paraId="4D2BA24C">
            <w:pPr>
              <w:spacing w:line="360" w:lineRule="auto"/>
              <w:jc w:val="center"/>
              <w:rPr>
                <w:rFonts w:hint="eastAsia" w:ascii="宋体" w:hAnsi="宋体" w:eastAsia="宋体" w:cs="宋体"/>
                <w:color w:val="auto"/>
                <w:sz w:val="22"/>
                <w:highlight w:val="none"/>
              </w:rPr>
            </w:pPr>
          </w:p>
        </w:tc>
        <w:tc>
          <w:tcPr>
            <w:tcW w:w="1281" w:type="dxa"/>
            <w:vAlign w:val="center"/>
          </w:tcPr>
          <w:p w14:paraId="600FEC46">
            <w:pPr>
              <w:spacing w:line="360" w:lineRule="auto"/>
              <w:jc w:val="center"/>
              <w:rPr>
                <w:rFonts w:hint="eastAsia" w:ascii="宋体" w:hAnsi="宋体" w:eastAsia="宋体" w:cs="宋体"/>
                <w:color w:val="auto"/>
                <w:sz w:val="22"/>
                <w:highlight w:val="none"/>
              </w:rPr>
            </w:pPr>
          </w:p>
        </w:tc>
        <w:tc>
          <w:tcPr>
            <w:tcW w:w="1762" w:type="dxa"/>
          </w:tcPr>
          <w:p w14:paraId="50BE7983">
            <w:pPr>
              <w:spacing w:line="360" w:lineRule="auto"/>
              <w:jc w:val="center"/>
              <w:rPr>
                <w:rFonts w:hint="eastAsia" w:ascii="宋体" w:hAnsi="宋体" w:eastAsia="宋体" w:cs="宋体"/>
                <w:color w:val="auto"/>
                <w:sz w:val="22"/>
                <w:highlight w:val="none"/>
              </w:rPr>
            </w:pPr>
          </w:p>
        </w:tc>
        <w:tc>
          <w:tcPr>
            <w:tcW w:w="1107" w:type="dxa"/>
            <w:vAlign w:val="center"/>
          </w:tcPr>
          <w:p w14:paraId="118E3795">
            <w:pPr>
              <w:spacing w:line="360" w:lineRule="auto"/>
              <w:jc w:val="center"/>
              <w:rPr>
                <w:rFonts w:hint="eastAsia" w:ascii="宋体" w:hAnsi="宋体" w:eastAsia="宋体" w:cs="宋体"/>
                <w:color w:val="auto"/>
                <w:sz w:val="22"/>
                <w:highlight w:val="none"/>
              </w:rPr>
            </w:pPr>
          </w:p>
        </w:tc>
      </w:tr>
      <w:tr w14:paraId="56AD2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054F1431">
            <w:pPr>
              <w:spacing w:line="360" w:lineRule="auto"/>
              <w:jc w:val="center"/>
              <w:rPr>
                <w:rFonts w:hint="eastAsia" w:ascii="宋体" w:hAnsi="宋体" w:eastAsia="宋体" w:cs="宋体"/>
                <w:color w:val="auto"/>
                <w:sz w:val="22"/>
                <w:highlight w:val="none"/>
              </w:rPr>
            </w:pPr>
          </w:p>
        </w:tc>
        <w:tc>
          <w:tcPr>
            <w:tcW w:w="925" w:type="dxa"/>
            <w:vAlign w:val="center"/>
          </w:tcPr>
          <w:p w14:paraId="0AA1815C">
            <w:pPr>
              <w:spacing w:line="360" w:lineRule="auto"/>
              <w:jc w:val="center"/>
              <w:rPr>
                <w:rFonts w:hint="eastAsia" w:ascii="宋体" w:hAnsi="宋体" w:eastAsia="宋体" w:cs="宋体"/>
                <w:color w:val="auto"/>
                <w:sz w:val="22"/>
                <w:highlight w:val="none"/>
              </w:rPr>
            </w:pPr>
          </w:p>
        </w:tc>
        <w:tc>
          <w:tcPr>
            <w:tcW w:w="925" w:type="dxa"/>
            <w:vAlign w:val="center"/>
          </w:tcPr>
          <w:p w14:paraId="39234975">
            <w:pPr>
              <w:spacing w:line="360" w:lineRule="auto"/>
              <w:jc w:val="center"/>
              <w:rPr>
                <w:rFonts w:hint="eastAsia" w:ascii="宋体" w:hAnsi="宋体" w:eastAsia="宋体" w:cs="宋体"/>
                <w:color w:val="auto"/>
                <w:sz w:val="22"/>
                <w:highlight w:val="none"/>
              </w:rPr>
            </w:pPr>
          </w:p>
        </w:tc>
        <w:tc>
          <w:tcPr>
            <w:tcW w:w="740" w:type="dxa"/>
            <w:vAlign w:val="center"/>
          </w:tcPr>
          <w:p w14:paraId="2EE7F300">
            <w:pPr>
              <w:spacing w:line="360" w:lineRule="auto"/>
              <w:jc w:val="center"/>
              <w:rPr>
                <w:rFonts w:hint="eastAsia" w:ascii="宋体" w:hAnsi="宋体" w:eastAsia="宋体" w:cs="宋体"/>
                <w:color w:val="auto"/>
                <w:sz w:val="22"/>
                <w:highlight w:val="none"/>
              </w:rPr>
            </w:pPr>
          </w:p>
        </w:tc>
        <w:tc>
          <w:tcPr>
            <w:tcW w:w="740" w:type="dxa"/>
            <w:vAlign w:val="center"/>
          </w:tcPr>
          <w:p w14:paraId="181EBEB7">
            <w:pPr>
              <w:spacing w:line="360" w:lineRule="auto"/>
              <w:jc w:val="center"/>
              <w:rPr>
                <w:rFonts w:hint="eastAsia" w:ascii="宋体" w:hAnsi="宋体" w:eastAsia="宋体" w:cs="宋体"/>
                <w:color w:val="auto"/>
                <w:sz w:val="22"/>
                <w:highlight w:val="none"/>
              </w:rPr>
            </w:pPr>
          </w:p>
        </w:tc>
        <w:tc>
          <w:tcPr>
            <w:tcW w:w="1294" w:type="dxa"/>
            <w:vAlign w:val="center"/>
          </w:tcPr>
          <w:p w14:paraId="0B50533A">
            <w:pPr>
              <w:spacing w:line="360" w:lineRule="auto"/>
              <w:jc w:val="center"/>
              <w:rPr>
                <w:rFonts w:hint="eastAsia" w:ascii="宋体" w:hAnsi="宋体" w:eastAsia="宋体" w:cs="宋体"/>
                <w:color w:val="auto"/>
                <w:sz w:val="22"/>
                <w:highlight w:val="none"/>
              </w:rPr>
            </w:pPr>
          </w:p>
        </w:tc>
        <w:tc>
          <w:tcPr>
            <w:tcW w:w="1281" w:type="dxa"/>
            <w:vAlign w:val="center"/>
          </w:tcPr>
          <w:p w14:paraId="61F58229">
            <w:pPr>
              <w:spacing w:line="360" w:lineRule="auto"/>
              <w:jc w:val="center"/>
              <w:rPr>
                <w:rFonts w:hint="eastAsia" w:ascii="宋体" w:hAnsi="宋体" w:eastAsia="宋体" w:cs="宋体"/>
                <w:color w:val="auto"/>
                <w:sz w:val="22"/>
                <w:highlight w:val="none"/>
              </w:rPr>
            </w:pPr>
          </w:p>
        </w:tc>
        <w:tc>
          <w:tcPr>
            <w:tcW w:w="1762" w:type="dxa"/>
          </w:tcPr>
          <w:p w14:paraId="507DC71C">
            <w:pPr>
              <w:spacing w:line="360" w:lineRule="auto"/>
              <w:jc w:val="center"/>
              <w:rPr>
                <w:rFonts w:hint="eastAsia" w:ascii="宋体" w:hAnsi="宋体" w:eastAsia="宋体" w:cs="宋体"/>
                <w:color w:val="auto"/>
                <w:sz w:val="22"/>
                <w:highlight w:val="none"/>
              </w:rPr>
            </w:pPr>
          </w:p>
        </w:tc>
        <w:tc>
          <w:tcPr>
            <w:tcW w:w="1107" w:type="dxa"/>
            <w:vAlign w:val="center"/>
          </w:tcPr>
          <w:p w14:paraId="1650C64B">
            <w:pPr>
              <w:spacing w:line="360" w:lineRule="auto"/>
              <w:jc w:val="center"/>
              <w:rPr>
                <w:rFonts w:hint="eastAsia" w:ascii="宋体" w:hAnsi="宋体" w:eastAsia="宋体" w:cs="宋体"/>
                <w:color w:val="auto"/>
                <w:sz w:val="22"/>
                <w:highlight w:val="none"/>
              </w:rPr>
            </w:pPr>
          </w:p>
        </w:tc>
      </w:tr>
      <w:tr w14:paraId="7EA273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16966349">
            <w:pPr>
              <w:spacing w:line="360" w:lineRule="auto"/>
              <w:jc w:val="center"/>
              <w:rPr>
                <w:rFonts w:hint="eastAsia" w:ascii="宋体" w:hAnsi="宋体" w:eastAsia="宋体" w:cs="宋体"/>
                <w:color w:val="auto"/>
                <w:sz w:val="22"/>
                <w:highlight w:val="none"/>
              </w:rPr>
            </w:pPr>
          </w:p>
        </w:tc>
        <w:tc>
          <w:tcPr>
            <w:tcW w:w="925" w:type="dxa"/>
            <w:vAlign w:val="center"/>
          </w:tcPr>
          <w:p w14:paraId="1C1C380D">
            <w:pPr>
              <w:spacing w:line="360" w:lineRule="auto"/>
              <w:jc w:val="center"/>
              <w:rPr>
                <w:rFonts w:hint="eastAsia" w:ascii="宋体" w:hAnsi="宋体" w:eastAsia="宋体" w:cs="宋体"/>
                <w:color w:val="auto"/>
                <w:sz w:val="22"/>
                <w:highlight w:val="none"/>
              </w:rPr>
            </w:pPr>
          </w:p>
        </w:tc>
        <w:tc>
          <w:tcPr>
            <w:tcW w:w="925" w:type="dxa"/>
            <w:vAlign w:val="center"/>
          </w:tcPr>
          <w:p w14:paraId="141F406C">
            <w:pPr>
              <w:spacing w:line="360" w:lineRule="auto"/>
              <w:jc w:val="center"/>
              <w:rPr>
                <w:rFonts w:hint="eastAsia" w:ascii="宋体" w:hAnsi="宋体" w:eastAsia="宋体" w:cs="宋体"/>
                <w:color w:val="auto"/>
                <w:sz w:val="22"/>
                <w:highlight w:val="none"/>
              </w:rPr>
            </w:pPr>
          </w:p>
        </w:tc>
        <w:tc>
          <w:tcPr>
            <w:tcW w:w="740" w:type="dxa"/>
            <w:vAlign w:val="center"/>
          </w:tcPr>
          <w:p w14:paraId="3BDB553B">
            <w:pPr>
              <w:spacing w:line="360" w:lineRule="auto"/>
              <w:jc w:val="center"/>
              <w:rPr>
                <w:rFonts w:hint="eastAsia" w:ascii="宋体" w:hAnsi="宋体" w:eastAsia="宋体" w:cs="宋体"/>
                <w:color w:val="auto"/>
                <w:sz w:val="22"/>
                <w:highlight w:val="none"/>
              </w:rPr>
            </w:pPr>
          </w:p>
        </w:tc>
        <w:tc>
          <w:tcPr>
            <w:tcW w:w="740" w:type="dxa"/>
            <w:vAlign w:val="center"/>
          </w:tcPr>
          <w:p w14:paraId="23FBC024">
            <w:pPr>
              <w:spacing w:line="360" w:lineRule="auto"/>
              <w:jc w:val="center"/>
              <w:rPr>
                <w:rFonts w:hint="eastAsia" w:ascii="宋体" w:hAnsi="宋体" w:eastAsia="宋体" w:cs="宋体"/>
                <w:color w:val="auto"/>
                <w:sz w:val="22"/>
                <w:highlight w:val="none"/>
              </w:rPr>
            </w:pPr>
          </w:p>
        </w:tc>
        <w:tc>
          <w:tcPr>
            <w:tcW w:w="1294" w:type="dxa"/>
            <w:vAlign w:val="center"/>
          </w:tcPr>
          <w:p w14:paraId="0615F581">
            <w:pPr>
              <w:spacing w:line="360" w:lineRule="auto"/>
              <w:jc w:val="center"/>
              <w:rPr>
                <w:rFonts w:hint="eastAsia" w:ascii="宋体" w:hAnsi="宋体" w:eastAsia="宋体" w:cs="宋体"/>
                <w:color w:val="auto"/>
                <w:sz w:val="22"/>
                <w:highlight w:val="none"/>
              </w:rPr>
            </w:pPr>
          </w:p>
        </w:tc>
        <w:tc>
          <w:tcPr>
            <w:tcW w:w="1281" w:type="dxa"/>
            <w:vAlign w:val="center"/>
          </w:tcPr>
          <w:p w14:paraId="60D37784">
            <w:pPr>
              <w:spacing w:line="360" w:lineRule="auto"/>
              <w:jc w:val="center"/>
              <w:rPr>
                <w:rFonts w:hint="eastAsia" w:ascii="宋体" w:hAnsi="宋体" w:eastAsia="宋体" w:cs="宋体"/>
                <w:color w:val="auto"/>
                <w:sz w:val="22"/>
                <w:highlight w:val="none"/>
              </w:rPr>
            </w:pPr>
          </w:p>
        </w:tc>
        <w:tc>
          <w:tcPr>
            <w:tcW w:w="1762" w:type="dxa"/>
          </w:tcPr>
          <w:p w14:paraId="4FF61389">
            <w:pPr>
              <w:spacing w:line="360" w:lineRule="auto"/>
              <w:jc w:val="center"/>
              <w:rPr>
                <w:rFonts w:hint="eastAsia" w:ascii="宋体" w:hAnsi="宋体" w:eastAsia="宋体" w:cs="宋体"/>
                <w:color w:val="auto"/>
                <w:sz w:val="22"/>
                <w:highlight w:val="none"/>
              </w:rPr>
            </w:pPr>
          </w:p>
        </w:tc>
        <w:tc>
          <w:tcPr>
            <w:tcW w:w="1107" w:type="dxa"/>
            <w:vAlign w:val="center"/>
          </w:tcPr>
          <w:p w14:paraId="422D4A8D">
            <w:pPr>
              <w:spacing w:line="360" w:lineRule="auto"/>
              <w:jc w:val="center"/>
              <w:rPr>
                <w:rFonts w:hint="eastAsia" w:ascii="宋体" w:hAnsi="宋体" w:eastAsia="宋体" w:cs="宋体"/>
                <w:color w:val="auto"/>
                <w:sz w:val="22"/>
                <w:highlight w:val="none"/>
              </w:rPr>
            </w:pPr>
          </w:p>
        </w:tc>
      </w:tr>
      <w:tr w14:paraId="5149F2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18134437">
            <w:pPr>
              <w:spacing w:line="360" w:lineRule="auto"/>
              <w:jc w:val="center"/>
              <w:rPr>
                <w:rFonts w:hint="eastAsia" w:ascii="宋体" w:hAnsi="宋体" w:eastAsia="宋体" w:cs="宋体"/>
                <w:color w:val="auto"/>
                <w:sz w:val="22"/>
                <w:highlight w:val="none"/>
              </w:rPr>
            </w:pPr>
          </w:p>
        </w:tc>
        <w:tc>
          <w:tcPr>
            <w:tcW w:w="925" w:type="dxa"/>
            <w:vAlign w:val="center"/>
          </w:tcPr>
          <w:p w14:paraId="257D2A40">
            <w:pPr>
              <w:spacing w:line="360" w:lineRule="auto"/>
              <w:jc w:val="center"/>
              <w:rPr>
                <w:rFonts w:hint="eastAsia" w:ascii="宋体" w:hAnsi="宋体" w:eastAsia="宋体" w:cs="宋体"/>
                <w:color w:val="auto"/>
                <w:sz w:val="22"/>
                <w:highlight w:val="none"/>
              </w:rPr>
            </w:pPr>
          </w:p>
        </w:tc>
        <w:tc>
          <w:tcPr>
            <w:tcW w:w="925" w:type="dxa"/>
            <w:vAlign w:val="center"/>
          </w:tcPr>
          <w:p w14:paraId="4A556D60">
            <w:pPr>
              <w:spacing w:line="360" w:lineRule="auto"/>
              <w:jc w:val="center"/>
              <w:rPr>
                <w:rFonts w:hint="eastAsia" w:ascii="宋体" w:hAnsi="宋体" w:eastAsia="宋体" w:cs="宋体"/>
                <w:color w:val="auto"/>
                <w:sz w:val="22"/>
                <w:highlight w:val="none"/>
              </w:rPr>
            </w:pPr>
          </w:p>
        </w:tc>
        <w:tc>
          <w:tcPr>
            <w:tcW w:w="740" w:type="dxa"/>
            <w:vAlign w:val="center"/>
          </w:tcPr>
          <w:p w14:paraId="28B9239C">
            <w:pPr>
              <w:spacing w:line="360" w:lineRule="auto"/>
              <w:jc w:val="center"/>
              <w:rPr>
                <w:rFonts w:hint="eastAsia" w:ascii="宋体" w:hAnsi="宋体" w:eastAsia="宋体" w:cs="宋体"/>
                <w:color w:val="auto"/>
                <w:sz w:val="22"/>
                <w:highlight w:val="none"/>
              </w:rPr>
            </w:pPr>
          </w:p>
        </w:tc>
        <w:tc>
          <w:tcPr>
            <w:tcW w:w="740" w:type="dxa"/>
            <w:vAlign w:val="center"/>
          </w:tcPr>
          <w:p w14:paraId="26C0B881">
            <w:pPr>
              <w:spacing w:line="360" w:lineRule="auto"/>
              <w:jc w:val="center"/>
              <w:rPr>
                <w:rFonts w:hint="eastAsia" w:ascii="宋体" w:hAnsi="宋体" w:eastAsia="宋体" w:cs="宋体"/>
                <w:color w:val="auto"/>
                <w:sz w:val="22"/>
                <w:highlight w:val="none"/>
              </w:rPr>
            </w:pPr>
          </w:p>
        </w:tc>
        <w:tc>
          <w:tcPr>
            <w:tcW w:w="1294" w:type="dxa"/>
            <w:vAlign w:val="center"/>
          </w:tcPr>
          <w:p w14:paraId="58D69C8B">
            <w:pPr>
              <w:spacing w:line="360" w:lineRule="auto"/>
              <w:jc w:val="center"/>
              <w:rPr>
                <w:rFonts w:hint="eastAsia" w:ascii="宋体" w:hAnsi="宋体" w:eastAsia="宋体" w:cs="宋体"/>
                <w:color w:val="auto"/>
                <w:sz w:val="22"/>
                <w:highlight w:val="none"/>
              </w:rPr>
            </w:pPr>
          </w:p>
        </w:tc>
        <w:tc>
          <w:tcPr>
            <w:tcW w:w="1281" w:type="dxa"/>
            <w:vAlign w:val="center"/>
          </w:tcPr>
          <w:p w14:paraId="787D0DF8">
            <w:pPr>
              <w:spacing w:line="360" w:lineRule="auto"/>
              <w:jc w:val="center"/>
              <w:rPr>
                <w:rFonts w:hint="eastAsia" w:ascii="宋体" w:hAnsi="宋体" w:eastAsia="宋体" w:cs="宋体"/>
                <w:color w:val="auto"/>
                <w:sz w:val="22"/>
                <w:highlight w:val="none"/>
              </w:rPr>
            </w:pPr>
          </w:p>
        </w:tc>
        <w:tc>
          <w:tcPr>
            <w:tcW w:w="1762" w:type="dxa"/>
          </w:tcPr>
          <w:p w14:paraId="52D83CFD">
            <w:pPr>
              <w:spacing w:line="360" w:lineRule="auto"/>
              <w:jc w:val="center"/>
              <w:rPr>
                <w:rFonts w:hint="eastAsia" w:ascii="宋体" w:hAnsi="宋体" w:eastAsia="宋体" w:cs="宋体"/>
                <w:color w:val="auto"/>
                <w:sz w:val="22"/>
                <w:highlight w:val="none"/>
              </w:rPr>
            </w:pPr>
          </w:p>
        </w:tc>
        <w:tc>
          <w:tcPr>
            <w:tcW w:w="1107" w:type="dxa"/>
            <w:vAlign w:val="center"/>
          </w:tcPr>
          <w:p w14:paraId="1208E519">
            <w:pPr>
              <w:spacing w:line="360" w:lineRule="auto"/>
              <w:jc w:val="center"/>
              <w:rPr>
                <w:rFonts w:hint="eastAsia" w:ascii="宋体" w:hAnsi="宋体" w:eastAsia="宋体" w:cs="宋体"/>
                <w:color w:val="auto"/>
                <w:sz w:val="22"/>
                <w:highlight w:val="none"/>
              </w:rPr>
            </w:pPr>
          </w:p>
        </w:tc>
      </w:tr>
      <w:tr w14:paraId="6F3CE8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662890AA">
            <w:pPr>
              <w:spacing w:line="360" w:lineRule="auto"/>
              <w:jc w:val="center"/>
              <w:rPr>
                <w:rFonts w:hint="eastAsia" w:ascii="宋体" w:hAnsi="宋体" w:eastAsia="宋体" w:cs="宋体"/>
                <w:color w:val="auto"/>
                <w:sz w:val="22"/>
                <w:highlight w:val="none"/>
              </w:rPr>
            </w:pPr>
          </w:p>
        </w:tc>
        <w:tc>
          <w:tcPr>
            <w:tcW w:w="925" w:type="dxa"/>
            <w:vAlign w:val="center"/>
          </w:tcPr>
          <w:p w14:paraId="7EF3A3A4">
            <w:pPr>
              <w:spacing w:line="360" w:lineRule="auto"/>
              <w:jc w:val="center"/>
              <w:rPr>
                <w:rFonts w:hint="eastAsia" w:ascii="宋体" w:hAnsi="宋体" w:eastAsia="宋体" w:cs="宋体"/>
                <w:color w:val="auto"/>
                <w:sz w:val="22"/>
                <w:highlight w:val="none"/>
              </w:rPr>
            </w:pPr>
          </w:p>
        </w:tc>
        <w:tc>
          <w:tcPr>
            <w:tcW w:w="925" w:type="dxa"/>
            <w:vAlign w:val="center"/>
          </w:tcPr>
          <w:p w14:paraId="38A12E03">
            <w:pPr>
              <w:spacing w:line="360" w:lineRule="auto"/>
              <w:jc w:val="center"/>
              <w:rPr>
                <w:rFonts w:hint="eastAsia" w:ascii="宋体" w:hAnsi="宋体" w:eastAsia="宋体" w:cs="宋体"/>
                <w:color w:val="auto"/>
                <w:sz w:val="22"/>
                <w:highlight w:val="none"/>
              </w:rPr>
            </w:pPr>
          </w:p>
        </w:tc>
        <w:tc>
          <w:tcPr>
            <w:tcW w:w="740" w:type="dxa"/>
            <w:vAlign w:val="center"/>
          </w:tcPr>
          <w:p w14:paraId="42B5B1FD">
            <w:pPr>
              <w:spacing w:line="360" w:lineRule="auto"/>
              <w:jc w:val="center"/>
              <w:rPr>
                <w:rFonts w:hint="eastAsia" w:ascii="宋体" w:hAnsi="宋体" w:eastAsia="宋体" w:cs="宋体"/>
                <w:color w:val="auto"/>
                <w:sz w:val="22"/>
                <w:highlight w:val="none"/>
              </w:rPr>
            </w:pPr>
          </w:p>
        </w:tc>
        <w:tc>
          <w:tcPr>
            <w:tcW w:w="740" w:type="dxa"/>
            <w:vAlign w:val="center"/>
          </w:tcPr>
          <w:p w14:paraId="254AAE5A">
            <w:pPr>
              <w:spacing w:line="360" w:lineRule="auto"/>
              <w:jc w:val="center"/>
              <w:rPr>
                <w:rFonts w:hint="eastAsia" w:ascii="宋体" w:hAnsi="宋体" w:eastAsia="宋体" w:cs="宋体"/>
                <w:color w:val="auto"/>
                <w:sz w:val="22"/>
                <w:highlight w:val="none"/>
              </w:rPr>
            </w:pPr>
          </w:p>
        </w:tc>
        <w:tc>
          <w:tcPr>
            <w:tcW w:w="1294" w:type="dxa"/>
            <w:vAlign w:val="center"/>
          </w:tcPr>
          <w:p w14:paraId="38B098B0">
            <w:pPr>
              <w:spacing w:line="360" w:lineRule="auto"/>
              <w:jc w:val="center"/>
              <w:rPr>
                <w:rFonts w:hint="eastAsia" w:ascii="宋体" w:hAnsi="宋体" w:eastAsia="宋体" w:cs="宋体"/>
                <w:color w:val="auto"/>
                <w:sz w:val="22"/>
                <w:highlight w:val="none"/>
              </w:rPr>
            </w:pPr>
          </w:p>
        </w:tc>
        <w:tc>
          <w:tcPr>
            <w:tcW w:w="1281" w:type="dxa"/>
            <w:vAlign w:val="center"/>
          </w:tcPr>
          <w:p w14:paraId="06D57ACF">
            <w:pPr>
              <w:spacing w:line="360" w:lineRule="auto"/>
              <w:jc w:val="center"/>
              <w:rPr>
                <w:rFonts w:hint="eastAsia" w:ascii="宋体" w:hAnsi="宋体" w:eastAsia="宋体" w:cs="宋体"/>
                <w:color w:val="auto"/>
                <w:sz w:val="22"/>
                <w:highlight w:val="none"/>
              </w:rPr>
            </w:pPr>
          </w:p>
        </w:tc>
        <w:tc>
          <w:tcPr>
            <w:tcW w:w="1762" w:type="dxa"/>
          </w:tcPr>
          <w:p w14:paraId="14B9901A">
            <w:pPr>
              <w:spacing w:line="360" w:lineRule="auto"/>
              <w:jc w:val="center"/>
              <w:rPr>
                <w:rFonts w:hint="eastAsia" w:ascii="宋体" w:hAnsi="宋体" w:eastAsia="宋体" w:cs="宋体"/>
                <w:color w:val="auto"/>
                <w:sz w:val="22"/>
                <w:highlight w:val="none"/>
              </w:rPr>
            </w:pPr>
          </w:p>
        </w:tc>
        <w:tc>
          <w:tcPr>
            <w:tcW w:w="1107" w:type="dxa"/>
            <w:vAlign w:val="center"/>
          </w:tcPr>
          <w:p w14:paraId="2626B6C6">
            <w:pPr>
              <w:spacing w:line="360" w:lineRule="auto"/>
              <w:jc w:val="center"/>
              <w:rPr>
                <w:rFonts w:hint="eastAsia" w:ascii="宋体" w:hAnsi="宋体" w:eastAsia="宋体" w:cs="宋体"/>
                <w:color w:val="auto"/>
                <w:sz w:val="22"/>
                <w:highlight w:val="none"/>
              </w:rPr>
            </w:pPr>
          </w:p>
        </w:tc>
      </w:tr>
      <w:tr w14:paraId="0931D3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60F32176">
            <w:pPr>
              <w:spacing w:line="360" w:lineRule="auto"/>
              <w:jc w:val="center"/>
              <w:rPr>
                <w:rFonts w:hint="eastAsia" w:ascii="宋体" w:hAnsi="宋体" w:eastAsia="宋体" w:cs="宋体"/>
                <w:color w:val="auto"/>
                <w:sz w:val="22"/>
                <w:highlight w:val="none"/>
              </w:rPr>
            </w:pPr>
          </w:p>
        </w:tc>
        <w:tc>
          <w:tcPr>
            <w:tcW w:w="925" w:type="dxa"/>
            <w:vAlign w:val="center"/>
          </w:tcPr>
          <w:p w14:paraId="182F1CDE">
            <w:pPr>
              <w:spacing w:line="360" w:lineRule="auto"/>
              <w:jc w:val="center"/>
              <w:rPr>
                <w:rFonts w:hint="eastAsia" w:ascii="宋体" w:hAnsi="宋体" w:eastAsia="宋体" w:cs="宋体"/>
                <w:color w:val="auto"/>
                <w:sz w:val="22"/>
                <w:highlight w:val="none"/>
              </w:rPr>
            </w:pPr>
          </w:p>
        </w:tc>
        <w:tc>
          <w:tcPr>
            <w:tcW w:w="925" w:type="dxa"/>
            <w:vAlign w:val="center"/>
          </w:tcPr>
          <w:p w14:paraId="5114F341">
            <w:pPr>
              <w:spacing w:line="360" w:lineRule="auto"/>
              <w:jc w:val="center"/>
              <w:rPr>
                <w:rFonts w:hint="eastAsia" w:ascii="宋体" w:hAnsi="宋体" w:eastAsia="宋体" w:cs="宋体"/>
                <w:color w:val="auto"/>
                <w:sz w:val="22"/>
                <w:highlight w:val="none"/>
              </w:rPr>
            </w:pPr>
          </w:p>
        </w:tc>
        <w:tc>
          <w:tcPr>
            <w:tcW w:w="740" w:type="dxa"/>
            <w:vAlign w:val="center"/>
          </w:tcPr>
          <w:p w14:paraId="240A83AF">
            <w:pPr>
              <w:spacing w:line="360" w:lineRule="auto"/>
              <w:jc w:val="center"/>
              <w:rPr>
                <w:rFonts w:hint="eastAsia" w:ascii="宋体" w:hAnsi="宋体" w:eastAsia="宋体" w:cs="宋体"/>
                <w:color w:val="auto"/>
                <w:sz w:val="22"/>
                <w:highlight w:val="none"/>
              </w:rPr>
            </w:pPr>
          </w:p>
        </w:tc>
        <w:tc>
          <w:tcPr>
            <w:tcW w:w="740" w:type="dxa"/>
            <w:vAlign w:val="center"/>
          </w:tcPr>
          <w:p w14:paraId="06C36693">
            <w:pPr>
              <w:spacing w:line="360" w:lineRule="auto"/>
              <w:jc w:val="center"/>
              <w:rPr>
                <w:rFonts w:hint="eastAsia" w:ascii="宋体" w:hAnsi="宋体" w:eastAsia="宋体" w:cs="宋体"/>
                <w:color w:val="auto"/>
                <w:sz w:val="22"/>
                <w:highlight w:val="none"/>
              </w:rPr>
            </w:pPr>
          </w:p>
        </w:tc>
        <w:tc>
          <w:tcPr>
            <w:tcW w:w="1294" w:type="dxa"/>
            <w:vAlign w:val="center"/>
          </w:tcPr>
          <w:p w14:paraId="203AA56E">
            <w:pPr>
              <w:spacing w:line="360" w:lineRule="auto"/>
              <w:jc w:val="center"/>
              <w:rPr>
                <w:rFonts w:hint="eastAsia" w:ascii="宋体" w:hAnsi="宋体" w:eastAsia="宋体" w:cs="宋体"/>
                <w:color w:val="auto"/>
                <w:sz w:val="22"/>
                <w:highlight w:val="none"/>
              </w:rPr>
            </w:pPr>
          </w:p>
        </w:tc>
        <w:tc>
          <w:tcPr>
            <w:tcW w:w="1281" w:type="dxa"/>
            <w:vAlign w:val="center"/>
          </w:tcPr>
          <w:p w14:paraId="602A962F">
            <w:pPr>
              <w:spacing w:line="360" w:lineRule="auto"/>
              <w:jc w:val="center"/>
              <w:rPr>
                <w:rFonts w:hint="eastAsia" w:ascii="宋体" w:hAnsi="宋体" w:eastAsia="宋体" w:cs="宋体"/>
                <w:color w:val="auto"/>
                <w:sz w:val="22"/>
                <w:highlight w:val="none"/>
              </w:rPr>
            </w:pPr>
          </w:p>
        </w:tc>
        <w:tc>
          <w:tcPr>
            <w:tcW w:w="1762" w:type="dxa"/>
          </w:tcPr>
          <w:p w14:paraId="63338D7E">
            <w:pPr>
              <w:spacing w:line="360" w:lineRule="auto"/>
              <w:jc w:val="center"/>
              <w:rPr>
                <w:rFonts w:hint="eastAsia" w:ascii="宋体" w:hAnsi="宋体" w:eastAsia="宋体" w:cs="宋体"/>
                <w:color w:val="auto"/>
                <w:sz w:val="22"/>
                <w:highlight w:val="none"/>
              </w:rPr>
            </w:pPr>
          </w:p>
        </w:tc>
        <w:tc>
          <w:tcPr>
            <w:tcW w:w="1107" w:type="dxa"/>
            <w:vAlign w:val="center"/>
          </w:tcPr>
          <w:p w14:paraId="559EC0C2">
            <w:pPr>
              <w:spacing w:line="360" w:lineRule="auto"/>
              <w:jc w:val="center"/>
              <w:rPr>
                <w:rFonts w:hint="eastAsia" w:ascii="宋体" w:hAnsi="宋体" w:eastAsia="宋体" w:cs="宋体"/>
                <w:color w:val="auto"/>
                <w:sz w:val="22"/>
                <w:highlight w:val="none"/>
              </w:rPr>
            </w:pPr>
          </w:p>
        </w:tc>
      </w:tr>
      <w:tr w14:paraId="26781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73DBDD38">
            <w:pPr>
              <w:spacing w:line="360" w:lineRule="auto"/>
              <w:jc w:val="center"/>
              <w:rPr>
                <w:rFonts w:hint="eastAsia" w:ascii="宋体" w:hAnsi="宋体" w:eastAsia="宋体" w:cs="宋体"/>
                <w:color w:val="auto"/>
                <w:sz w:val="22"/>
                <w:highlight w:val="none"/>
              </w:rPr>
            </w:pPr>
          </w:p>
        </w:tc>
        <w:tc>
          <w:tcPr>
            <w:tcW w:w="925" w:type="dxa"/>
            <w:vAlign w:val="center"/>
          </w:tcPr>
          <w:p w14:paraId="6A98A0F3">
            <w:pPr>
              <w:spacing w:line="360" w:lineRule="auto"/>
              <w:jc w:val="center"/>
              <w:rPr>
                <w:rFonts w:hint="eastAsia" w:ascii="宋体" w:hAnsi="宋体" w:eastAsia="宋体" w:cs="宋体"/>
                <w:color w:val="auto"/>
                <w:sz w:val="22"/>
                <w:highlight w:val="none"/>
              </w:rPr>
            </w:pPr>
          </w:p>
        </w:tc>
        <w:tc>
          <w:tcPr>
            <w:tcW w:w="925" w:type="dxa"/>
            <w:vAlign w:val="center"/>
          </w:tcPr>
          <w:p w14:paraId="7F66F233">
            <w:pPr>
              <w:spacing w:line="360" w:lineRule="auto"/>
              <w:jc w:val="center"/>
              <w:rPr>
                <w:rFonts w:hint="eastAsia" w:ascii="宋体" w:hAnsi="宋体" w:eastAsia="宋体" w:cs="宋体"/>
                <w:color w:val="auto"/>
                <w:sz w:val="22"/>
                <w:highlight w:val="none"/>
              </w:rPr>
            </w:pPr>
          </w:p>
        </w:tc>
        <w:tc>
          <w:tcPr>
            <w:tcW w:w="740" w:type="dxa"/>
            <w:vAlign w:val="center"/>
          </w:tcPr>
          <w:p w14:paraId="4FE5814D">
            <w:pPr>
              <w:spacing w:line="360" w:lineRule="auto"/>
              <w:jc w:val="center"/>
              <w:rPr>
                <w:rFonts w:hint="eastAsia" w:ascii="宋体" w:hAnsi="宋体" w:eastAsia="宋体" w:cs="宋体"/>
                <w:color w:val="auto"/>
                <w:sz w:val="22"/>
                <w:highlight w:val="none"/>
              </w:rPr>
            </w:pPr>
          </w:p>
        </w:tc>
        <w:tc>
          <w:tcPr>
            <w:tcW w:w="740" w:type="dxa"/>
            <w:vAlign w:val="center"/>
          </w:tcPr>
          <w:p w14:paraId="52B8F3A9">
            <w:pPr>
              <w:spacing w:line="360" w:lineRule="auto"/>
              <w:jc w:val="center"/>
              <w:rPr>
                <w:rFonts w:hint="eastAsia" w:ascii="宋体" w:hAnsi="宋体" w:eastAsia="宋体" w:cs="宋体"/>
                <w:color w:val="auto"/>
                <w:sz w:val="22"/>
                <w:highlight w:val="none"/>
              </w:rPr>
            </w:pPr>
          </w:p>
        </w:tc>
        <w:tc>
          <w:tcPr>
            <w:tcW w:w="1294" w:type="dxa"/>
            <w:vAlign w:val="center"/>
          </w:tcPr>
          <w:p w14:paraId="1F55D7F8">
            <w:pPr>
              <w:spacing w:line="360" w:lineRule="auto"/>
              <w:jc w:val="center"/>
              <w:rPr>
                <w:rFonts w:hint="eastAsia" w:ascii="宋体" w:hAnsi="宋体" w:eastAsia="宋体" w:cs="宋体"/>
                <w:color w:val="auto"/>
                <w:sz w:val="22"/>
                <w:highlight w:val="none"/>
              </w:rPr>
            </w:pPr>
          </w:p>
        </w:tc>
        <w:tc>
          <w:tcPr>
            <w:tcW w:w="1281" w:type="dxa"/>
            <w:vAlign w:val="center"/>
          </w:tcPr>
          <w:p w14:paraId="013049DA">
            <w:pPr>
              <w:spacing w:line="360" w:lineRule="auto"/>
              <w:jc w:val="center"/>
              <w:rPr>
                <w:rFonts w:hint="eastAsia" w:ascii="宋体" w:hAnsi="宋体" w:eastAsia="宋体" w:cs="宋体"/>
                <w:color w:val="auto"/>
                <w:sz w:val="22"/>
                <w:highlight w:val="none"/>
              </w:rPr>
            </w:pPr>
          </w:p>
        </w:tc>
        <w:tc>
          <w:tcPr>
            <w:tcW w:w="1762" w:type="dxa"/>
          </w:tcPr>
          <w:p w14:paraId="2C41580D">
            <w:pPr>
              <w:spacing w:line="360" w:lineRule="auto"/>
              <w:jc w:val="center"/>
              <w:rPr>
                <w:rFonts w:hint="eastAsia" w:ascii="宋体" w:hAnsi="宋体" w:eastAsia="宋体" w:cs="宋体"/>
                <w:color w:val="auto"/>
                <w:sz w:val="22"/>
                <w:highlight w:val="none"/>
              </w:rPr>
            </w:pPr>
          </w:p>
        </w:tc>
        <w:tc>
          <w:tcPr>
            <w:tcW w:w="1107" w:type="dxa"/>
            <w:vAlign w:val="center"/>
          </w:tcPr>
          <w:p w14:paraId="5CFB7F0F">
            <w:pPr>
              <w:spacing w:line="360" w:lineRule="auto"/>
              <w:jc w:val="center"/>
              <w:rPr>
                <w:rFonts w:hint="eastAsia" w:ascii="宋体" w:hAnsi="宋体" w:eastAsia="宋体" w:cs="宋体"/>
                <w:color w:val="auto"/>
                <w:sz w:val="22"/>
                <w:highlight w:val="none"/>
              </w:rPr>
            </w:pPr>
          </w:p>
        </w:tc>
      </w:tr>
      <w:tr w14:paraId="4786F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40" w:type="dxa"/>
            <w:vAlign w:val="center"/>
          </w:tcPr>
          <w:p w14:paraId="29B1040A">
            <w:pPr>
              <w:spacing w:line="360" w:lineRule="auto"/>
              <w:jc w:val="center"/>
              <w:rPr>
                <w:rFonts w:hint="eastAsia" w:ascii="宋体" w:hAnsi="宋体" w:eastAsia="宋体" w:cs="宋体"/>
                <w:color w:val="auto"/>
                <w:sz w:val="22"/>
                <w:highlight w:val="none"/>
              </w:rPr>
            </w:pPr>
          </w:p>
        </w:tc>
        <w:tc>
          <w:tcPr>
            <w:tcW w:w="925" w:type="dxa"/>
            <w:vAlign w:val="center"/>
          </w:tcPr>
          <w:p w14:paraId="7FC24E06">
            <w:pPr>
              <w:spacing w:line="360" w:lineRule="auto"/>
              <w:jc w:val="center"/>
              <w:rPr>
                <w:rFonts w:hint="eastAsia" w:ascii="宋体" w:hAnsi="宋体" w:eastAsia="宋体" w:cs="宋体"/>
                <w:color w:val="auto"/>
                <w:sz w:val="22"/>
                <w:highlight w:val="none"/>
              </w:rPr>
            </w:pPr>
          </w:p>
        </w:tc>
        <w:tc>
          <w:tcPr>
            <w:tcW w:w="925" w:type="dxa"/>
            <w:vAlign w:val="center"/>
          </w:tcPr>
          <w:p w14:paraId="5A1D0735">
            <w:pPr>
              <w:spacing w:line="360" w:lineRule="auto"/>
              <w:jc w:val="center"/>
              <w:rPr>
                <w:rFonts w:hint="eastAsia" w:ascii="宋体" w:hAnsi="宋体" w:eastAsia="宋体" w:cs="宋体"/>
                <w:color w:val="auto"/>
                <w:sz w:val="22"/>
                <w:highlight w:val="none"/>
              </w:rPr>
            </w:pPr>
          </w:p>
        </w:tc>
        <w:tc>
          <w:tcPr>
            <w:tcW w:w="740" w:type="dxa"/>
            <w:vAlign w:val="center"/>
          </w:tcPr>
          <w:p w14:paraId="65E4AFEE">
            <w:pPr>
              <w:spacing w:line="360" w:lineRule="auto"/>
              <w:jc w:val="center"/>
              <w:rPr>
                <w:rFonts w:hint="eastAsia" w:ascii="宋体" w:hAnsi="宋体" w:eastAsia="宋体" w:cs="宋体"/>
                <w:color w:val="auto"/>
                <w:sz w:val="22"/>
                <w:highlight w:val="none"/>
              </w:rPr>
            </w:pPr>
          </w:p>
        </w:tc>
        <w:tc>
          <w:tcPr>
            <w:tcW w:w="740" w:type="dxa"/>
            <w:vAlign w:val="center"/>
          </w:tcPr>
          <w:p w14:paraId="59660C01">
            <w:pPr>
              <w:spacing w:line="360" w:lineRule="auto"/>
              <w:jc w:val="center"/>
              <w:rPr>
                <w:rFonts w:hint="eastAsia" w:ascii="宋体" w:hAnsi="宋体" w:eastAsia="宋体" w:cs="宋体"/>
                <w:color w:val="auto"/>
                <w:sz w:val="22"/>
                <w:highlight w:val="none"/>
              </w:rPr>
            </w:pPr>
          </w:p>
        </w:tc>
        <w:tc>
          <w:tcPr>
            <w:tcW w:w="1294" w:type="dxa"/>
            <w:vAlign w:val="center"/>
          </w:tcPr>
          <w:p w14:paraId="5946FD80">
            <w:pPr>
              <w:spacing w:line="360" w:lineRule="auto"/>
              <w:jc w:val="center"/>
              <w:rPr>
                <w:rFonts w:hint="eastAsia" w:ascii="宋体" w:hAnsi="宋体" w:eastAsia="宋体" w:cs="宋体"/>
                <w:color w:val="auto"/>
                <w:sz w:val="22"/>
                <w:highlight w:val="none"/>
              </w:rPr>
            </w:pPr>
          </w:p>
        </w:tc>
        <w:tc>
          <w:tcPr>
            <w:tcW w:w="1281" w:type="dxa"/>
            <w:vAlign w:val="center"/>
          </w:tcPr>
          <w:p w14:paraId="15BEE27C">
            <w:pPr>
              <w:spacing w:line="360" w:lineRule="auto"/>
              <w:jc w:val="center"/>
              <w:rPr>
                <w:rFonts w:hint="eastAsia" w:ascii="宋体" w:hAnsi="宋体" w:eastAsia="宋体" w:cs="宋体"/>
                <w:color w:val="auto"/>
                <w:sz w:val="22"/>
                <w:highlight w:val="none"/>
              </w:rPr>
            </w:pPr>
          </w:p>
        </w:tc>
        <w:tc>
          <w:tcPr>
            <w:tcW w:w="1762" w:type="dxa"/>
          </w:tcPr>
          <w:p w14:paraId="1E7E90DD">
            <w:pPr>
              <w:spacing w:line="360" w:lineRule="auto"/>
              <w:jc w:val="center"/>
              <w:rPr>
                <w:rFonts w:hint="eastAsia" w:ascii="宋体" w:hAnsi="宋体" w:eastAsia="宋体" w:cs="宋体"/>
                <w:color w:val="auto"/>
                <w:sz w:val="22"/>
                <w:highlight w:val="none"/>
              </w:rPr>
            </w:pPr>
          </w:p>
        </w:tc>
        <w:tc>
          <w:tcPr>
            <w:tcW w:w="1107" w:type="dxa"/>
            <w:vAlign w:val="center"/>
          </w:tcPr>
          <w:p w14:paraId="18653C8B">
            <w:pPr>
              <w:spacing w:line="360" w:lineRule="auto"/>
              <w:jc w:val="center"/>
              <w:rPr>
                <w:rFonts w:hint="eastAsia" w:ascii="宋体" w:hAnsi="宋体" w:eastAsia="宋体" w:cs="宋体"/>
                <w:color w:val="auto"/>
                <w:sz w:val="22"/>
                <w:highlight w:val="none"/>
              </w:rPr>
            </w:pPr>
          </w:p>
        </w:tc>
      </w:tr>
    </w:tbl>
    <w:p w14:paraId="53358A0A">
      <w:pPr>
        <w:pStyle w:val="17"/>
        <w:spacing w:before="156" w:after="156" w:line="400" w:lineRule="atLeast"/>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highlight w:val="none"/>
        </w:rPr>
        <w:t>注：1.此表仅提供了表格形式，投标人可按此表格复制。</w:t>
      </w:r>
    </w:p>
    <w:p w14:paraId="618676CB">
      <w:pPr>
        <w:pStyle w:val="17"/>
        <w:spacing w:before="156" w:after="156" w:line="400" w:lineRule="atLeast"/>
        <w:ind w:left="660" w:hanging="660" w:hangingChars="300"/>
        <w:rPr>
          <w:rFonts w:hint="eastAsia" w:ascii="宋体" w:hAnsi="宋体" w:eastAsia="宋体" w:cs="宋体"/>
          <w:color w:val="auto"/>
          <w:sz w:val="22"/>
          <w:highlight w:val="none"/>
        </w:rPr>
      </w:pPr>
      <w:r>
        <w:rPr>
          <w:rFonts w:hint="eastAsia" w:ascii="宋体" w:hAnsi="宋体" w:eastAsia="宋体" w:cs="宋体"/>
          <w:color w:val="auto"/>
          <w:sz w:val="22"/>
          <w:highlight w:val="none"/>
        </w:rPr>
        <w:t>2.附人员证书、类似经验证明材料等。</w:t>
      </w:r>
    </w:p>
    <w:p w14:paraId="2086D69A">
      <w:pPr>
        <w:pStyle w:val="17"/>
        <w:spacing w:before="156" w:after="156" w:line="400" w:lineRule="atLeast"/>
        <w:ind w:left="660" w:hanging="660" w:hangingChars="300"/>
        <w:rPr>
          <w:rFonts w:hint="eastAsia" w:ascii="宋体" w:hAnsi="宋体" w:eastAsia="宋体" w:cs="宋体"/>
          <w:color w:val="auto"/>
          <w:sz w:val="22"/>
          <w:highlight w:val="none"/>
        </w:rPr>
      </w:pPr>
    </w:p>
    <w:p w14:paraId="551AF52A">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投标人全称（盖章）：</w:t>
      </w:r>
    </w:p>
    <w:p w14:paraId="282B1183">
      <w:pPr>
        <w:spacing w:line="38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7DC863A">
      <w:pPr>
        <w:spacing w:line="380" w:lineRule="exac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日 期：  年  月  日</w:t>
      </w:r>
      <w:r>
        <w:rPr>
          <w:rFonts w:hint="eastAsia" w:ascii="宋体" w:hAnsi="宋体" w:eastAsia="宋体" w:cs="宋体"/>
          <w:b/>
          <w:bCs/>
          <w:color w:val="auto"/>
          <w:sz w:val="22"/>
          <w:szCs w:val="22"/>
          <w:highlight w:val="none"/>
        </w:rPr>
        <w:t xml:space="preserve"> </w:t>
      </w:r>
    </w:p>
    <w:p w14:paraId="72F4CD6C">
      <w:pPr>
        <w:spacing w:line="380" w:lineRule="exact"/>
        <w:ind w:firstLine="4400" w:firstLineChars="2000"/>
        <w:rPr>
          <w:rFonts w:hint="eastAsia" w:ascii="宋体" w:hAnsi="宋体" w:eastAsia="宋体" w:cs="宋体"/>
          <w:color w:val="auto"/>
          <w:sz w:val="22"/>
          <w:highlight w:val="none"/>
        </w:rPr>
      </w:pPr>
    </w:p>
    <w:p w14:paraId="2F825891">
      <w:pPr>
        <w:spacing w:line="380" w:lineRule="exact"/>
        <w:rPr>
          <w:rFonts w:hint="eastAsia" w:ascii="宋体" w:hAnsi="宋体" w:eastAsia="宋体" w:cs="宋体"/>
          <w:color w:val="auto"/>
          <w:highlight w:val="none"/>
        </w:rPr>
      </w:pPr>
      <w:r>
        <w:rPr>
          <w:rFonts w:hint="eastAsia" w:ascii="宋体" w:hAnsi="宋体" w:eastAsia="宋体" w:cs="宋体"/>
          <w:color w:val="auto"/>
          <w:sz w:val="22"/>
          <w:szCs w:val="22"/>
          <w:highlight w:val="none"/>
        </w:rPr>
        <w:br w:type="page"/>
      </w:r>
    </w:p>
    <w:p w14:paraId="12337536">
      <w:pPr>
        <w:pStyle w:val="28"/>
        <w:ind w:firstLine="442"/>
        <w:rPr>
          <w:rFonts w:hint="eastAsia" w:ascii="宋体" w:hAnsi="宋体" w:eastAsia="宋体" w:cs="宋体"/>
          <w:b/>
          <w:color w:val="auto"/>
          <w:sz w:val="22"/>
          <w:szCs w:val="22"/>
          <w:highlight w:val="none"/>
        </w:rPr>
      </w:pPr>
    </w:p>
    <w:p w14:paraId="6B59FB00">
      <w:pPr>
        <w:pStyle w:val="28"/>
        <w:ind w:firstLine="442"/>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以下内容投标人根据商务技术标评审标准自拟：</w:t>
      </w:r>
    </w:p>
    <w:p w14:paraId="16E76985">
      <w:pPr>
        <w:pStyle w:val="28"/>
        <w:ind w:left="0" w:leftChars="0" w:firstLine="0" w:firstLineChars="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投标人的企业综合实力、开展本项目的实验室条件、开展本项目的设备条件、项目实施方案、应急服务保障（格式自拟）</w:t>
      </w:r>
    </w:p>
    <w:p w14:paraId="6351BB37">
      <w:pPr>
        <w:rPr>
          <w:rFonts w:hint="eastAsia" w:ascii="宋体" w:hAnsi="宋体" w:eastAsia="宋体" w:cs="宋体"/>
          <w:color w:val="auto"/>
          <w:highlight w:val="none"/>
        </w:rPr>
      </w:pPr>
    </w:p>
    <w:p w14:paraId="7858784D">
      <w:pPr>
        <w:pStyle w:val="28"/>
        <w:rPr>
          <w:rFonts w:hint="eastAsia" w:ascii="宋体" w:hAnsi="宋体" w:eastAsia="宋体" w:cs="宋体"/>
          <w:color w:val="auto"/>
          <w:highlight w:val="none"/>
        </w:rPr>
      </w:pPr>
    </w:p>
    <w:p w14:paraId="285BEB96">
      <w:pPr>
        <w:rPr>
          <w:rFonts w:hint="eastAsia" w:ascii="宋体" w:hAnsi="宋体" w:eastAsia="宋体" w:cs="宋体"/>
          <w:color w:val="auto"/>
          <w:highlight w:val="none"/>
        </w:rPr>
      </w:pPr>
    </w:p>
    <w:p w14:paraId="4100EF8B">
      <w:pPr>
        <w:pStyle w:val="28"/>
        <w:rPr>
          <w:rFonts w:hint="eastAsia" w:ascii="宋体" w:hAnsi="宋体" w:eastAsia="宋体" w:cs="宋体"/>
          <w:color w:val="auto"/>
          <w:highlight w:val="none"/>
        </w:rPr>
      </w:pPr>
    </w:p>
    <w:p w14:paraId="772E86D1">
      <w:pPr>
        <w:rPr>
          <w:rFonts w:hint="eastAsia" w:ascii="宋体" w:hAnsi="宋体" w:eastAsia="宋体" w:cs="宋体"/>
          <w:color w:val="auto"/>
          <w:highlight w:val="none"/>
        </w:rPr>
      </w:pPr>
    </w:p>
    <w:p w14:paraId="21DE40C9">
      <w:pPr>
        <w:pStyle w:val="28"/>
        <w:rPr>
          <w:rFonts w:hint="eastAsia" w:ascii="宋体" w:hAnsi="宋体" w:eastAsia="宋体" w:cs="宋体"/>
          <w:color w:val="auto"/>
          <w:highlight w:val="none"/>
        </w:rPr>
      </w:pPr>
    </w:p>
    <w:p w14:paraId="048F821B">
      <w:pPr>
        <w:rPr>
          <w:rFonts w:hint="eastAsia" w:ascii="宋体" w:hAnsi="宋体" w:eastAsia="宋体" w:cs="宋体"/>
          <w:color w:val="auto"/>
          <w:highlight w:val="none"/>
        </w:rPr>
      </w:pPr>
    </w:p>
    <w:p w14:paraId="702748A0">
      <w:pPr>
        <w:pStyle w:val="28"/>
        <w:rPr>
          <w:rFonts w:hint="eastAsia" w:ascii="宋体" w:hAnsi="宋体" w:eastAsia="宋体" w:cs="宋体"/>
          <w:color w:val="auto"/>
          <w:highlight w:val="none"/>
        </w:rPr>
      </w:pPr>
    </w:p>
    <w:p w14:paraId="5096AC08">
      <w:pPr>
        <w:rPr>
          <w:rFonts w:hint="eastAsia" w:ascii="宋体" w:hAnsi="宋体" w:eastAsia="宋体" w:cs="宋体"/>
          <w:color w:val="auto"/>
          <w:highlight w:val="none"/>
        </w:rPr>
      </w:pPr>
    </w:p>
    <w:p w14:paraId="687CB192">
      <w:pPr>
        <w:pStyle w:val="28"/>
        <w:rPr>
          <w:rFonts w:hint="eastAsia" w:ascii="宋体" w:hAnsi="宋体" w:eastAsia="宋体" w:cs="宋体"/>
          <w:color w:val="auto"/>
          <w:highlight w:val="none"/>
        </w:rPr>
      </w:pPr>
    </w:p>
    <w:p w14:paraId="614ADBE5">
      <w:pPr>
        <w:rPr>
          <w:rFonts w:hint="eastAsia" w:ascii="宋体" w:hAnsi="宋体" w:eastAsia="宋体" w:cs="宋体"/>
          <w:color w:val="auto"/>
          <w:highlight w:val="none"/>
        </w:rPr>
      </w:pPr>
    </w:p>
    <w:p w14:paraId="77919A90">
      <w:pPr>
        <w:pStyle w:val="28"/>
        <w:rPr>
          <w:rFonts w:hint="eastAsia" w:ascii="宋体" w:hAnsi="宋体" w:eastAsia="宋体" w:cs="宋体"/>
          <w:color w:val="auto"/>
          <w:highlight w:val="none"/>
        </w:rPr>
      </w:pPr>
    </w:p>
    <w:p w14:paraId="4A33A4EE">
      <w:pPr>
        <w:rPr>
          <w:rFonts w:hint="eastAsia" w:ascii="宋体" w:hAnsi="宋体" w:eastAsia="宋体" w:cs="宋体"/>
          <w:color w:val="auto"/>
          <w:highlight w:val="none"/>
        </w:rPr>
      </w:pPr>
    </w:p>
    <w:p w14:paraId="330E5000">
      <w:pPr>
        <w:pStyle w:val="28"/>
        <w:rPr>
          <w:rFonts w:hint="eastAsia" w:ascii="宋体" w:hAnsi="宋体" w:eastAsia="宋体" w:cs="宋体"/>
          <w:color w:val="auto"/>
          <w:highlight w:val="none"/>
        </w:rPr>
      </w:pPr>
    </w:p>
    <w:p w14:paraId="22D2B355">
      <w:pPr>
        <w:rPr>
          <w:rFonts w:hint="eastAsia" w:ascii="宋体" w:hAnsi="宋体" w:eastAsia="宋体" w:cs="宋体"/>
          <w:color w:val="auto"/>
          <w:highlight w:val="none"/>
        </w:rPr>
      </w:pPr>
    </w:p>
    <w:p w14:paraId="5E4128B3">
      <w:pPr>
        <w:pStyle w:val="28"/>
        <w:rPr>
          <w:rFonts w:hint="eastAsia" w:ascii="宋体" w:hAnsi="宋体" w:eastAsia="宋体" w:cs="宋体"/>
          <w:color w:val="auto"/>
          <w:highlight w:val="none"/>
        </w:rPr>
      </w:pPr>
    </w:p>
    <w:p w14:paraId="725DF746">
      <w:pPr>
        <w:rPr>
          <w:rFonts w:hint="eastAsia" w:ascii="宋体" w:hAnsi="宋体" w:eastAsia="宋体" w:cs="宋体"/>
          <w:color w:val="auto"/>
          <w:highlight w:val="none"/>
        </w:rPr>
      </w:pPr>
    </w:p>
    <w:p w14:paraId="1B892FA9">
      <w:pPr>
        <w:pStyle w:val="28"/>
        <w:rPr>
          <w:rFonts w:hint="eastAsia" w:ascii="宋体" w:hAnsi="宋体" w:eastAsia="宋体" w:cs="宋体"/>
          <w:color w:val="auto"/>
          <w:highlight w:val="none"/>
        </w:rPr>
      </w:pPr>
    </w:p>
    <w:p w14:paraId="29BDE0CC">
      <w:pPr>
        <w:rPr>
          <w:rFonts w:hint="eastAsia" w:ascii="宋体" w:hAnsi="宋体" w:eastAsia="宋体" w:cs="宋体"/>
          <w:color w:val="auto"/>
          <w:highlight w:val="none"/>
        </w:rPr>
      </w:pPr>
    </w:p>
    <w:p w14:paraId="6BE1B046">
      <w:pPr>
        <w:pStyle w:val="28"/>
        <w:rPr>
          <w:rFonts w:hint="eastAsia" w:ascii="宋体" w:hAnsi="宋体" w:eastAsia="宋体" w:cs="宋体"/>
          <w:color w:val="auto"/>
          <w:highlight w:val="none"/>
        </w:rPr>
      </w:pPr>
    </w:p>
    <w:p w14:paraId="71EF347D">
      <w:pPr>
        <w:rPr>
          <w:rFonts w:hint="eastAsia" w:ascii="宋体" w:hAnsi="宋体" w:eastAsia="宋体" w:cs="宋体"/>
          <w:color w:val="auto"/>
          <w:highlight w:val="none"/>
        </w:rPr>
      </w:pPr>
    </w:p>
    <w:p w14:paraId="43F50BC5">
      <w:pPr>
        <w:pStyle w:val="28"/>
        <w:rPr>
          <w:rFonts w:hint="eastAsia" w:ascii="宋体" w:hAnsi="宋体" w:eastAsia="宋体" w:cs="宋体"/>
          <w:color w:val="auto"/>
          <w:highlight w:val="none"/>
        </w:rPr>
      </w:pPr>
    </w:p>
    <w:p w14:paraId="44C34B0A">
      <w:pPr>
        <w:rPr>
          <w:rFonts w:hint="eastAsia" w:ascii="宋体" w:hAnsi="宋体" w:eastAsia="宋体" w:cs="宋体"/>
          <w:color w:val="auto"/>
          <w:highlight w:val="none"/>
        </w:rPr>
      </w:pPr>
    </w:p>
    <w:p w14:paraId="05789F14">
      <w:pP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（价格标封面，供参考）</w:t>
      </w:r>
    </w:p>
    <w:p w14:paraId="2F0182B9">
      <w:pPr>
        <w:kinsoku w:val="0"/>
        <w:overflowPunct w:val="0"/>
        <w:spacing w:after="156"/>
        <w:ind w:firstLine="482"/>
        <w:rPr>
          <w:rFonts w:hint="eastAsia" w:asciiTheme="minorEastAsia" w:hAnsiTheme="minorEastAsia" w:eastAsiaTheme="minorEastAsia" w:cstheme="minorEastAsia"/>
          <w:b/>
          <w:bCs/>
          <w:color w:val="auto"/>
          <w:kern w:val="0"/>
          <w:sz w:val="36"/>
          <w:highlight w:val="none"/>
        </w:rPr>
      </w:pPr>
    </w:p>
    <w:p w14:paraId="72FBFA91">
      <w:pPr>
        <w:pStyle w:val="28"/>
        <w:rPr>
          <w:rFonts w:hint="eastAsia" w:asciiTheme="minorEastAsia" w:hAnsiTheme="minorEastAsia" w:eastAsiaTheme="minorEastAsia" w:cstheme="minorEastAsia"/>
          <w:color w:val="auto"/>
          <w:highlight w:val="none"/>
        </w:rPr>
      </w:pPr>
    </w:p>
    <w:p w14:paraId="5A02173F">
      <w:pPr>
        <w:kinsoku w:val="0"/>
        <w:overflowPunct w:val="0"/>
        <w:spacing w:after="156"/>
        <w:ind w:firstLine="482"/>
        <w:rPr>
          <w:rFonts w:hint="eastAsia" w:asciiTheme="minorEastAsia" w:hAnsiTheme="minorEastAsia" w:eastAsiaTheme="minorEastAsia" w:cstheme="minorEastAsia"/>
          <w:b/>
          <w:bCs/>
          <w:color w:val="auto"/>
          <w:highlight w:val="none"/>
        </w:rPr>
      </w:pPr>
    </w:p>
    <w:p w14:paraId="2C04A6F9">
      <w:pPr>
        <w:kinsoku w:val="0"/>
        <w:overflowPunct w:val="0"/>
        <w:spacing w:before="8" w:after="156"/>
        <w:ind w:firstLine="482"/>
        <w:rPr>
          <w:rFonts w:hint="eastAsia" w:asciiTheme="minorEastAsia" w:hAnsiTheme="minorEastAsia" w:eastAsiaTheme="minorEastAsia" w:cstheme="minorEastAsia"/>
          <w:b/>
          <w:bCs/>
          <w:color w:val="auto"/>
          <w:highlight w:val="none"/>
        </w:rPr>
      </w:pPr>
    </w:p>
    <w:p w14:paraId="2094FDD9">
      <w:pPr>
        <w:tabs>
          <w:tab w:val="left" w:pos="4944"/>
        </w:tabs>
        <w:kinsoku w:val="0"/>
        <w:overflowPunct w:val="0"/>
        <w:spacing w:after="156"/>
        <w:ind w:firstLine="480"/>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投标文件（价格标）</w:t>
      </w:r>
    </w:p>
    <w:p w14:paraId="5DB26A37">
      <w:pPr>
        <w:kinsoku w:val="0"/>
        <w:overflowPunct w:val="0"/>
        <w:spacing w:before="554" w:after="156"/>
        <w:ind w:left="376" w:right="1073" w:firstLine="482"/>
        <w:jc w:val="center"/>
        <w:rPr>
          <w:rFonts w:hint="eastAsia" w:asciiTheme="minorEastAsia" w:hAnsiTheme="minorEastAsia" w:eastAsiaTheme="minorEastAsia" w:cstheme="minorEastAsia"/>
          <w:b/>
          <w:bCs/>
          <w:color w:val="auto"/>
          <w:highlight w:val="none"/>
        </w:rPr>
      </w:pPr>
    </w:p>
    <w:p w14:paraId="0E59D806">
      <w:pPr>
        <w:kinsoku w:val="0"/>
        <w:overflowPunct w:val="0"/>
        <w:spacing w:after="156"/>
        <w:rPr>
          <w:rFonts w:hint="eastAsia" w:asciiTheme="minorEastAsia" w:hAnsiTheme="minorEastAsia" w:eastAsiaTheme="minorEastAsia" w:cstheme="minorEastAsia"/>
          <w:b/>
          <w:bCs/>
          <w:color w:val="auto"/>
          <w:highlight w:val="none"/>
        </w:rPr>
      </w:pPr>
    </w:p>
    <w:p w14:paraId="164031AE">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0086C8EE">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项目编号：</w:t>
      </w:r>
    </w:p>
    <w:p w14:paraId="7A0477C6">
      <w:pPr>
        <w:kinsoku w:val="0"/>
        <w:overflowPunct w:val="0"/>
        <w:spacing w:after="156"/>
        <w:ind w:firstLine="482"/>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sz w:val="28"/>
          <w:highlight w:val="none"/>
        </w:rPr>
        <w:t>项目名称：</w:t>
      </w:r>
    </w:p>
    <w:p w14:paraId="246E70EA">
      <w:pPr>
        <w:kinsoku w:val="0"/>
        <w:overflowPunct w:val="0"/>
        <w:spacing w:after="156"/>
        <w:rPr>
          <w:rFonts w:hint="eastAsia" w:asciiTheme="minorEastAsia" w:hAnsiTheme="minorEastAsia" w:eastAsiaTheme="minorEastAsia" w:cstheme="minorEastAsia"/>
          <w:b/>
          <w:bCs/>
          <w:color w:val="auto"/>
          <w:sz w:val="28"/>
          <w:highlight w:val="none"/>
        </w:rPr>
      </w:pPr>
    </w:p>
    <w:p w14:paraId="4608FB66">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59A10461">
      <w:pPr>
        <w:kinsoku w:val="0"/>
        <w:overflowPunct w:val="0"/>
        <w:spacing w:after="156"/>
        <w:ind w:firstLine="482"/>
        <w:rPr>
          <w:rFonts w:hint="eastAsia" w:asciiTheme="minorEastAsia" w:hAnsiTheme="minorEastAsia" w:eastAsiaTheme="minorEastAsia" w:cstheme="minorEastAsia"/>
          <w:b/>
          <w:bCs/>
          <w:color w:val="auto"/>
          <w:sz w:val="28"/>
          <w:highlight w:val="none"/>
        </w:rPr>
      </w:pPr>
    </w:p>
    <w:p w14:paraId="4612E643">
      <w:pPr>
        <w:tabs>
          <w:tab w:val="left" w:pos="5830"/>
        </w:tabs>
        <w:kinsoku w:val="0"/>
        <w:overflowPunct w:val="0"/>
        <w:spacing w:before="223" w:after="156"/>
        <w:ind w:right="521"/>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投标人：（盖单位章）</w:t>
      </w:r>
      <w:r>
        <w:rPr>
          <w:rFonts w:hint="eastAsia" w:asciiTheme="minorEastAsia" w:hAnsiTheme="minorEastAsia" w:eastAsiaTheme="minorEastAsia" w:cstheme="minorEastAsia"/>
          <w:color w:val="auto"/>
          <w:sz w:val="28"/>
          <w:highlight w:val="none"/>
          <w:u w:val="single"/>
        </w:rPr>
        <w:t xml:space="preserve">                  </w:t>
      </w:r>
    </w:p>
    <w:p w14:paraId="39E9F0FC">
      <w:pPr>
        <w:tabs>
          <w:tab w:val="left" w:pos="9313"/>
        </w:tabs>
        <w:kinsoku w:val="0"/>
        <w:overflowPunct w:val="0"/>
        <w:spacing w:before="186" w:after="156"/>
        <w:rPr>
          <w:rFonts w:hint="eastAsia" w:asciiTheme="minorEastAsia" w:hAnsiTheme="minorEastAsia" w:eastAsiaTheme="minorEastAsia" w:cstheme="minorEastAsia"/>
          <w:color w:val="auto"/>
          <w:sz w:val="28"/>
          <w:highlight w:val="none"/>
        </w:rPr>
      </w:pPr>
      <w:r>
        <w:rPr>
          <w:rFonts w:hint="eastAsia" w:asciiTheme="minorEastAsia" w:hAnsiTheme="minorEastAsia" w:eastAsiaTheme="minorEastAsia" w:cstheme="minorEastAsia"/>
          <w:color w:val="auto"/>
          <w:w w:val="95"/>
          <w:sz w:val="28"/>
          <w:highlight w:val="none"/>
        </w:rPr>
        <w:t>法定代表人或授权代表：（盖章或签字）</w:t>
      </w:r>
      <w:r>
        <w:rPr>
          <w:rFonts w:hint="eastAsia" w:asciiTheme="minorEastAsia" w:hAnsiTheme="minorEastAsia" w:eastAsiaTheme="minorEastAsia" w:cstheme="minorEastAsia"/>
          <w:color w:val="auto"/>
          <w:sz w:val="28"/>
          <w:highlight w:val="none"/>
          <w:u w:val="single"/>
        </w:rPr>
        <w:t xml:space="preserve">                </w:t>
      </w:r>
    </w:p>
    <w:p w14:paraId="4844DF09">
      <w:pPr>
        <w:kinsoku w:val="0"/>
        <w:overflowPunct w:val="0"/>
        <w:spacing w:after="156"/>
        <w:ind w:firstLine="482"/>
        <w:rPr>
          <w:rFonts w:hint="eastAsia" w:asciiTheme="minorEastAsia" w:hAnsiTheme="minorEastAsia" w:eastAsiaTheme="minorEastAsia" w:cstheme="minorEastAsia"/>
          <w:b/>
          <w:bCs/>
          <w:color w:val="auto"/>
          <w:highlight w:val="none"/>
        </w:rPr>
      </w:pPr>
    </w:p>
    <w:p w14:paraId="1301E085">
      <w:pPr>
        <w:tabs>
          <w:tab w:val="left" w:pos="9313"/>
        </w:tabs>
        <w:kinsoku w:val="0"/>
        <w:overflowPunct w:val="0"/>
        <w:spacing w:before="186" w:after="156"/>
        <w:jc w:val="center"/>
        <w:rPr>
          <w:rFonts w:hint="eastAsia" w:asciiTheme="minorEastAsia" w:hAnsiTheme="minorEastAsia" w:eastAsiaTheme="minorEastAsia" w:cstheme="minorEastAsia"/>
          <w:b/>
          <w:bCs/>
          <w:color w:val="auto"/>
          <w:w w:val="95"/>
          <w:sz w:val="28"/>
          <w:highlight w:val="none"/>
        </w:rPr>
      </w:pPr>
      <w:r>
        <w:rPr>
          <w:rFonts w:hint="eastAsia" w:asciiTheme="minorEastAsia" w:hAnsiTheme="minorEastAsia" w:eastAsiaTheme="minorEastAsia" w:cstheme="minorEastAsia"/>
          <w:b/>
          <w:bCs/>
          <w:color w:val="auto"/>
          <w:w w:val="95"/>
          <w:sz w:val="28"/>
          <w:highlight w:val="none"/>
        </w:rPr>
        <w:t>年  月  日</w:t>
      </w:r>
    </w:p>
    <w:p w14:paraId="2729C0E0">
      <w:pPr>
        <w:kinsoku w:val="0"/>
        <w:overflowPunct w:val="0"/>
        <w:spacing w:after="156"/>
        <w:ind w:firstLine="482"/>
        <w:rPr>
          <w:rFonts w:hint="eastAsia" w:ascii="宋体" w:hAnsi="宋体" w:eastAsia="宋体" w:cs="宋体"/>
          <w:b/>
          <w:bCs/>
          <w:color w:val="auto"/>
          <w:highlight w:val="none"/>
        </w:rPr>
      </w:pPr>
    </w:p>
    <w:p w14:paraId="6724BFB7">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68B96F6">
      <w:pPr>
        <w:autoSpaceDE w:val="0"/>
        <w:autoSpaceDN w:val="0"/>
        <w:adjustRightInd w:val="0"/>
        <w:spacing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附件</w:t>
      </w:r>
      <w:r>
        <w:rPr>
          <w:rFonts w:hint="eastAsia" w:ascii="宋体" w:hAnsi="宋体" w:cs="宋体"/>
          <w:b/>
          <w:color w:val="auto"/>
          <w:sz w:val="24"/>
          <w:highlight w:val="none"/>
          <w:lang w:val="en-US" w:eastAsia="zh-CN"/>
        </w:rPr>
        <w:t>七</w:t>
      </w:r>
      <w:r>
        <w:rPr>
          <w:rFonts w:hint="eastAsia" w:ascii="宋体" w:hAnsi="宋体" w:eastAsia="宋体" w:cs="宋体"/>
          <w:b/>
          <w:color w:val="auto"/>
          <w:sz w:val="24"/>
          <w:highlight w:val="none"/>
        </w:rPr>
        <w:t>-1</w:t>
      </w:r>
    </w:p>
    <w:p w14:paraId="40C92D6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开标一览表</w:t>
      </w:r>
    </w:p>
    <w:p w14:paraId="58218C32">
      <w:pPr>
        <w:autoSpaceDE w:val="0"/>
        <w:autoSpaceDN w:val="0"/>
        <w:adjustRightInd w:val="0"/>
        <w:spacing w:line="440" w:lineRule="atLeas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 xml:space="preserve">                                                         </w:t>
      </w:r>
    </w:p>
    <w:tbl>
      <w:tblPr>
        <w:tblStyle w:val="29"/>
        <w:tblW w:w="98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8"/>
        <w:gridCol w:w="5064"/>
      </w:tblGrid>
      <w:tr w14:paraId="36D87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4768" w:type="dxa"/>
            <w:vAlign w:val="center"/>
          </w:tcPr>
          <w:p w14:paraId="5FC554A0">
            <w:pPr>
              <w:pStyle w:val="17"/>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投标内容</w:t>
            </w:r>
          </w:p>
        </w:tc>
        <w:tc>
          <w:tcPr>
            <w:tcW w:w="5064" w:type="dxa"/>
            <w:vAlign w:val="center"/>
          </w:tcPr>
          <w:p w14:paraId="42E64000">
            <w:pPr>
              <w:pStyle w:val="17"/>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服务期限</w:t>
            </w:r>
          </w:p>
        </w:tc>
      </w:tr>
      <w:tr w14:paraId="4D97DA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4768" w:type="dxa"/>
            <w:vAlign w:val="center"/>
          </w:tcPr>
          <w:p w14:paraId="7C35B30D">
            <w:pPr>
              <w:pStyle w:val="17"/>
              <w:spacing w:before="156" w:after="156" w:line="460" w:lineRule="atLeast"/>
              <w:jc w:val="center"/>
              <w:rPr>
                <w:rFonts w:hint="eastAsia" w:ascii="宋体" w:hAnsi="宋体" w:eastAsia="宋体" w:cs="宋体"/>
                <w:b/>
                <w:color w:val="auto"/>
                <w:sz w:val="21"/>
                <w:szCs w:val="21"/>
                <w:highlight w:val="none"/>
              </w:rPr>
            </w:pPr>
            <w:r>
              <w:rPr>
                <w:rFonts w:hint="eastAsia" w:hAnsi="宋体" w:cs="宋体"/>
                <w:b w:val="0"/>
                <w:bCs/>
                <w:color w:val="auto"/>
                <w:sz w:val="21"/>
                <w:szCs w:val="21"/>
                <w:highlight w:val="none"/>
                <w:lang w:eastAsia="zh-CN"/>
              </w:rPr>
              <w:t>温州港南岳港务有限公司、温州港益嘉港务有限公司植物有害生物本底调查</w:t>
            </w:r>
            <w:r>
              <w:rPr>
                <w:rFonts w:hint="eastAsia" w:ascii="宋体" w:hAnsi="宋体" w:eastAsia="宋体" w:cs="宋体"/>
                <w:b w:val="0"/>
                <w:bCs/>
                <w:color w:val="auto"/>
                <w:sz w:val="21"/>
                <w:szCs w:val="21"/>
                <w:highlight w:val="none"/>
                <w:lang w:val="en-US" w:eastAsia="zh-CN"/>
              </w:rPr>
              <w:t>服务</w:t>
            </w:r>
          </w:p>
        </w:tc>
        <w:tc>
          <w:tcPr>
            <w:tcW w:w="5064" w:type="dxa"/>
            <w:vAlign w:val="center"/>
          </w:tcPr>
          <w:p w14:paraId="66F8C7DA">
            <w:pPr>
              <w:pStyle w:val="17"/>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两年</w:t>
            </w:r>
          </w:p>
        </w:tc>
      </w:tr>
      <w:tr w14:paraId="65924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trPr>
        <w:tc>
          <w:tcPr>
            <w:tcW w:w="4768" w:type="dxa"/>
            <w:vAlign w:val="center"/>
          </w:tcPr>
          <w:p w14:paraId="15D883E5">
            <w:pPr>
              <w:pStyle w:val="17"/>
              <w:spacing w:before="156" w:after="156" w:line="460" w:lineRule="atLeast"/>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投标报价</w:t>
            </w:r>
            <w:r>
              <w:rPr>
                <w:rFonts w:hint="eastAsia" w:hAnsi="宋体" w:cs="宋体"/>
                <w:b/>
                <w:color w:val="auto"/>
                <w:sz w:val="21"/>
                <w:szCs w:val="21"/>
                <w:highlight w:val="none"/>
                <w:lang w:eastAsia="zh-CN"/>
              </w:rPr>
              <w:t>（</w:t>
            </w:r>
            <w:r>
              <w:rPr>
                <w:rFonts w:hint="eastAsia" w:hAnsi="宋体" w:cs="宋体"/>
                <w:b/>
                <w:color w:val="auto"/>
                <w:sz w:val="21"/>
                <w:szCs w:val="21"/>
                <w:highlight w:val="none"/>
                <w:lang w:val="en-US" w:eastAsia="zh-CN"/>
              </w:rPr>
              <w:t>本表按两年服务费进行报价</w:t>
            </w:r>
            <w:r>
              <w:rPr>
                <w:rFonts w:hint="eastAsia" w:hAnsi="宋体" w:cs="宋体"/>
                <w:b/>
                <w:color w:val="auto"/>
                <w:sz w:val="21"/>
                <w:szCs w:val="21"/>
                <w:highlight w:val="none"/>
                <w:lang w:eastAsia="zh-CN"/>
              </w:rPr>
              <w:t>）</w:t>
            </w:r>
          </w:p>
          <w:p w14:paraId="7069C3F6">
            <w:pPr>
              <w:pStyle w:val="17"/>
              <w:spacing w:before="156" w:after="156" w:line="460" w:lineRule="atLeas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（总价）</w:t>
            </w:r>
          </w:p>
        </w:tc>
        <w:tc>
          <w:tcPr>
            <w:tcW w:w="5064" w:type="dxa"/>
            <w:vAlign w:val="center"/>
          </w:tcPr>
          <w:p w14:paraId="0E659A1B">
            <w:pPr>
              <w:pStyle w:val="17"/>
              <w:spacing w:before="156" w:after="156" w:line="460" w:lineRule="atLeas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（大写）：人民币</w:t>
            </w:r>
            <w:r>
              <w:rPr>
                <w:rFonts w:hint="eastAsia" w:ascii="宋体" w:hAnsi="宋体" w:eastAsia="宋体" w:cs="宋体"/>
                <w:b/>
                <w:color w:val="auto"/>
                <w:sz w:val="21"/>
                <w:szCs w:val="21"/>
                <w:highlight w:val="none"/>
                <w:u w:val="single"/>
              </w:rPr>
              <w:t xml:space="preserve">            </w:t>
            </w:r>
          </w:p>
          <w:p w14:paraId="5F355F80">
            <w:pPr>
              <w:pStyle w:val="17"/>
              <w:spacing w:before="156" w:after="156" w:line="460" w:lineRule="atLeast"/>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rPr>
              <w:t xml:space="preserve">          </w:t>
            </w:r>
          </w:p>
        </w:tc>
      </w:tr>
    </w:tbl>
    <w:p w14:paraId="75AD82AF">
      <w:pPr>
        <w:overflowPunct w:val="0"/>
        <w:spacing w:line="460" w:lineRule="exact"/>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说明：</w:t>
      </w:r>
      <w:r>
        <w:rPr>
          <w:rFonts w:hint="eastAsia" w:ascii="宋体" w:hAnsi="宋体" w:eastAsia="宋体" w:cs="宋体"/>
          <w:b/>
          <w:color w:val="auto"/>
          <w:sz w:val="21"/>
          <w:szCs w:val="21"/>
          <w:highlight w:val="none"/>
        </w:rPr>
        <w:t xml:space="preserve"> </w:t>
      </w:r>
    </w:p>
    <w:p w14:paraId="1DF2BB5E">
      <w:pPr>
        <w:pStyle w:val="6"/>
        <w:numPr>
          <w:ilvl w:val="0"/>
          <w:numId w:val="3"/>
        </w:numPr>
        <w:adjustRightInd w:val="0"/>
        <w:spacing w:before="0" w:after="0" w:line="360" w:lineRule="auto"/>
        <w:textAlignment w:val="baseline"/>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投标报价（总价）包含本项目的</w:t>
      </w:r>
      <w:r>
        <w:rPr>
          <w:rFonts w:hint="eastAsia" w:ascii="宋体" w:hAnsi="宋体" w:eastAsia="宋体" w:cs="宋体"/>
          <w:color w:val="auto"/>
          <w:sz w:val="21"/>
          <w:szCs w:val="21"/>
          <w:highlight w:val="none"/>
        </w:rPr>
        <w:t>人力成本、设备成本、管理费、资料费用、调查费用、专家考察、咨询及审查费、正式报告印刷费、交通费、保险费、税费等完成本项目的所有费用</w:t>
      </w:r>
      <w:r>
        <w:rPr>
          <w:rFonts w:hint="eastAsia" w:ascii="宋体" w:hAnsi="宋体" w:eastAsia="宋体" w:cs="宋体"/>
          <w:b w:val="0"/>
          <w:color w:val="auto"/>
          <w:sz w:val="21"/>
          <w:szCs w:val="21"/>
          <w:highlight w:val="none"/>
        </w:rPr>
        <w:t>，以及合同实施过程中的应预见和不可预见费用等完成合同规定责任和义务、达到合同目的的一切费用及企业利润。</w:t>
      </w:r>
    </w:p>
    <w:p w14:paraId="448D6DC5">
      <w:pPr>
        <w:overflowPunct w:val="0"/>
        <w:spacing w:line="460" w:lineRule="exac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、不提供开标一览表的投标文件将被视为未实质性响应招标文件。</w:t>
      </w:r>
    </w:p>
    <w:p w14:paraId="410249F9">
      <w:pPr>
        <w:spacing w:line="46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Theme="minorEastAsia" w:hAnsiTheme="minorEastAsia" w:eastAsiaTheme="minorEastAsia" w:cstheme="minorEastAsia"/>
          <w:color w:val="auto"/>
          <w:szCs w:val="21"/>
          <w:highlight w:val="none"/>
          <w:lang w:val="en-US" w:eastAsia="zh-CN"/>
        </w:rPr>
        <w:t>每年限价42万元，2年总限价84万元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val="en-US" w:eastAsia="zh-CN"/>
        </w:rPr>
        <w:t>其中</w:t>
      </w:r>
      <w:r>
        <w:rPr>
          <w:rFonts w:hint="default" w:asciiTheme="minorEastAsia" w:hAnsiTheme="minorEastAsia" w:eastAsiaTheme="minorEastAsia" w:cstheme="minorEastAsia"/>
          <w:color w:val="auto"/>
          <w:szCs w:val="21"/>
          <w:highlight w:val="none"/>
          <w:lang w:val="en-US" w:eastAsia="zh-CN"/>
        </w:rPr>
        <w:t>温州港南岳港务有限公司</w:t>
      </w:r>
      <w:r>
        <w:rPr>
          <w:rFonts w:hint="eastAsia" w:asciiTheme="minorEastAsia" w:hAnsiTheme="minorEastAsia" w:eastAsiaTheme="minorEastAsia" w:cstheme="minorEastAsia"/>
          <w:color w:val="auto"/>
          <w:szCs w:val="21"/>
          <w:highlight w:val="none"/>
          <w:lang w:val="en-US" w:eastAsia="zh-CN"/>
        </w:rPr>
        <w:t>42万元</w:t>
      </w:r>
      <w:r>
        <w:rPr>
          <w:rFonts w:hint="default"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lang w:eastAsia="zh-CN"/>
        </w:rPr>
        <w:t>温州港益嘉港务有限公司</w:t>
      </w:r>
      <w:r>
        <w:rPr>
          <w:rFonts w:hint="eastAsia" w:asciiTheme="minorEastAsia" w:hAnsiTheme="minorEastAsia" w:eastAsiaTheme="minorEastAsia" w:cstheme="minorEastAsia"/>
          <w:color w:val="auto"/>
          <w:szCs w:val="21"/>
          <w:highlight w:val="none"/>
          <w:lang w:val="en-US" w:eastAsia="zh-CN"/>
        </w:rPr>
        <w:t>42万元）</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投标人</w:t>
      </w:r>
      <w:r>
        <w:rPr>
          <w:rFonts w:hint="eastAsia" w:asciiTheme="minorEastAsia" w:hAnsiTheme="minorEastAsia" w:eastAsiaTheme="minorEastAsia" w:cstheme="minorEastAsia"/>
          <w:color w:val="auto"/>
          <w:szCs w:val="21"/>
          <w:highlight w:val="none"/>
          <w:lang w:eastAsia="zh-CN"/>
        </w:rPr>
        <w:t>中标后</w:t>
      </w:r>
      <w:r>
        <w:rPr>
          <w:rFonts w:hint="eastAsia" w:asciiTheme="minorEastAsia" w:hAnsiTheme="minorEastAsia" w:eastAsiaTheme="minorEastAsia" w:cstheme="minorEastAsia"/>
          <w:color w:val="auto"/>
          <w:szCs w:val="21"/>
          <w:highlight w:val="none"/>
          <w:lang w:val="en-US" w:eastAsia="zh-CN"/>
        </w:rPr>
        <w:t>将与</w:t>
      </w:r>
      <w:r>
        <w:rPr>
          <w:rFonts w:hint="eastAsia" w:asciiTheme="minorEastAsia" w:hAnsiTheme="minorEastAsia" w:eastAsiaTheme="minorEastAsia" w:cstheme="minorEastAsia"/>
          <w:color w:val="auto"/>
          <w:szCs w:val="21"/>
          <w:highlight w:val="none"/>
          <w:lang w:eastAsia="zh-CN"/>
        </w:rPr>
        <w:t>温州港南岳港务有限公司、温州港益嘉港务有限公司分别签订合同，</w:t>
      </w:r>
      <w:r>
        <w:rPr>
          <w:rFonts w:hint="eastAsia" w:asciiTheme="minorEastAsia" w:hAnsiTheme="minorEastAsia" w:eastAsiaTheme="minorEastAsia" w:cstheme="minorEastAsia"/>
          <w:color w:val="auto"/>
          <w:szCs w:val="21"/>
          <w:highlight w:val="none"/>
          <w:lang w:val="en-US" w:eastAsia="zh-CN"/>
        </w:rPr>
        <w:t>合同一年一签，每年每份合同价款均按中标价的四分之一计取</w:t>
      </w:r>
      <w:r>
        <w:rPr>
          <w:rFonts w:hint="eastAsia" w:asciiTheme="minorEastAsia" w:hAnsiTheme="minorEastAsia" w:eastAsiaTheme="minorEastAsia" w:cstheme="minorEastAsia"/>
          <w:color w:val="auto"/>
          <w:szCs w:val="21"/>
          <w:highlight w:val="none"/>
          <w:lang w:eastAsia="zh-CN"/>
        </w:rPr>
        <w:t>。</w:t>
      </w:r>
    </w:p>
    <w:p w14:paraId="7A42D170">
      <w:pPr>
        <w:spacing w:line="460" w:lineRule="exact"/>
        <w:rPr>
          <w:rFonts w:hint="eastAsia" w:ascii="宋体" w:hAnsi="宋体" w:eastAsia="宋体" w:cs="宋体"/>
          <w:b/>
          <w:bCs/>
          <w:color w:val="auto"/>
          <w:sz w:val="21"/>
          <w:szCs w:val="21"/>
          <w:highlight w:val="none"/>
        </w:rPr>
      </w:pPr>
    </w:p>
    <w:p w14:paraId="2B1F5EA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投标人全称（盖章）：</w:t>
      </w:r>
    </w:p>
    <w:p w14:paraId="3E62EF25">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法定代表人或授权代表（签字或盖章）：</w:t>
      </w:r>
    </w:p>
    <w:p w14:paraId="557A8C97">
      <w:pPr>
        <w:spacing w:line="3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日 期：  年  月  日</w:t>
      </w:r>
      <w:r>
        <w:rPr>
          <w:rFonts w:hint="eastAsia" w:ascii="宋体" w:hAnsi="宋体" w:eastAsia="宋体" w:cs="宋体"/>
          <w:b/>
          <w:bCs/>
          <w:color w:val="auto"/>
          <w:sz w:val="21"/>
          <w:szCs w:val="21"/>
          <w:highlight w:val="none"/>
        </w:rPr>
        <w:t xml:space="preserve"> </w:t>
      </w:r>
    </w:p>
    <w:p w14:paraId="659A9C0B">
      <w:pPr>
        <w:rPr>
          <w:rFonts w:hint="eastAsia" w:ascii="宋体" w:hAnsi="宋体" w:eastAsia="宋体" w:cs="宋体"/>
          <w:b/>
          <w:color w:val="auto"/>
          <w:sz w:val="24"/>
          <w:highlight w:val="none"/>
        </w:rPr>
      </w:pPr>
    </w:p>
    <w:sectPr>
      <w:footerReference r:id="rId6" w:type="default"/>
      <w:pgSz w:w="11906" w:h="16838"/>
      <w:pgMar w:top="1417" w:right="124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A83E">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292100"/>
              <wp:effectExtent l="0" t="1270" r="635"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292100"/>
                      </a:xfrm>
                      <a:prstGeom prst="rect">
                        <a:avLst/>
                      </a:prstGeom>
                      <a:noFill/>
                      <a:ln>
                        <a:noFill/>
                      </a:ln>
                    </wps:spPr>
                    <wps:txbx>
                      <w:txbxContent>
                        <w:p w14:paraId="11AEA563">
                          <w:pPr>
                            <w:pStyle w:val="19"/>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pt;width:4.55pt;mso-position-horizontal:center;mso-position-horizontal-relative:margin;mso-wrap-style:none;z-index:251660288;mso-width-relative:page;mso-height-relative:page;" filled="f" stroked="f" coordsize="21600,21600" o:gfxdata="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eY/XzQAAAAAgEAAA8AAAAAAAAAAQAgAAAAIgAAAGRycy9k&#10;b3ducmV2LnhtbFBLAQIUABQAAAAIAIdO4kAkVCwrCgIAAAEEAAAOAAAAAAAAAAEAIAAAAB8BAABk&#10;cnMvZTJvRG9jLnhtbFBLBQYAAAAABgAGAFkBAACbBQAAAAA=&#10;">
              <v:fill on="f" focussize="0,0"/>
              <v:stroke on="f"/>
              <v:imagedata o:title=""/>
              <o:lock v:ext="edit" aspectratio="f"/>
              <v:textbox inset="0mm,0mm,0mm,0mm" style="mso-fit-shape-to-text:t;">
                <w:txbxContent>
                  <w:p w14:paraId="11AEA563">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AF1C">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2100"/>
              <wp:effectExtent l="0" t="0" r="635"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292100"/>
                      </a:xfrm>
                      <a:prstGeom prst="rect">
                        <a:avLst/>
                      </a:prstGeom>
                      <a:noFill/>
                      <a:ln>
                        <a:noFill/>
                      </a:ln>
                    </wps:spPr>
                    <wps:txbx>
                      <w:txbxContent>
                        <w:p w14:paraId="09F6B244">
                          <w:pPr>
                            <w:pStyle w:val="19"/>
                          </w:pPr>
                          <w:r>
                            <w:fldChar w:fldCharType="begin"/>
                          </w:r>
                          <w:r>
                            <w:instrText xml:space="preserve"> PAGE  \* MERGEFORMAT </w:instrText>
                          </w:r>
                          <w:r>
                            <w:fldChar w:fldCharType="separate"/>
                          </w:r>
                          <w:r>
                            <w:t>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59264;mso-width-relative:page;mso-height-relative:page;" filled="f" stroked="f" coordsize="21600,21600" o:gfxdata="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ZecdAAAAADAQAADwAAAAAAAAABACAAAAAiAAAAZHJzL2Rv&#10;d25yZXYueG1sUEsBAhQAFAAAAAgAh07iQCJrn6EJAgAAAgQAAA4AAAAAAAAAAQAgAAAAHwEAAGRy&#10;cy9lMm9Eb2MueG1sUEsFBgAAAAAGAAYAWQEAAJoFAAAAAA==&#10;">
              <v:fill on="f" focussize="0,0"/>
              <v:stroke on="f"/>
              <v:imagedata o:title=""/>
              <o:lock v:ext="edit" aspectratio="f"/>
              <v:textbox inset="0mm,0mm,0mm,0mm" style="mso-fit-shape-to-text:t;">
                <w:txbxContent>
                  <w:p w14:paraId="09F6B244">
                    <w:pPr>
                      <w:pStyle w:val="1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230A"/>
    <w:multiLevelType w:val="singleLevel"/>
    <w:tmpl w:val="CE4B230A"/>
    <w:lvl w:ilvl="0" w:tentative="0">
      <w:start w:val="12"/>
      <w:numFmt w:val="chineseCounting"/>
      <w:suff w:val="nothing"/>
      <w:lvlText w:val="（%1）"/>
      <w:lvlJc w:val="left"/>
      <w:rPr>
        <w:rFonts w:hint="eastAsia"/>
      </w:rPr>
    </w:lvl>
  </w:abstractNum>
  <w:abstractNum w:abstractNumId="1">
    <w:nsid w:val="E38E12F5"/>
    <w:multiLevelType w:val="singleLevel"/>
    <w:tmpl w:val="E38E12F5"/>
    <w:lvl w:ilvl="0" w:tentative="0">
      <w:start w:val="1"/>
      <w:numFmt w:val="decimal"/>
      <w:suff w:val="nothing"/>
      <w:lvlText w:val="%1、"/>
      <w:lvlJc w:val="left"/>
    </w:lvl>
  </w:abstractNum>
  <w:abstractNum w:abstractNumId="2">
    <w:nsid w:val="5C17A204"/>
    <w:multiLevelType w:val="singleLevel"/>
    <w:tmpl w:val="5C17A204"/>
    <w:lvl w:ilvl="0" w:tentative="0">
      <w:start w:val="1"/>
      <w:numFmt w:val="decimal"/>
      <w:pStyle w:val="7"/>
      <w:lvlText w:val="%1."/>
      <w:lvlJc w:val="left"/>
      <w:pPr>
        <w:tabs>
          <w:tab w:val="left"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A72"/>
    <w:rsid w:val="00295A72"/>
    <w:rsid w:val="0029688B"/>
    <w:rsid w:val="00441793"/>
    <w:rsid w:val="00600A28"/>
    <w:rsid w:val="00765B74"/>
    <w:rsid w:val="00975545"/>
    <w:rsid w:val="0355001C"/>
    <w:rsid w:val="08625E0B"/>
    <w:rsid w:val="0A1F3E9D"/>
    <w:rsid w:val="0B392355"/>
    <w:rsid w:val="0CF500F5"/>
    <w:rsid w:val="0F521C26"/>
    <w:rsid w:val="105C4E7A"/>
    <w:rsid w:val="10B678A3"/>
    <w:rsid w:val="11FF2BDF"/>
    <w:rsid w:val="13282143"/>
    <w:rsid w:val="15E5170F"/>
    <w:rsid w:val="16053382"/>
    <w:rsid w:val="17937B2E"/>
    <w:rsid w:val="1AC90A11"/>
    <w:rsid w:val="1D4957F1"/>
    <w:rsid w:val="1D4F7B04"/>
    <w:rsid w:val="1D7F0C25"/>
    <w:rsid w:val="215A6368"/>
    <w:rsid w:val="22AF59F3"/>
    <w:rsid w:val="22CD6F6E"/>
    <w:rsid w:val="23A033E3"/>
    <w:rsid w:val="24422072"/>
    <w:rsid w:val="253913CB"/>
    <w:rsid w:val="26D1527F"/>
    <w:rsid w:val="299B6BAD"/>
    <w:rsid w:val="29D2013F"/>
    <w:rsid w:val="29E833DE"/>
    <w:rsid w:val="2B770F5A"/>
    <w:rsid w:val="2B936E8C"/>
    <w:rsid w:val="2BD001FB"/>
    <w:rsid w:val="2BD77E5E"/>
    <w:rsid w:val="2C424529"/>
    <w:rsid w:val="2D17253C"/>
    <w:rsid w:val="2D583F5E"/>
    <w:rsid w:val="2E1F45CC"/>
    <w:rsid w:val="2E526506"/>
    <w:rsid w:val="2ED9575E"/>
    <w:rsid w:val="30847DB4"/>
    <w:rsid w:val="30E107B4"/>
    <w:rsid w:val="310F3EF5"/>
    <w:rsid w:val="32961FB8"/>
    <w:rsid w:val="344A1EB2"/>
    <w:rsid w:val="351D0A29"/>
    <w:rsid w:val="35EB41E6"/>
    <w:rsid w:val="361E1B63"/>
    <w:rsid w:val="37AB0AC2"/>
    <w:rsid w:val="3835274B"/>
    <w:rsid w:val="3C37397E"/>
    <w:rsid w:val="3D1F7864"/>
    <w:rsid w:val="3DE73182"/>
    <w:rsid w:val="40F13E64"/>
    <w:rsid w:val="425753D6"/>
    <w:rsid w:val="4355666B"/>
    <w:rsid w:val="438869E8"/>
    <w:rsid w:val="489D2DBB"/>
    <w:rsid w:val="49865F45"/>
    <w:rsid w:val="4B4B34EE"/>
    <w:rsid w:val="4B667C68"/>
    <w:rsid w:val="4D6E6C73"/>
    <w:rsid w:val="4DF83669"/>
    <w:rsid w:val="4F601367"/>
    <w:rsid w:val="4F813436"/>
    <w:rsid w:val="4FB235F0"/>
    <w:rsid w:val="510C1F17"/>
    <w:rsid w:val="52833022"/>
    <w:rsid w:val="529459E4"/>
    <w:rsid w:val="52D13F22"/>
    <w:rsid w:val="56946E4B"/>
    <w:rsid w:val="58C32F5C"/>
    <w:rsid w:val="597A5E8E"/>
    <w:rsid w:val="59973856"/>
    <w:rsid w:val="5E4715C3"/>
    <w:rsid w:val="5F22091D"/>
    <w:rsid w:val="5FF04B48"/>
    <w:rsid w:val="600240AE"/>
    <w:rsid w:val="61C40671"/>
    <w:rsid w:val="61F97EB0"/>
    <w:rsid w:val="62B23BC1"/>
    <w:rsid w:val="63246DD4"/>
    <w:rsid w:val="67476FB1"/>
    <w:rsid w:val="675F43CF"/>
    <w:rsid w:val="6C0B435C"/>
    <w:rsid w:val="6C484294"/>
    <w:rsid w:val="6C747BEF"/>
    <w:rsid w:val="6CF05300"/>
    <w:rsid w:val="6D6E6937"/>
    <w:rsid w:val="6E397FB2"/>
    <w:rsid w:val="701424D6"/>
    <w:rsid w:val="702F681D"/>
    <w:rsid w:val="711F7F62"/>
    <w:rsid w:val="712E63F7"/>
    <w:rsid w:val="719374FA"/>
    <w:rsid w:val="721548AD"/>
    <w:rsid w:val="72461277"/>
    <w:rsid w:val="72D82D60"/>
    <w:rsid w:val="73CA68AB"/>
    <w:rsid w:val="74A86485"/>
    <w:rsid w:val="765B5EE0"/>
    <w:rsid w:val="781E7D4E"/>
    <w:rsid w:val="78EA3A9A"/>
    <w:rsid w:val="797B1383"/>
    <w:rsid w:val="7CB5646B"/>
    <w:rsid w:val="7F34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qFormat="1" w:unhideWhenUsed="0"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keepNext/>
      <w:jc w:val="center"/>
      <w:outlineLvl w:val="0"/>
    </w:pPr>
    <w:rPr>
      <w:rFonts w:eastAsia="黑体"/>
      <w:b/>
      <w:sz w:val="32"/>
      <w:szCs w:val="20"/>
    </w:rPr>
  </w:style>
  <w:style w:type="paragraph" w:styleId="3">
    <w:name w:val="heading 3"/>
    <w:basedOn w:val="1"/>
    <w:next w:val="4"/>
    <w:link w:val="35"/>
    <w:qFormat/>
    <w:uiPriority w:val="9"/>
    <w:pPr>
      <w:keepNext/>
      <w:keepLines/>
      <w:spacing w:before="260" w:after="260" w:line="416" w:lineRule="auto"/>
      <w:outlineLvl w:val="2"/>
    </w:pPr>
    <w:rPr>
      <w:rFonts w:ascii="Calibri" w:hAnsi="Calibri"/>
      <w:b/>
      <w:bCs/>
      <w:sz w:val="32"/>
      <w:szCs w:val="32"/>
    </w:rPr>
  </w:style>
  <w:style w:type="paragraph" w:styleId="5">
    <w:name w:val="heading 4"/>
    <w:basedOn w:val="1"/>
    <w:next w:val="1"/>
    <w:link w:val="36"/>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unhideWhenUsed/>
    <w:qFormat/>
    <w:uiPriority w:val="0"/>
    <w:pPr>
      <w:keepNext/>
      <w:keepLines/>
      <w:spacing w:before="280" w:after="290" w:line="376" w:lineRule="auto"/>
      <w:outlineLvl w:val="4"/>
    </w:pPr>
    <w:rPr>
      <w:b/>
      <w:bCs/>
      <w:sz w:val="28"/>
      <w:szCs w:val="28"/>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7">
    <w:name w:val="List Number"/>
    <w:basedOn w:val="1"/>
    <w:qFormat/>
    <w:uiPriority w:val="0"/>
    <w:pPr>
      <w:numPr>
        <w:ilvl w:val="0"/>
        <w:numId w:val="1"/>
      </w:numPr>
    </w:pPr>
  </w:style>
  <w:style w:type="paragraph" w:styleId="8">
    <w:name w:val="caption"/>
    <w:basedOn w:val="1"/>
    <w:next w:val="1"/>
    <w:qFormat/>
    <w:uiPriority w:val="0"/>
    <w:pPr>
      <w:spacing w:line="240" w:lineRule="auto"/>
    </w:pPr>
    <w:rPr>
      <w:rFonts w:ascii="Calibri Light" w:hAnsi="Calibri Light" w:eastAsia="黑体"/>
      <w:sz w:val="20"/>
      <w:szCs w:val="20"/>
    </w:rPr>
  </w:style>
  <w:style w:type="paragraph" w:styleId="9">
    <w:name w:val="annotation text"/>
    <w:basedOn w:val="1"/>
    <w:link w:val="39"/>
    <w:qFormat/>
    <w:uiPriority w:val="0"/>
    <w:pPr>
      <w:jc w:val="left"/>
    </w:pPr>
  </w:style>
  <w:style w:type="paragraph" w:styleId="10">
    <w:name w:val="Body Text"/>
    <w:basedOn w:val="1"/>
    <w:next w:val="11"/>
    <w:link w:val="40"/>
    <w:qFormat/>
    <w:uiPriority w:val="0"/>
    <w:pPr>
      <w:spacing w:after="120"/>
    </w:pPr>
    <w:rPr>
      <w:rFonts w:ascii="仿宋_GB2312"/>
      <w:b/>
    </w:rPr>
  </w:style>
  <w:style w:type="paragraph" w:styleId="11">
    <w:name w:val="Body Text First Indent"/>
    <w:basedOn w:val="1"/>
    <w:next w:val="12"/>
    <w:link w:val="41"/>
    <w:qFormat/>
    <w:uiPriority w:val="0"/>
    <w:pPr>
      <w:autoSpaceDE w:val="0"/>
      <w:autoSpaceDN w:val="0"/>
      <w:adjustRightInd w:val="0"/>
      <w:ind w:firstLine="200" w:firstLineChars="100"/>
    </w:pPr>
    <w:rPr>
      <w:rFonts w:ascii="Times New Roman"/>
      <w:kern w:val="0"/>
      <w:sz w:val="20"/>
      <w:szCs w:val="20"/>
    </w:rPr>
  </w:style>
  <w:style w:type="paragraph" w:styleId="12">
    <w:name w:val="toc 6"/>
    <w:basedOn w:val="1"/>
    <w:next w:val="1"/>
    <w:qFormat/>
    <w:uiPriority w:val="39"/>
    <w:pPr>
      <w:jc w:val="center"/>
    </w:pPr>
  </w:style>
  <w:style w:type="paragraph" w:styleId="13">
    <w:name w:val="Body Text Indent"/>
    <w:basedOn w:val="1"/>
    <w:link w:val="37"/>
    <w:unhideWhenUsed/>
    <w:qFormat/>
    <w:uiPriority w:val="0"/>
    <w:pPr>
      <w:spacing w:after="120"/>
      <w:ind w:left="420" w:leftChars="200"/>
    </w:pPr>
  </w:style>
  <w:style w:type="paragraph" w:styleId="14">
    <w:name w:val="List 2"/>
    <w:basedOn w:val="1"/>
    <w:unhideWhenUsed/>
    <w:qFormat/>
    <w:uiPriority w:val="99"/>
    <w:pPr>
      <w:ind w:left="100" w:leftChars="200" w:hanging="200" w:hangingChars="200"/>
      <w:contextualSpacing/>
    </w:pPr>
  </w:style>
  <w:style w:type="paragraph" w:styleId="15">
    <w:name w:val="Block Text"/>
    <w:basedOn w:val="1"/>
    <w:qFormat/>
    <w:uiPriority w:val="0"/>
    <w:pPr>
      <w:spacing w:line="520" w:lineRule="exact"/>
      <w:ind w:left="540" w:leftChars="257" w:right="-514"/>
    </w:pPr>
    <w:rPr>
      <w:rFonts w:ascii="宋体" w:hAnsi="宋体"/>
      <w:sz w:val="24"/>
    </w:rPr>
  </w:style>
  <w:style w:type="paragraph" w:styleId="16">
    <w:name w:val="toc 3"/>
    <w:basedOn w:val="1"/>
    <w:next w:val="1"/>
    <w:qFormat/>
    <w:uiPriority w:val="0"/>
    <w:pPr>
      <w:ind w:left="840" w:leftChars="400"/>
    </w:pPr>
  </w:style>
  <w:style w:type="paragraph" w:styleId="17">
    <w:name w:val="Plain Text"/>
    <w:basedOn w:val="1"/>
    <w:link w:val="42"/>
    <w:qFormat/>
    <w:uiPriority w:val="0"/>
    <w:pPr>
      <w:spacing w:beforeLines="50" w:afterLines="50" w:line="400" w:lineRule="exact"/>
    </w:pPr>
    <w:rPr>
      <w:rFonts w:ascii="宋体" w:hAnsi="Courier New"/>
      <w:kern w:val="0"/>
      <w:sz w:val="24"/>
    </w:rPr>
  </w:style>
  <w:style w:type="paragraph" w:styleId="18">
    <w:name w:val="Balloon Text"/>
    <w:basedOn w:val="1"/>
    <w:link w:val="43"/>
    <w:qFormat/>
    <w:uiPriority w:val="0"/>
    <w:rPr>
      <w:sz w:val="18"/>
      <w:szCs w:val="18"/>
    </w:rPr>
  </w:style>
  <w:style w:type="paragraph" w:styleId="19">
    <w:name w:val="footer"/>
    <w:basedOn w:val="1"/>
    <w:link w:val="44"/>
    <w:qFormat/>
    <w:uiPriority w:val="0"/>
    <w:pPr>
      <w:tabs>
        <w:tab w:val="center" w:pos="4153"/>
        <w:tab w:val="right" w:pos="8306"/>
      </w:tabs>
      <w:snapToGrid w:val="0"/>
      <w:jc w:val="left"/>
    </w:pPr>
    <w:rPr>
      <w:sz w:val="18"/>
      <w:szCs w:val="18"/>
    </w:rPr>
  </w:style>
  <w:style w:type="paragraph" w:styleId="20">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Subtitle"/>
    <w:basedOn w:val="1"/>
    <w:next w:val="1"/>
    <w:link w:val="46"/>
    <w:qFormat/>
    <w:uiPriority w:val="11"/>
    <w:pPr>
      <w:spacing w:before="240" w:after="60" w:line="312" w:lineRule="auto"/>
      <w:jc w:val="center"/>
      <w:outlineLvl w:val="1"/>
    </w:pPr>
    <w:rPr>
      <w:rFonts w:ascii="Cambria" w:hAnsi="Cambria"/>
      <w:b/>
      <w:bCs/>
      <w:kern w:val="28"/>
      <w:sz w:val="32"/>
      <w:szCs w:val="32"/>
    </w:rPr>
  </w:style>
  <w:style w:type="paragraph" w:styleId="23">
    <w:name w:val="Body Text Indent 3"/>
    <w:basedOn w:val="1"/>
    <w:link w:val="47"/>
    <w:unhideWhenUsed/>
    <w:qFormat/>
    <w:uiPriority w:val="99"/>
    <w:pPr>
      <w:spacing w:after="120"/>
      <w:ind w:left="420" w:leftChars="200"/>
    </w:pPr>
    <w:rPr>
      <w:kern w:val="0"/>
      <w:sz w:val="16"/>
      <w:szCs w:val="16"/>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8"/>
    <w:qFormat/>
    <w:uiPriority w:val="0"/>
    <w:pPr>
      <w:spacing w:before="480" w:after="300"/>
      <w:jc w:val="center"/>
      <w:outlineLvl w:val="0"/>
    </w:pPr>
    <w:rPr>
      <w:rFonts w:ascii="Cambria" w:hAnsi="Cambria"/>
      <w:b/>
      <w:bCs/>
      <w:sz w:val="32"/>
      <w:szCs w:val="32"/>
    </w:rPr>
  </w:style>
  <w:style w:type="paragraph" w:styleId="27">
    <w:name w:val="annotation subject"/>
    <w:basedOn w:val="9"/>
    <w:next w:val="9"/>
    <w:link w:val="49"/>
    <w:qFormat/>
    <w:uiPriority w:val="0"/>
    <w:rPr>
      <w:b/>
      <w:bCs/>
    </w:rPr>
  </w:style>
  <w:style w:type="paragraph" w:styleId="28">
    <w:name w:val="Body Text First Indent 2"/>
    <w:basedOn w:val="13"/>
    <w:link w:val="38"/>
    <w:qFormat/>
    <w:uiPriority w:val="0"/>
    <w:pPr>
      <w:ind w:left="840" w:hanging="420" w:hangingChars="200"/>
    </w:pPr>
    <w:rPr>
      <w:rFonts w:cs="宋体"/>
      <w:szCs w:val="21"/>
    </w:rPr>
  </w:style>
  <w:style w:type="table" w:styleId="30">
    <w:name w:val="Table Grid"/>
    <w:basedOn w:val="2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0"/>
    <w:rPr>
      <w:rFonts w:ascii="仿宋_GB2312" w:eastAsia="仿宋_GB2312"/>
      <w:b/>
      <w:color w:val="0000FF"/>
      <w:sz w:val="32"/>
      <w:szCs w:val="32"/>
      <w:u w:val="none"/>
    </w:rPr>
  </w:style>
  <w:style w:type="character" w:styleId="33">
    <w:name w:val="annotation reference"/>
    <w:unhideWhenUsed/>
    <w:qFormat/>
    <w:uiPriority w:val="0"/>
    <w:rPr>
      <w:sz w:val="21"/>
      <w:szCs w:val="21"/>
    </w:rPr>
  </w:style>
  <w:style w:type="character" w:customStyle="1" w:styleId="34">
    <w:name w:val="标题 1 Char"/>
    <w:basedOn w:val="31"/>
    <w:link w:val="2"/>
    <w:qFormat/>
    <w:uiPriority w:val="0"/>
    <w:rPr>
      <w:rFonts w:ascii="Times New Roman" w:hAnsi="Times New Roman" w:eastAsia="黑体" w:cs="Times New Roman"/>
      <w:b/>
      <w:sz w:val="32"/>
      <w:szCs w:val="20"/>
    </w:rPr>
  </w:style>
  <w:style w:type="character" w:customStyle="1" w:styleId="35">
    <w:name w:val="标题 3 Char"/>
    <w:basedOn w:val="31"/>
    <w:link w:val="3"/>
    <w:qFormat/>
    <w:uiPriority w:val="9"/>
    <w:rPr>
      <w:rFonts w:ascii="Calibri" w:hAnsi="Calibri" w:eastAsia="宋体" w:cs="Times New Roman"/>
      <w:b/>
      <w:bCs/>
      <w:sz w:val="32"/>
      <w:szCs w:val="32"/>
    </w:rPr>
  </w:style>
  <w:style w:type="character" w:customStyle="1" w:styleId="36">
    <w:name w:val="标题 4 Char"/>
    <w:basedOn w:val="31"/>
    <w:link w:val="5"/>
    <w:qFormat/>
    <w:uiPriority w:val="0"/>
    <w:rPr>
      <w:rFonts w:ascii="Arial" w:hAnsi="Arial" w:eastAsia="黑体" w:cs="Times New Roman"/>
      <w:b/>
      <w:bCs/>
      <w:kern w:val="0"/>
      <w:sz w:val="28"/>
      <w:szCs w:val="28"/>
    </w:rPr>
  </w:style>
  <w:style w:type="character" w:customStyle="1" w:styleId="37">
    <w:name w:val="正文文本缩进 Char"/>
    <w:basedOn w:val="31"/>
    <w:link w:val="13"/>
    <w:semiHidden/>
    <w:qFormat/>
    <w:uiPriority w:val="99"/>
    <w:rPr>
      <w:rFonts w:ascii="Times New Roman" w:hAnsi="Times New Roman" w:eastAsia="宋体" w:cs="Times New Roman"/>
      <w:szCs w:val="24"/>
    </w:rPr>
  </w:style>
  <w:style w:type="character" w:customStyle="1" w:styleId="38">
    <w:name w:val="正文首行缩进 2 Char"/>
    <w:basedOn w:val="37"/>
    <w:link w:val="28"/>
    <w:qFormat/>
    <w:uiPriority w:val="0"/>
    <w:rPr>
      <w:rFonts w:ascii="Times New Roman" w:hAnsi="Times New Roman" w:eastAsia="宋体" w:cs="宋体"/>
      <w:szCs w:val="21"/>
    </w:rPr>
  </w:style>
  <w:style w:type="character" w:customStyle="1" w:styleId="39">
    <w:name w:val="批注文字 Char"/>
    <w:basedOn w:val="31"/>
    <w:link w:val="9"/>
    <w:qFormat/>
    <w:uiPriority w:val="0"/>
    <w:rPr>
      <w:rFonts w:ascii="Times New Roman" w:hAnsi="Times New Roman" w:eastAsia="宋体" w:cs="Times New Roman"/>
      <w:szCs w:val="24"/>
    </w:rPr>
  </w:style>
  <w:style w:type="character" w:customStyle="1" w:styleId="40">
    <w:name w:val="正文文本 Char"/>
    <w:basedOn w:val="31"/>
    <w:link w:val="10"/>
    <w:qFormat/>
    <w:uiPriority w:val="0"/>
    <w:rPr>
      <w:rFonts w:ascii="仿宋_GB2312" w:hAnsi="Times New Roman" w:eastAsia="宋体" w:cs="Times New Roman"/>
      <w:b/>
      <w:szCs w:val="24"/>
    </w:rPr>
  </w:style>
  <w:style w:type="character" w:customStyle="1" w:styleId="41">
    <w:name w:val="正文首行缩进 Char"/>
    <w:basedOn w:val="40"/>
    <w:link w:val="11"/>
    <w:qFormat/>
    <w:uiPriority w:val="0"/>
    <w:rPr>
      <w:rFonts w:ascii="Times New Roman" w:hAnsi="Times New Roman" w:eastAsia="宋体" w:cs="Times New Roman"/>
      <w:b w:val="0"/>
      <w:kern w:val="0"/>
      <w:sz w:val="20"/>
      <w:szCs w:val="20"/>
    </w:rPr>
  </w:style>
  <w:style w:type="character" w:customStyle="1" w:styleId="42">
    <w:name w:val="纯文本 Char"/>
    <w:basedOn w:val="31"/>
    <w:link w:val="17"/>
    <w:qFormat/>
    <w:uiPriority w:val="0"/>
    <w:rPr>
      <w:rFonts w:ascii="宋体" w:hAnsi="Courier New" w:eastAsia="宋体" w:cs="Times New Roman"/>
      <w:kern w:val="0"/>
      <w:sz w:val="24"/>
      <w:szCs w:val="24"/>
    </w:rPr>
  </w:style>
  <w:style w:type="character" w:customStyle="1" w:styleId="43">
    <w:name w:val="批注框文本 Char"/>
    <w:basedOn w:val="31"/>
    <w:link w:val="18"/>
    <w:qFormat/>
    <w:uiPriority w:val="0"/>
    <w:rPr>
      <w:rFonts w:ascii="Times New Roman" w:hAnsi="Times New Roman" w:eastAsia="宋体" w:cs="Times New Roman"/>
      <w:sz w:val="18"/>
      <w:szCs w:val="18"/>
    </w:rPr>
  </w:style>
  <w:style w:type="character" w:customStyle="1" w:styleId="44">
    <w:name w:val="页脚 Char"/>
    <w:basedOn w:val="31"/>
    <w:link w:val="19"/>
    <w:qFormat/>
    <w:uiPriority w:val="0"/>
    <w:rPr>
      <w:rFonts w:ascii="Times New Roman" w:hAnsi="Times New Roman" w:eastAsia="宋体" w:cs="Times New Roman"/>
      <w:sz w:val="18"/>
      <w:szCs w:val="18"/>
    </w:rPr>
  </w:style>
  <w:style w:type="character" w:customStyle="1" w:styleId="45">
    <w:name w:val="页眉 Char"/>
    <w:basedOn w:val="31"/>
    <w:link w:val="20"/>
    <w:qFormat/>
    <w:uiPriority w:val="0"/>
    <w:rPr>
      <w:rFonts w:ascii="Times New Roman" w:hAnsi="Times New Roman" w:eastAsia="宋体" w:cs="Times New Roman"/>
      <w:sz w:val="18"/>
      <w:szCs w:val="18"/>
    </w:rPr>
  </w:style>
  <w:style w:type="character" w:customStyle="1" w:styleId="46">
    <w:name w:val="副标题 Char"/>
    <w:basedOn w:val="31"/>
    <w:link w:val="22"/>
    <w:qFormat/>
    <w:uiPriority w:val="11"/>
    <w:rPr>
      <w:rFonts w:ascii="Cambria" w:hAnsi="Cambria" w:eastAsia="宋体" w:cs="Times New Roman"/>
      <w:b/>
      <w:bCs/>
      <w:kern w:val="28"/>
      <w:sz w:val="32"/>
      <w:szCs w:val="32"/>
    </w:rPr>
  </w:style>
  <w:style w:type="character" w:customStyle="1" w:styleId="47">
    <w:name w:val="正文文本缩进 3 Char"/>
    <w:basedOn w:val="31"/>
    <w:link w:val="23"/>
    <w:qFormat/>
    <w:uiPriority w:val="99"/>
    <w:rPr>
      <w:rFonts w:ascii="Times New Roman" w:hAnsi="Times New Roman" w:eastAsia="宋体" w:cs="Times New Roman"/>
      <w:kern w:val="0"/>
      <w:sz w:val="16"/>
      <w:szCs w:val="16"/>
    </w:rPr>
  </w:style>
  <w:style w:type="character" w:customStyle="1" w:styleId="48">
    <w:name w:val="标题 Char"/>
    <w:basedOn w:val="31"/>
    <w:link w:val="26"/>
    <w:qFormat/>
    <w:uiPriority w:val="0"/>
    <w:rPr>
      <w:rFonts w:ascii="Cambria" w:hAnsi="Cambria" w:eastAsia="宋体" w:cs="Times New Roman"/>
      <w:b/>
      <w:bCs/>
      <w:sz w:val="32"/>
      <w:szCs w:val="32"/>
    </w:rPr>
  </w:style>
  <w:style w:type="character" w:customStyle="1" w:styleId="49">
    <w:name w:val="批注主题 Char"/>
    <w:basedOn w:val="39"/>
    <w:link w:val="27"/>
    <w:qFormat/>
    <w:uiPriority w:val="0"/>
    <w:rPr>
      <w:rFonts w:ascii="Times New Roman" w:hAnsi="Times New Roman" w:eastAsia="宋体" w:cs="Times New Roman"/>
      <w:b/>
      <w:bCs/>
      <w:szCs w:val="24"/>
    </w:rPr>
  </w:style>
  <w:style w:type="paragraph" w:customStyle="1" w:styleId="50">
    <w:name w:val="Table Text"/>
    <w:basedOn w:val="1"/>
    <w:semiHidden/>
    <w:qFormat/>
    <w:uiPriority w:val="0"/>
    <w:rPr>
      <w:rFonts w:ascii="宋体" w:hAnsi="宋体" w:cs="宋体"/>
      <w:sz w:val="19"/>
      <w:szCs w:val="19"/>
      <w:lang w:eastAsia="en-US"/>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table" w:customStyle="1" w:styleId="52">
    <w:name w:val="Table Normal"/>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53">
    <w:name w:val="正文文本1"/>
    <w:basedOn w:val="1"/>
    <w:qFormat/>
    <w:uiPriority w:val="0"/>
    <w:pPr>
      <w:spacing w:after="120"/>
    </w:pPr>
  </w:style>
  <w:style w:type="paragraph" w:customStyle="1" w:styleId="54">
    <w:name w:val="纯文本1"/>
    <w:basedOn w:val="1"/>
    <w:qFormat/>
    <w:uiPriority w:val="0"/>
    <w:pPr>
      <w:overflowPunct w:val="0"/>
      <w:autoSpaceDE w:val="0"/>
      <w:autoSpaceDN w:val="0"/>
      <w:jc w:val="left"/>
    </w:pPr>
    <w:rPr>
      <w:rFonts w:ascii="宋体" w:hAnsi="Courier New"/>
      <w:kern w:val="0"/>
      <w:szCs w:val="21"/>
    </w:rPr>
  </w:style>
  <w:style w:type="paragraph" w:customStyle="1" w:styleId="55">
    <w:name w:val="_Style 1"/>
    <w:basedOn w:val="1"/>
    <w:qFormat/>
    <w:uiPriority w:val="0"/>
    <w:pPr>
      <w:ind w:firstLine="420" w:firstLineChars="200"/>
    </w:pPr>
    <w:rPr>
      <w:rFonts w:ascii="Calibri" w:hAnsi="Calibri"/>
      <w:szCs w:val="20"/>
    </w:rPr>
  </w:style>
  <w:style w:type="paragraph" w:styleId="56">
    <w:name w:val="List Paragraph"/>
    <w:basedOn w:val="1"/>
    <w:qFormat/>
    <w:uiPriority w:val="34"/>
    <w:pPr>
      <w:ind w:firstLine="420" w:firstLineChars="200"/>
    </w:pPr>
  </w:style>
  <w:style w:type="paragraph" w:customStyle="1" w:styleId="57">
    <w:name w:val="表格文字"/>
    <w:basedOn w:val="1"/>
    <w:next w:val="10"/>
    <w:qFormat/>
    <w:uiPriority w:val="0"/>
    <w:pPr>
      <w:adjustRightInd w:val="0"/>
      <w:spacing w:line="420" w:lineRule="atLeast"/>
      <w:jc w:val="left"/>
      <w:textAlignment w:val="baseline"/>
    </w:pPr>
    <w:rPr>
      <w:kern w:val="0"/>
      <w:szCs w:val="20"/>
    </w:rPr>
  </w:style>
  <w:style w:type="paragraph" w:customStyle="1" w:styleId="58">
    <w:name w:val="保留正文"/>
    <w:basedOn w:val="10"/>
    <w:qFormat/>
    <w:uiPriority w:val="0"/>
    <w:pPr>
      <w:keepNext/>
    </w:pPr>
    <w:rPr>
      <w:szCs w:val="20"/>
    </w:rPr>
  </w:style>
  <w:style w:type="paragraph" w:customStyle="1" w:styleId="59">
    <w:name w:val="Table Paragraph"/>
    <w:basedOn w:val="1"/>
    <w:qFormat/>
    <w:uiPriority w:val="1"/>
    <w:pPr>
      <w:autoSpaceDE w:val="0"/>
      <w:autoSpaceDN w:val="0"/>
      <w:adjustRightInd w:val="0"/>
      <w:jc w:val="left"/>
    </w:pPr>
    <w:rPr>
      <w:rFonts w:ascii="黑体" w:hAnsi="黑体" w:cs="黑体"/>
      <w:kern w:val="0"/>
      <w:sz w:val="24"/>
    </w:rPr>
  </w:style>
  <w:style w:type="paragraph" w:customStyle="1" w:styleId="60">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2">
    <w:name w:val="biaoge"/>
    <w:basedOn w:val="1"/>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19622</Words>
  <Characters>20752</Characters>
  <Lines>273</Lines>
  <Paragraphs>77</Paragraphs>
  <TotalTime>0</TotalTime>
  <ScaleCrop>false</ScaleCrop>
  <LinksUpToDate>false</LinksUpToDate>
  <CharactersWithSpaces>21314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2024-12-18T07:20:00Z</dcterms:created>
  <dc:creator>邱凯</dc:creator>
  <cp:lastModifiedBy>A^o^( ^ω^ )jiang</cp:lastModifiedBy>
  <cp:lastPrinted>2025-11-27T11:49:00Z</cp:lastPrinted>
  <dcterms:modified xsi:type="dcterms:W3CDTF">2026-01-26T02:55:39Z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eyJoZGlkIjoiMGJmZmMxMzIwZDQ5OThjNzg5OTM1ZWI2NGU2MDg5NjQiLCJ1c2VySWQiOiIxMzAwODY5NjU4In0=</vt:lpwstr>
  </property>
  <property fmtid="{D5CDD505-2E9C-101B-9397-08002B2CF9AE}" pid="3" name="KSOProductBuildVer">
    <vt:lpwstr>2052-12.1.0.24657</vt:lpwstr>
  </property>
  <property fmtid="{D5CDD505-2E9C-101B-9397-08002B2CF9AE}" pid="4" name="ICV">
    <vt:lpwstr>6027630754D740699F39E208A72F8842_13</vt:lpwstr>
  </property>
</Properties>
</file>