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spacing w:line="500" w:lineRule="atLeast"/>
        <w:textAlignment w:val="bottom"/>
        <w:rPr>
          <w:rFonts w:hint="eastAsia"/>
          <w:b/>
          <w:bCs/>
          <w:sz w:val="72"/>
          <w:szCs w:val="72"/>
        </w:rPr>
      </w:pPr>
    </w:p>
    <w:p>
      <w:pPr>
        <w:adjustRightInd/>
        <w:spacing w:after="120" w:line="240" w:lineRule="auto"/>
        <w:jc w:val="center"/>
        <w:textAlignment w:val="auto"/>
        <w:rPr>
          <w:rFonts w:ascii="Times New Roman" w:hAnsi="Times New Roman"/>
        </w:rPr>
      </w:pPr>
      <w:r>
        <w:rPr>
          <w:rFonts w:hint="eastAsia"/>
          <w:b/>
          <w:bCs/>
          <w:sz w:val="48"/>
          <w:szCs w:val="48"/>
        </w:rPr>
        <w:t>物管公司海港大厦1号楼人员进出智能化改造项目</w:t>
      </w:r>
    </w:p>
    <w:p>
      <w:pPr>
        <w:adjustRightInd/>
        <w:spacing w:after="120" w:line="240" w:lineRule="auto"/>
        <w:ind w:firstLine="210" w:firstLineChars="100"/>
        <w:textAlignment w:val="auto"/>
        <w:rPr>
          <w:rFonts w:ascii="Times New Roman" w:hAnsi="Times New Roman"/>
        </w:rPr>
      </w:pPr>
    </w:p>
    <w:p>
      <w:pPr>
        <w:adjustRightInd/>
        <w:spacing w:after="120" w:line="240" w:lineRule="auto"/>
        <w:ind w:firstLine="210" w:firstLineChars="100"/>
        <w:textAlignment w:val="auto"/>
        <w:rPr>
          <w:rFonts w:ascii="Times New Roman" w:hAnsi="Times New Roman"/>
        </w:rPr>
      </w:pPr>
    </w:p>
    <w:p>
      <w:pPr>
        <w:adjustRightInd/>
        <w:spacing w:after="120" w:line="240" w:lineRule="auto"/>
        <w:textAlignment w:val="auto"/>
        <w:rPr>
          <w:rFonts w:ascii="Times New Roman" w:hAnsi="Times New Roman"/>
        </w:rPr>
      </w:pPr>
    </w:p>
    <w:p>
      <w:pPr>
        <w:adjustRightInd/>
        <w:spacing w:after="120" w:line="240" w:lineRule="auto"/>
        <w:ind w:firstLine="210" w:firstLineChars="100"/>
        <w:textAlignment w:val="auto"/>
        <w:rPr>
          <w:rFonts w:ascii="Times New Roman" w:hAnsi="Times New Roman"/>
        </w:rPr>
      </w:pPr>
    </w:p>
    <w:p>
      <w:pPr>
        <w:adjustRightInd/>
        <w:spacing w:after="120" w:line="240" w:lineRule="auto"/>
        <w:ind w:firstLine="210" w:firstLineChars="100"/>
        <w:textAlignment w:val="auto"/>
        <w:rPr>
          <w:rFonts w:ascii="Times New Roman" w:hAnsi="Times New Roman"/>
        </w:rPr>
      </w:pPr>
    </w:p>
    <w:p>
      <w:pPr>
        <w:autoSpaceDE w:val="0"/>
        <w:autoSpaceDN w:val="0"/>
        <w:adjustRightInd/>
        <w:spacing w:line="500" w:lineRule="atLeast"/>
        <w:jc w:val="center"/>
        <w:textAlignment w:val="bottom"/>
        <w:rPr>
          <w:rFonts w:hint="eastAsia"/>
          <w:b/>
          <w:bCs/>
          <w:sz w:val="72"/>
          <w:szCs w:val="72"/>
        </w:rPr>
      </w:pPr>
      <w:r>
        <w:rPr>
          <w:rFonts w:hint="eastAsia"/>
          <w:b/>
          <w:bCs/>
          <w:sz w:val="72"/>
          <w:szCs w:val="72"/>
        </w:rPr>
        <w:t>公开招标文件</w:t>
      </w:r>
    </w:p>
    <w:p>
      <w:pPr>
        <w:adjustRightInd/>
        <w:spacing w:line="240" w:lineRule="auto"/>
        <w:ind w:firstLine="2891" w:firstLineChars="900"/>
        <w:textAlignment w:val="auto"/>
        <w:rPr>
          <w:rFonts w:hint="eastAsia"/>
          <w:b/>
          <w:bCs/>
          <w:sz w:val="32"/>
          <w:szCs w:val="32"/>
        </w:rPr>
      </w:pPr>
    </w:p>
    <w:p>
      <w:pPr>
        <w:adjustRightInd/>
        <w:spacing w:line="240" w:lineRule="auto"/>
        <w:ind w:firstLine="2891" w:firstLineChars="900"/>
        <w:textAlignment w:val="auto"/>
        <w:rPr>
          <w:rFonts w:hint="eastAsia"/>
          <w:b/>
          <w:bCs/>
          <w:sz w:val="32"/>
          <w:szCs w:val="32"/>
        </w:rPr>
      </w:pPr>
      <w:r>
        <w:rPr>
          <w:rFonts w:hint="eastAsia"/>
          <w:b/>
          <w:bCs/>
          <w:sz w:val="32"/>
          <w:szCs w:val="32"/>
        </w:rPr>
        <w:t xml:space="preserve">项目编号：WGGCJS2026016 </w:t>
      </w:r>
      <w:r>
        <w:rPr>
          <w:rFonts w:hint="eastAsia"/>
          <w:b/>
          <w:bCs/>
          <w:sz w:val="32"/>
          <w:szCs w:val="32"/>
        </w:rPr>
        <w:t xml:space="preserve"> </w:t>
      </w:r>
    </w:p>
    <w:p>
      <w:pPr>
        <w:adjustRightInd/>
        <w:spacing w:line="240" w:lineRule="auto"/>
        <w:jc w:val="center"/>
        <w:textAlignment w:val="auto"/>
        <w:rPr>
          <w:rFonts w:hint="eastAsia"/>
          <w:b/>
          <w:bCs/>
          <w:sz w:val="28"/>
          <w:szCs w:val="28"/>
        </w:rPr>
      </w:pPr>
    </w:p>
    <w:p>
      <w:pPr>
        <w:adjustRightInd/>
        <w:spacing w:line="240" w:lineRule="auto"/>
        <w:jc w:val="center"/>
        <w:textAlignment w:val="auto"/>
        <w:rPr>
          <w:rFonts w:hint="eastAsia"/>
          <w:b/>
          <w:bCs/>
          <w:sz w:val="24"/>
        </w:rPr>
      </w:pPr>
      <w:bookmarkStart w:id="155" w:name="_GoBack"/>
      <w:bookmarkEnd w:id="155"/>
    </w:p>
    <w:p>
      <w:pPr>
        <w:adjustRightInd/>
        <w:spacing w:line="240" w:lineRule="auto"/>
        <w:jc w:val="center"/>
        <w:textAlignment w:val="auto"/>
        <w:rPr>
          <w:rFonts w:hint="eastAsia"/>
          <w:b/>
          <w:bCs/>
          <w:sz w:val="24"/>
        </w:rPr>
      </w:pPr>
    </w:p>
    <w:p>
      <w:pPr>
        <w:adjustRightInd/>
        <w:spacing w:line="240" w:lineRule="auto"/>
        <w:jc w:val="center"/>
        <w:textAlignment w:val="auto"/>
        <w:rPr>
          <w:rFonts w:hint="eastAsia"/>
          <w:b/>
          <w:bCs/>
          <w:sz w:val="24"/>
        </w:rPr>
      </w:pPr>
    </w:p>
    <w:p>
      <w:pPr>
        <w:adjustRightInd/>
        <w:spacing w:line="240" w:lineRule="auto"/>
        <w:jc w:val="center"/>
        <w:textAlignment w:val="auto"/>
        <w:rPr>
          <w:rFonts w:hint="eastAsia"/>
          <w:b/>
          <w:bCs/>
          <w:sz w:val="24"/>
        </w:rPr>
      </w:pPr>
    </w:p>
    <w:p>
      <w:pPr>
        <w:adjustRightInd/>
        <w:spacing w:line="240" w:lineRule="auto"/>
        <w:jc w:val="center"/>
        <w:textAlignment w:val="auto"/>
        <w:rPr>
          <w:rFonts w:hint="eastAsia"/>
          <w:b/>
          <w:bCs/>
          <w:sz w:val="24"/>
        </w:rPr>
      </w:pPr>
    </w:p>
    <w:p>
      <w:pPr>
        <w:adjustRightInd/>
        <w:spacing w:line="240" w:lineRule="auto"/>
        <w:jc w:val="center"/>
        <w:textAlignment w:val="auto"/>
        <w:rPr>
          <w:rFonts w:hint="eastAsia"/>
          <w:b/>
          <w:bCs/>
          <w:sz w:val="24"/>
        </w:rPr>
      </w:pPr>
    </w:p>
    <w:p>
      <w:pPr>
        <w:adjustRightInd/>
        <w:spacing w:after="120" w:line="240" w:lineRule="auto"/>
        <w:ind w:firstLine="210" w:firstLineChars="100"/>
        <w:textAlignment w:val="auto"/>
        <w:rPr>
          <w:rFonts w:ascii="Times New Roman" w:hAnsi="Times New Roman"/>
        </w:rPr>
      </w:pPr>
    </w:p>
    <w:p>
      <w:pPr>
        <w:adjustRightInd/>
        <w:spacing w:after="120" w:line="240" w:lineRule="auto"/>
        <w:ind w:firstLine="210" w:firstLineChars="100"/>
        <w:textAlignment w:val="auto"/>
        <w:rPr>
          <w:rFonts w:ascii="Times New Roman" w:hAnsi="Times New Roman"/>
        </w:rPr>
      </w:pPr>
    </w:p>
    <w:p>
      <w:pPr>
        <w:tabs>
          <w:tab w:val="left" w:pos="4860"/>
        </w:tabs>
        <w:adjustRightInd/>
        <w:spacing w:line="600" w:lineRule="exact"/>
        <w:jc w:val="left"/>
        <w:textAlignment w:val="auto"/>
        <w:rPr>
          <w:rFonts w:hint="eastAsia"/>
          <w:b/>
          <w:spacing w:val="40"/>
          <w:sz w:val="28"/>
          <w:szCs w:val="28"/>
        </w:rPr>
      </w:pPr>
    </w:p>
    <w:p>
      <w:pPr>
        <w:tabs>
          <w:tab w:val="left" w:pos="4860"/>
        </w:tabs>
        <w:adjustRightInd/>
        <w:spacing w:line="600" w:lineRule="exact"/>
        <w:ind w:right="-149"/>
        <w:jc w:val="center"/>
        <w:textAlignment w:val="auto"/>
        <w:rPr>
          <w:rFonts w:hint="eastAsia" w:cs="宋体"/>
          <w:sz w:val="32"/>
          <w:szCs w:val="32"/>
        </w:rPr>
      </w:pPr>
      <w:r>
        <w:rPr>
          <w:rFonts w:hint="eastAsia" w:cs="宋体"/>
          <w:sz w:val="32"/>
          <w:szCs w:val="32"/>
        </w:rPr>
        <w:t>招标人：温州港集团有限公司物业管理服务分公司</w:t>
      </w:r>
    </w:p>
    <w:p>
      <w:pPr>
        <w:tabs>
          <w:tab w:val="left" w:pos="4860"/>
        </w:tabs>
        <w:adjustRightInd/>
        <w:spacing w:line="600" w:lineRule="exact"/>
        <w:ind w:right="-149"/>
        <w:jc w:val="center"/>
        <w:textAlignment w:val="auto"/>
        <w:rPr>
          <w:rFonts w:hint="eastAsia" w:cs="宋体"/>
          <w:sz w:val="32"/>
          <w:szCs w:val="32"/>
        </w:rPr>
      </w:pPr>
      <w:r>
        <w:rPr>
          <w:rFonts w:hint="eastAsia" w:cs="宋体"/>
          <w:sz w:val="32"/>
          <w:szCs w:val="32"/>
        </w:rPr>
        <w:t>招标代理机构：浙江大勤建设项目管理有限公司</w:t>
      </w:r>
    </w:p>
    <w:p>
      <w:pPr>
        <w:tabs>
          <w:tab w:val="left" w:pos="4860"/>
        </w:tabs>
        <w:adjustRightInd/>
        <w:spacing w:line="600" w:lineRule="exact"/>
        <w:ind w:right="1143" w:firstLine="3356" w:firstLineChars="1049"/>
        <w:jc w:val="left"/>
        <w:textAlignment w:val="auto"/>
        <w:rPr>
          <w:rFonts w:hint="eastAsia" w:cs="宋体"/>
          <w:sz w:val="32"/>
          <w:szCs w:val="32"/>
        </w:rPr>
      </w:pPr>
      <w:r>
        <w:rPr>
          <w:rFonts w:hint="eastAsia" w:cs="宋体"/>
          <w:sz w:val="32"/>
          <w:szCs w:val="32"/>
        </w:rPr>
        <w:t>二〇二六年二月</w:t>
      </w:r>
    </w:p>
    <w:p>
      <w:pPr>
        <w:autoSpaceDE w:val="0"/>
        <w:autoSpaceDN w:val="0"/>
        <w:spacing w:line="360" w:lineRule="auto"/>
        <w:textAlignment w:val="center"/>
        <w:rPr>
          <w:rFonts w:hint="eastAsia"/>
        </w:rPr>
      </w:pPr>
      <w:r>
        <w:rPr>
          <w:sz w:val="31"/>
          <w:szCs w:val="31"/>
        </w:rPr>
        <w:br w:type="page"/>
      </w:r>
    </w:p>
    <w:p>
      <w:pPr>
        <w:spacing w:line="240" w:lineRule="auto"/>
        <w:jc w:val="center"/>
        <w:rPr>
          <w:rFonts w:hint="eastAsia"/>
          <w:sz w:val="44"/>
          <w:szCs w:val="44"/>
        </w:rPr>
      </w:pPr>
      <w:r>
        <w:rPr>
          <w:sz w:val="44"/>
          <w:szCs w:val="44"/>
        </w:rPr>
        <w:t>目录</w:t>
      </w:r>
    </w:p>
    <w:p>
      <w:pPr>
        <w:pStyle w:val="20"/>
        <w:tabs>
          <w:tab w:val="right" w:leader="dot" w:pos="9241"/>
        </w:tabs>
        <w:rPr>
          <w:rFonts w:hint="eastAsia"/>
        </w:rPr>
      </w:pPr>
      <w:r>
        <w:rPr>
          <w:rFonts w:hint="eastAsia" w:cs="宋体"/>
          <w:sz w:val="32"/>
          <w:szCs w:val="32"/>
        </w:rPr>
        <w:fldChar w:fldCharType="begin"/>
      </w:r>
      <w:r>
        <w:rPr>
          <w:rFonts w:hint="eastAsia" w:cs="宋体"/>
          <w:sz w:val="32"/>
          <w:szCs w:val="32"/>
        </w:rPr>
        <w:instrText xml:space="preserve">TOC \o "1-1" \h \u </w:instrText>
      </w:r>
      <w:r>
        <w:rPr>
          <w:rFonts w:hint="eastAsia" w:cs="宋体"/>
          <w:sz w:val="32"/>
          <w:szCs w:val="32"/>
        </w:rPr>
        <w:fldChar w:fldCharType="separate"/>
      </w:r>
      <w:r>
        <w:fldChar w:fldCharType="begin"/>
      </w:r>
      <w:r>
        <w:instrText xml:space="preserve"> HYPERLINK \l "_Toc24228" </w:instrText>
      </w:r>
      <w:r>
        <w:fldChar w:fldCharType="separate"/>
      </w:r>
      <w:r>
        <w:rPr>
          <w:rFonts w:hint="eastAsia"/>
        </w:rPr>
        <w:t>第一章 招标公告</w:t>
      </w:r>
      <w:r>
        <w:tab/>
      </w:r>
      <w:r>
        <w:fldChar w:fldCharType="begin"/>
      </w:r>
      <w:r>
        <w:instrText xml:space="preserve"> PAGEREF _Toc24228 \h </w:instrText>
      </w:r>
      <w:r>
        <w:fldChar w:fldCharType="separate"/>
      </w:r>
      <w:r>
        <w:rPr>
          <w:rFonts w:hint="eastAsia"/>
        </w:rPr>
        <w:t>3</w:t>
      </w:r>
      <w:r>
        <w:fldChar w:fldCharType="end"/>
      </w:r>
      <w:r>
        <w:fldChar w:fldCharType="end"/>
      </w:r>
    </w:p>
    <w:p>
      <w:pPr>
        <w:pStyle w:val="20"/>
        <w:tabs>
          <w:tab w:val="right" w:leader="dot" w:pos="9241"/>
        </w:tabs>
        <w:rPr>
          <w:rFonts w:hint="eastAsia"/>
        </w:rPr>
      </w:pPr>
      <w:r>
        <w:fldChar w:fldCharType="begin"/>
      </w:r>
      <w:r>
        <w:instrText xml:space="preserve"> HYPERLINK \l "_Toc9753" </w:instrText>
      </w:r>
      <w:r>
        <w:fldChar w:fldCharType="separate"/>
      </w:r>
      <w:r>
        <w:rPr>
          <w:rFonts w:hint="eastAsia"/>
        </w:rPr>
        <w:t>第二章 投标人须知</w:t>
      </w:r>
      <w:r>
        <w:tab/>
      </w:r>
      <w:r>
        <w:rPr>
          <w:rFonts w:hint="eastAsia"/>
        </w:rPr>
        <w:t>6</w:t>
      </w:r>
      <w:r>
        <w:rPr>
          <w:rFonts w:hint="eastAsia"/>
        </w:rPr>
        <w:fldChar w:fldCharType="end"/>
      </w:r>
    </w:p>
    <w:p>
      <w:pPr>
        <w:pStyle w:val="20"/>
        <w:tabs>
          <w:tab w:val="right" w:leader="dot" w:pos="9241"/>
        </w:tabs>
        <w:rPr>
          <w:rFonts w:hint="eastAsia"/>
        </w:rPr>
      </w:pPr>
      <w:r>
        <w:fldChar w:fldCharType="begin"/>
      </w:r>
      <w:r>
        <w:instrText xml:space="preserve"> HYPERLINK \l "_Toc32302" </w:instrText>
      </w:r>
      <w:r>
        <w:fldChar w:fldCharType="separate"/>
      </w:r>
      <w:r>
        <w:rPr>
          <w:rFonts w:hint="eastAsia"/>
        </w:rPr>
        <w:t>第三章 评标办法</w:t>
      </w:r>
      <w:r>
        <w:tab/>
      </w:r>
      <w:r>
        <w:fldChar w:fldCharType="begin"/>
      </w:r>
      <w:r>
        <w:instrText xml:space="preserve"> PAGEREF _Toc32302 \h </w:instrText>
      </w:r>
      <w:r>
        <w:fldChar w:fldCharType="separate"/>
      </w:r>
      <w:r>
        <w:rPr>
          <w:rFonts w:hint="eastAsia"/>
        </w:rPr>
        <w:t>24</w:t>
      </w:r>
      <w:r>
        <w:fldChar w:fldCharType="end"/>
      </w:r>
      <w:r>
        <w:fldChar w:fldCharType="end"/>
      </w:r>
    </w:p>
    <w:p>
      <w:pPr>
        <w:pStyle w:val="20"/>
        <w:tabs>
          <w:tab w:val="right" w:leader="dot" w:pos="9241"/>
        </w:tabs>
        <w:rPr>
          <w:rFonts w:hint="eastAsia"/>
        </w:rPr>
      </w:pPr>
      <w:r>
        <w:fldChar w:fldCharType="begin"/>
      </w:r>
      <w:r>
        <w:instrText xml:space="preserve"> HYPERLINK \l "_Toc30401" </w:instrText>
      </w:r>
      <w:r>
        <w:fldChar w:fldCharType="separate"/>
      </w:r>
      <w:r>
        <w:rPr>
          <w:rFonts w:hint="eastAsia"/>
        </w:rPr>
        <w:t>第四章 合同条款及格式</w:t>
      </w:r>
      <w:r>
        <w:tab/>
      </w:r>
      <w:r>
        <w:fldChar w:fldCharType="begin"/>
      </w:r>
      <w:r>
        <w:instrText xml:space="preserve"> PAGEREF _Toc30401 \h </w:instrText>
      </w:r>
      <w:r>
        <w:fldChar w:fldCharType="separate"/>
      </w:r>
      <w:r>
        <w:rPr>
          <w:rFonts w:hint="eastAsia"/>
        </w:rPr>
        <w:t>31</w:t>
      </w:r>
      <w:r>
        <w:fldChar w:fldCharType="end"/>
      </w:r>
      <w:r>
        <w:fldChar w:fldCharType="end"/>
      </w:r>
    </w:p>
    <w:p>
      <w:pPr>
        <w:pStyle w:val="20"/>
        <w:tabs>
          <w:tab w:val="right" w:leader="dot" w:pos="9241"/>
        </w:tabs>
        <w:rPr>
          <w:rFonts w:hint="eastAsia"/>
        </w:rPr>
      </w:pPr>
      <w:r>
        <w:fldChar w:fldCharType="begin"/>
      </w:r>
      <w:r>
        <w:instrText xml:space="preserve"> HYPERLINK \l "_Toc18674" </w:instrText>
      </w:r>
      <w:r>
        <w:fldChar w:fldCharType="separate"/>
      </w:r>
      <w:r>
        <w:rPr>
          <w:rFonts w:hint="eastAsia"/>
        </w:rPr>
        <w:t>第五章 工程量清单</w:t>
      </w:r>
      <w:r>
        <w:tab/>
      </w:r>
      <w:r>
        <w:rPr>
          <w:rFonts w:hint="eastAsia"/>
        </w:rPr>
        <w:t>54</w:t>
      </w:r>
      <w:r>
        <w:rPr>
          <w:rFonts w:hint="eastAsia"/>
        </w:rPr>
        <w:fldChar w:fldCharType="end"/>
      </w:r>
    </w:p>
    <w:p>
      <w:pPr>
        <w:pStyle w:val="20"/>
        <w:tabs>
          <w:tab w:val="right" w:leader="dot" w:pos="9241"/>
        </w:tabs>
        <w:rPr>
          <w:rFonts w:hint="eastAsia"/>
        </w:rPr>
      </w:pPr>
      <w:r>
        <w:fldChar w:fldCharType="begin"/>
      </w:r>
      <w:r>
        <w:instrText xml:space="preserve"> HYPERLINK \l "_Toc12864" </w:instrText>
      </w:r>
      <w:r>
        <w:fldChar w:fldCharType="separate"/>
      </w:r>
      <w:r>
        <w:rPr>
          <w:rFonts w:hint="eastAsia"/>
        </w:rPr>
        <w:t>第六章 图纸</w:t>
      </w:r>
      <w:r>
        <w:tab/>
      </w:r>
      <w:r>
        <w:rPr>
          <w:rFonts w:hint="eastAsia"/>
        </w:rPr>
        <w:t>55</w:t>
      </w:r>
      <w:r>
        <w:rPr>
          <w:rFonts w:hint="eastAsia"/>
        </w:rPr>
        <w:fldChar w:fldCharType="end"/>
      </w:r>
    </w:p>
    <w:p>
      <w:pPr>
        <w:pStyle w:val="20"/>
        <w:tabs>
          <w:tab w:val="right" w:leader="dot" w:pos="9241"/>
        </w:tabs>
        <w:rPr>
          <w:rFonts w:hint="eastAsia"/>
        </w:rPr>
      </w:pPr>
      <w:r>
        <w:fldChar w:fldCharType="begin"/>
      </w:r>
      <w:r>
        <w:instrText xml:space="preserve"> HYPERLINK \l "_Toc17173" </w:instrText>
      </w:r>
      <w:r>
        <w:fldChar w:fldCharType="separate"/>
      </w:r>
      <w:r>
        <w:rPr>
          <w:rFonts w:hint="eastAsia"/>
        </w:rPr>
        <w:t>第七章 技术标准和要求</w:t>
      </w:r>
      <w:r>
        <w:tab/>
      </w:r>
      <w:r>
        <w:fldChar w:fldCharType="begin"/>
      </w:r>
      <w:r>
        <w:instrText xml:space="preserve"> PAGEREF _Toc17173 \h </w:instrText>
      </w:r>
      <w:r>
        <w:fldChar w:fldCharType="separate"/>
      </w:r>
      <w:r>
        <w:rPr>
          <w:rFonts w:hint="eastAsia"/>
        </w:rPr>
        <w:t>56</w:t>
      </w:r>
      <w:r>
        <w:fldChar w:fldCharType="end"/>
      </w:r>
      <w:r>
        <w:fldChar w:fldCharType="end"/>
      </w:r>
    </w:p>
    <w:p>
      <w:pPr>
        <w:pStyle w:val="20"/>
        <w:tabs>
          <w:tab w:val="right" w:leader="dot" w:pos="9241"/>
        </w:tabs>
        <w:rPr>
          <w:rFonts w:hint="eastAsia"/>
        </w:rPr>
      </w:pPr>
      <w:r>
        <w:fldChar w:fldCharType="begin"/>
      </w:r>
      <w:r>
        <w:instrText xml:space="preserve"> HYPERLINK \l "_Toc19528" </w:instrText>
      </w:r>
      <w:r>
        <w:fldChar w:fldCharType="separate"/>
      </w:r>
      <w:r>
        <w:rPr>
          <w:rFonts w:hint="eastAsia"/>
        </w:rPr>
        <w:t>第八章 投标文件格式</w:t>
      </w:r>
      <w:r>
        <w:tab/>
      </w:r>
      <w:r>
        <w:fldChar w:fldCharType="begin"/>
      </w:r>
      <w:r>
        <w:instrText xml:space="preserve"> PAGEREF _Toc19528 \h </w:instrText>
      </w:r>
      <w:r>
        <w:fldChar w:fldCharType="separate"/>
      </w:r>
      <w:r>
        <w:rPr>
          <w:rFonts w:hint="eastAsia"/>
        </w:rPr>
        <w:t>62</w:t>
      </w:r>
      <w:r>
        <w:fldChar w:fldCharType="end"/>
      </w:r>
      <w:r>
        <w:fldChar w:fldCharType="end"/>
      </w:r>
    </w:p>
    <w:p>
      <w:pPr>
        <w:pStyle w:val="2"/>
        <w:spacing w:before="0" w:after="0" w:line="360" w:lineRule="auto"/>
        <w:rPr>
          <w:rFonts w:hint="eastAsia" w:cs="宋体"/>
          <w:szCs w:val="32"/>
        </w:rPr>
      </w:pPr>
      <w:r>
        <w:rPr>
          <w:rFonts w:hint="eastAsia" w:cs="宋体"/>
          <w:szCs w:val="32"/>
        </w:rPr>
        <w:fldChar w:fldCharType="end"/>
      </w:r>
      <w:bookmarkStart w:id="0" w:name="_Toc144974479"/>
      <w:bookmarkStart w:id="1" w:name="_Toc179632527"/>
      <w:bookmarkStart w:id="2" w:name="_Toc152042287"/>
      <w:bookmarkStart w:id="3" w:name="_Toc152045511"/>
    </w:p>
    <w:p>
      <w:pPr>
        <w:pStyle w:val="2"/>
        <w:spacing w:before="0" w:after="0" w:line="360" w:lineRule="auto"/>
        <w:rPr>
          <w:rFonts w:hint="eastAsia" w:cs="宋体"/>
          <w:szCs w:val="32"/>
        </w:rPr>
      </w:pPr>
    </w:p>
    <w:p>
      <w:pPr>
        <w:pStyle w:val="2"/>
        <w:spacing w:before="0" w:after="0" w:line="360" w:lineRule="auto"/>
        <w:rPr>
          <w:rFonts w:hint="eastAsia" w:cs="宋体"/>
          <w:szCs w:val="32"/>
        </w:rPr>
      </w:pPr>
    </w:p>
    <w:p>
      <w:pPr>
        <w:pStyle w:val="2"/>
        <w:spacing w:before="0" w:after="0" w:line="360" w:lineRule="auto"/>
        <w:rPr>
          <w:rFonts w:hint="eastAsia"/>
          <w:kern w:val="2"/>
          <w:sz w:val="21"/>
          <w:szCs w:val="24"/>
        </w:rPr>
      </w:pPr>
      <w:r>
        <w:rPr>
          <w:rFonts w:hint="eastAsia"/>
          <w:kern w:val="2"/>
          <w:sz w:val="21"/>
          <w:szCs w:val="24"/>
        </w:rPr>
        <w:t>注：招标文件中部分加“</w:t>
      </w:r>
      <w:bookmarkStart w:id="4" w:name="OLE_LINK69"/>
      <w:r>
        <w:rPr>
          <w:rFonts w:hint="eastAsia"/>
          <w:kern w:val="2"/>
          <w:sz w:val="21"/>
          <w:szCs w:val="24"/>
        </w:rPr>
        <w:t>★</w:t>
      </w:r>
      <w:bookmarkEnd w:id="4"/>
      <w:r>
        <w:rPr>
          <w:rFonts w:hint="eastAsia"/>
          <w:kern w:val="2"/>
          <w:sz w:val="21"/>
          <w:szCs w:val="24"/>
        </w:rPr>
        <w:t>”的条款，为招标的实质性要求和条件，着重提醒各投标人注意，并认真查看招标文件中的每一个条款及要求，因误读招标文件而造成的后果，招标人概不负责。</w:t>
      </w:r>
    </w:p>
    <w:p>
      <w:pPr>
        <w:widowControl/>
        <w:adjustRightInd/>
        <w:spacing w:line="240" w:lineRule="auto"/>
        <w:jc w:val="left"/>
        <w:textAlignment w:val="auto"/>
        <w:rPr>
          <w:rFonts w:hint="eastAsia" w:cs="宋体"/>
          <w:szCs w:val="32"/>
        </w:rPr>
      </w:pPr>
      <w:r>
        <w:rPr>
          <w:rFonts w:hint="eastAsia" w:cs="宋体"/>
          <w:szCs w:val="32"/>
        </w:rPr>
        <w:br w:type="page"/>
      </w:r>
    </w:p>
    <w:p>
      <w:pPr>
        <w:widowControl/>
        <w:adjustRightInd/>
        <w:spacing w:line="240" w:lineRule="auto"/>
        <w:jc w:val="left"/>
        <w:textAlignment w:val="auto"/>
        <w:rPr>
          <w:rFonts w:hint="eastAsia" w:cs="宋体"/>
          <w:b/>
          <w:bCs/>
          <w:kern w:val="44"/>
          <w:sz w:val="44"/>
          <w:szCs w:val="32"/>
        </w:rPr>
      </w:pPr>
    </w:p>
    <w:p>
      <w:pPr>
        <w:pStyle w:val="2"/>
        <w:spacing w:before="0" w:after="0" w:line="360" w:lineRule="auto"/>
        <w:jc w:val="center"/>
        <w:rPr>
          <w:rFonts w:hint="eastAsia"/>
        </w:rPr>
      </w:pPr>
      <w:bookmarkStart w:id="5" w:name="_Toc24228"/>
      <w:r>
        <w:rPr>
          <w:rFonts w:hint="eastAsia"/>
        </w:rPr>
        <w:t>第一章 招标公告</w:t>
      </w:r>
      <w:bookmarkEnd w:id="0"/>
      <w:bookmarkEnd w:id="1"/>
      <w:bookmarkEnd w:id="2"/>
      <w:bookmarkEnd w:id="3"/>
      <w:bookmarkEnd w:id="5"/>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bookmarkStart w:id="6" w:name="_Toc152045512"/>
      <w:bookmarkStart w:id="7" w:name="_Toc144974480"/>
      <w:bookmarkStart w:id="8" w:name="_Toc152042288"/>
      <w:bookmarkStart w:id="9" w:name="_Toc179632528"/>
      <w:bookmarkStart w:id="10" w:name="OLE_LINK2"/>
      <w:r>
        <w:rPr>
          <w:rFonts w:cs="宋体"/>
          <w:kern w:val="0"/>
          <w:szCs w:val="21"/>
        </w:rPr>
        <w:t>浙江大勤建设项目管理有限公司受</w:t>
      </w:r>
      <w:r>
        <w:rPr>
          <w:rFonts w:cs="宋体"/>
          <w:kern w:val="0"/>
          <w:szCs w:val="21"/>
          <w:u w:val="single"/>
        </w:rPr>
        <w:t>温州港集团有限公司物业管理服务分公司</w:t>
      </w:r>
      <w:r>
        <w:rPr>
          <w:rFonts w:cs="宋体"/>
          <w:kern w:val="0"/>
          <w:szCs w:val="21"/>
        </w:rPr>
        <w:t>（下称“招</w:t>
      </w:r>
      <w:r>
        <w:rPr>
          <w:rFonts w:hint="eastAsia" w:cs="宋体"/>
          <w:kern w:val="0"/>
          <w:szCs w:val="21"/>
        </w:rPr>
        <w:t>标</w:t>
      </w:r>
      <w:r>
        <w:rPr>
          <w:rFonts w:cs="宋体"/>
          <w:kern w:val="0"/>
          <w:szCs w:val="21"/>
        </w:rPr>
        <w:t>人”，后同）的委托，就</w:t>
      </w:r>
      <w:r>
        <w:rPr>
          <w:rFonts w:cs="宋体"/>
          <w:kern w:val="0"/>
          <w:szCs w:val="21"/>
          <w:u w:val="single"/>
        </w:rPr>
        <w:t>物管公司海港大厦1号楼人员进出智能化改造</w:t>
      </w:r>
      <w:r>
        <w:rPr>
          <w:rFonts w:cs="宋体"/>
          <w:kern w:val="0"/>
          <w:szCs w:val="21"/>
        </w:rPr>
        <w:t>项目进行公开招标，欢迎符合资格条件的投标人前来投标。</w:t>
      </w:r>
    </w:p>
    <w:p>
      <w:pPr>
        <w:topLinePunct/>
        <w:autoSpaceDN w:val="0"/>
        <w:spacing w:line="312" w:lineRule="auto"/>
        <w:jc w:val="left"/>
        <w:textAlignment w:val="auto"/>
        <w:outlineLvl w:val="1"/>
        <w:rPr>
          <w:rFonts w:hint="eastAsia"/>
          <w:b/>
          <w:kern w:val="0"/>
          <w:szCs w:val="21"/>
        </w:rPr>
      </w:pPr>
      <w:r>
        <w:rPr>
          <w:rFonts w:hint="eastAsia"/>
          <w:b/>
          <w:kern w:val="0"/>
          <w:szCs w:val="21"/>
        </w:rPr>
        <w:t>一、项目编号</w:t>
      </w:r>
      <w:r>
        <w:rPr>
          <w:rFonts w:hint="eastAsia" w:cs="宋体"/>
          <w:color w:val="000000"/>
          <w:szCs w:val="21"/>
        </w:rPr>
        <w:t>：</w:t>
      </w:r>
      <w:r>
        <w:rPr>
          <w:rFonts w:hint="eastAsia" w:cs="宋体"/>
          <w:kern w:val="0"/>
          <w:szCs w:val="21"/>
        </w:rPr>
        <w:t>WGGCJS2026016</w:t>
      </w:r>
    </w:p>
    <w:p>
      <w:pPr>
        <w:topLinePunct/>
        <w:autoSpaceDN w:val="0"/>
        <w:spacing w:line="312" w:lineRule="auto"/>
        <w:jc w:val="left"/>
        <w:textAlignment w:val="auto"/>
        <w:outlineLvl w:val="1"/>
        <w:rPr>
          <w:rFonts w:hint="eastAsia"/>
          <w:b/>
          <w:kern w:val="0"/>
          <w:szCs w:val="21"/>
        </w:rPr>
      </w:pPr>
      <w:r>
        <w:rPr>
          <w:rFonts w:hint="eastAsia"/>
          <w:b/>
          <w:kern w:val="0"/>
          <w:szCs w:val="21"/>
        </w:rPr>
        <w:t>二、招标条件</w:t>
      </w:r>
      <w:bookmarkEnd w:id="6"/>
      <w:bookmarkEnd w:id="7"/>
      <w:bookmarkEnd w:id="8"/>
      <w:bookmarkEnd w:id="9"/>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ascii="Helvetica" w:hAnsi="Helvetica" w:eastAsia="Helvetica" w:cs="Helvetica"/>
          <w:color w:val="000000"/>
          <w:szCs w:val="21"/>
        </w:rPr>
      </w:pPr>
      <w:r>
        <w:rPr>
          <w:rFonts w:hint="eastAsia" w:cs="宋体"/>
          <w:kern w:val="0"/>
          <w:szCs w:val="21"/>
        </w:rPr>
        <w:t>1、项目名称：</w:t>
      </w:r>
      <w:bookmarkStart w:id="11" w:name="OLE_LINK29"/>
      <w:r>
        <w:rPr>
          <w:rFonts w:ascii="Helvetica" w:hAnsi="Helvetica" w:eastAsia="Helvetica" w:cs="Helvetica"/>
          <w:color w:val="000000"/>
          <w:szCs w:val="21"/>
        </w:rPr>
        <w:t>物管公司海港大厦1号楼人员进出智能化改造项目</w:t>
      </w:r>
      <w:bookmarkEnd w:id="11"/>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2、招标人：温州港集团有限公司物业管理服务分公司</w:t>
      </w:r>
    </w:p>
    <w:p>
      <w:pPr>
        <w:topLinePunct/>
        <w:autoSpaceDN w:val="0"/>
        <w:spacing w:line="312" w:lineRule="auto"/>
        <w:jc w:val="left"/>
        <w:textAlignment w:val="auto"/>
        <w:outlineLvl w:val="1"/>
        <w:rPr>
          <w:rFonts w:hint="eastAsia"/>
          <w:b/>
          <w:kern w:val="0"/>
          <w:szCs w:val="21"/>
        </w:rPr>
      </w:pPr>
      <w:bookmarkStart w:id="12" w:name="_Toc152042289"/>
      <w:bookmarkStart w:id="13" w:name="_Toc179632529"/>
      <w:bookmarkStart w:id="14" w:name="_Toc152045513"/>
      <w:bookmarkStart w:id="15" w:name="_Toc144974481"/>
      <w:r>
        <w:rPr>
          <w:rFonts w:hint="eastAsia"/>
          <w:b/>
          <w:kern w:val="0"/>
          <w:szCs w:val="21"/>
        </w:rPr>
        <w:t>三、</w:t>
      </w:r>
      <w:r>
        <w:rPr>
          <w:rFonts w:hint="eastAsia" w:cs="宋体"/>
          <w:b/>
          <w:kern w:val="0"/>
          <w:szCs w:val="21"/>
        </w:rPr>
        <w:t>建设内容</w:t>
      </w:r>
      <w:r>
        <w:rPr>
          <w:rFonts w:hint="eastAsia"/>
          <w:b/>
          <w:kern w:val="0"/>
          <w:szCs w:val="21"/>
        </w:rPr>
        <w:t>、招标范围、工期要求、质量要求</w:t>
      </w:r>
      <w:bookmarkEnd w:id="12"/>
      <w:bookmarkEnd w:id="13"/>
      <w:bookmarkEnd w:id="14"/>
      <w:bookmarkEnd w:id="15"/>
    </w:p>
    <w:p>
      <w:pPr>
        <w:pStyle w:val="11"/>
        <w:ind w:firstLineChars="200"/>
        <w:rPr>
          <w:rFonts w:hint="eastAsia"/>
        </w:rPr>
      </w:pPr>
      <w:r>
        <w:rPr>
          <w:rFonts w:hint="eastAsia" w:cs="宋体"/>
          <w:kern w:val="0"/>
          <w:szCs w:val="21"/>
        </w:rPr>
        <w:t>1、</w:t>
      </w:r>
      <w:bookmarkStart w:id="16" w:name="OLE_LINK41"/>
      <w:r>
        <w:rPr>
          <w:rFonts w:cs="宋体"/>
          <w:kern w:val="0"/>
          <w:szCs w:val="21"/>
        </w:rPr>
        <w:t>建设内容</w:t>
      </w:r>
      <w:bookmarkEnd w:id="16"/>
      <w:r>
        <w:rPr>
          <w:rFonts w:hint="eastAsia" w:cs="宋体"/>
          <w:kern w:val="0"/>
          <w:szCs w:val="21"/>
        </w:rPr>
        <w:t>：</w:t>
      </w:r>
      <w:bookmarkStart w:id="17" w:name="OLE_LINK19"/>
      <w:r>
        <w:rPr>
          <w:rFonts w:cs="宋体"/>
          <w:kern w:val="0"/>
          <w:szCs w:val="21"/>
        </w:rPr>
        <w:t>本项目建设地点为浙江省温州市鹿城区海港大厦</w:t>
      </w:r>
      <w:bookmarkEnd w:id="17"/>
      <w:r>
        <w:rPr>
          <w:rFonts w:cs="宋体"/>
          <w:kern w:val="0"/>
          <w:szCs w:val="21"/>
        </w:rPr>
        <w:t>，建设内容为一层出入口、地下室电梯厅两侧智能闸机、人脸门禁一体机等设备的安装改造，具体规格、数量及安装要求详见招标文件附件图纸及工程量清单。</w:t>
      </w:r>
    </w:p>
    <w:p>
      <w:pPr>
        <w:pStyle w:val="10"/>
        <w:tabs>
          <w:tab w:val="left" w:pos="1343"/>
          <w:tab w:val="left" w:pos="2697"/>
          <w:tab w:val="left" w:pos="3264"/>
          <w:tab w:val="left" w:pos="4896"/>
          <w:tab w:val="left" w:pos="6005"/>
          <w:tab w:val="left" w:pos="7085"/>
          <w:tab w:val="left" w:pos="7498"/>
        </w:tabs>
        <w:topLinePunct/>
        <w:autoSpaceDN w:val="0"/>
        <w:spacing w:line="312" w:lineRule="auto"/>
        <w:ind w:firstLine="420" w:firstLineChars="200"/>
        <w:textAlignment w:val="auto"/>
        <w:rPr>
          <w:rFonts w:hint="eastAsia" w:cs="宋体"/>
          <w:kern w:val="0"/>
          <w:szCs w:val="21"/>
        </w:rPr>
      </w:pPr>
      <w:r>
        <w:rPr>
          <w:rFonts w:hint="eastAsia" w:cs="宋体"/>
          <w:kern w:val="0"/>
          <w:szCs w:val="21"/>
        </w:rPr>
        <w:t>2、招标范围：</w:t>
      </w:r>
      <w:bookmarkStart w:id="18" w:name="OLE_LINK24"/>
      <w:r>
        <w:rPr>
          <w:color w:val="000000" w:themeColor="text1"/>
          <w:szCs w:val="21"/>
          <w14:textFill>
            <w14:solidFill>
              <w14:schemeClr w14:val="tx1"/>
            </w14:solidFill>
          </w14:textFill>
        </w:rPr>
        <w:t>涵盖但不限于智能闸机、人脸门禁一体机等设备的采购、运输、装卸、安装、调试</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培训及质保期内维保服务</w:t>
      </w:r>
      <w:r>
        <w:rPr>
          <w:rFonts w:hint="eastAsia"/>
          <w:color w:val="000000" w:themeColor="text1"/>
          <w:szCs w:val="21"/>
          <w14:textFill>
            <w14:solidFill>
              <w14:schemeClr w14:val="tx1"/>
            </w14:solidFill>
          </w14:textFill>
        </w:rPr>
        <w:t>。</w:t>
      </w:r>
      <w:bookmarkEnd w:id="18"/>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3、工期要求：</w:t>
      </w:r>
      <w:bookmarkStart w:id="19" w:name="OLE_LINK22"/>
      <w:r>
        <w:rPr>
          <w:rFonts w:cs="宋体"/>
          <w:kern w:val="0"/>
          <w:szCs w:val="21"/>
        </w:rPr>
        <w:t>自</w:t>
      </w:r>
      <w:r>
        <w:rPr>
          <w:rFonts w:hint="eastAsia" w:cs="宋体"/>
          <w:kern w:val="0"/>
          <w:szCs w:val="21"/>
        </w:rPr>
        <w:t>合同签订且招标人下达开工令之日起</w:t>
      </w:r>
      <w:r>
        <w:rPr>
          <w:rFonts w:cs="宋体"/>
          <w:kern w:val="0"/>
          <w:szCs w:val="21"/>
        </w:rPr>
        <w:t>，25 日历天内完成本项目全部设备的安装、调试，并通过招标人</w:t>
      </w:r>
      <w:r>
        <w:rPr>
          <w:rFonts w:hint="eastAsia" w:cs="宋体"/>
          <w:kern w:val="0"/>
          <w:szCs w:val="21"/>
        </w:rPr>
        <w:t>组织验收</w:t>
      </w:r>
      <w:r>
        <w:rPr>
          <w:rFonts w:cs="宋体"/>
          <w:kern w:val="0"/>
          <w:szCs w:val="21"/>
        </w:rPr>
        <w:t>后交付使用。</w:t>
      </w:r>
      <w:bookmarkEnd w:id="19"/>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4、质量要求；合格。</w:t>
      </w:r>
    </w:p>
    <w:p>
      <w:pPr>
        <w:topLinePunct/>
        <w:autoSpaceDN w:val="0"/>
        <w:spacing w:line="312" w:lineRule="auto"/>
        <w:jc w:val="left"/>
        <w:textAlignment w:val="auto"/>
        <w:outlineLvl w:val="1"/>
        <w:rPr>
          <w:rFonts w:hint="eastAsia"/>
          <w:b/>
          <w:kern w:val="0"/>
          <w:szCs w:val="21"/>
        </w:rPr>
      </w:pPr>
      <w:r>
        <w:rPr>
          <w:rFonts w:hint="eastAsia"/>
          <w:b/>
          <w:kern w:val="0"/>
          <w:szCs w:val="21"/>
        </w:rPr>
        <w:t>四、</w:t>
      </w:r>
      <w:r>
        <w:rPr>
          <w:rFonts w:hint="eastAsia" w:cs="宋体"/>
          <w:b/>
          <w:kern w:val="0"/>
          <w:szCs w:val="21"/>
        </w:rPr>
        <w:t>本项目</w:t>
      </w:r>
      <w:bookmarkStart w:id="20" w:name="OLE_LINK11"/>
      <w:r>
        <w:rPr>
          <w:rFonts w:hint="eastAsia" w:cs="宋体"/>
          <w:b/>
          <w:kern w:val="0"/>
          <w:szCs w:val="21"/>
        </w:rPr>
        <w:t>招标控制价</w:t>
      </w:r>
      <w:bookmarkEnd w:id="20"/>
      <w:r>
        <w:rPr>
          <w:rFonts w:hint="eastAsia"/>
          <w:b/>
          <w:kern w:val="0"/>
          <w:szCs w:val="21"/>
        </w:rPr>
        <w:t>：人民币16.15万</w:t>
      </w:r>
      <w:r>
        <w:rPr>
          <w:rFonts w:hint="eastAsia" w:cs="宋体"/>
          <w:b/>
          <w:kern w:val="0"/>
          <w:szCs w:val="21"/>
        </w:rPr>
        <w:t>元（含税价）</w:t>
      </w:r>
      <w:r>
        <w:rPr>
          <w:rFonts w:hint="eastAsia"/>
          <w:b/>
          <w:kern w:val="0"/>
          <w:szCs w:val="21"/>
        </w:rPr>
        <w:t>。</w:t>
      </w:r>
    </w:p>
    <w:p>
      <w:pPr>
        <w:topLinePunct/>
        <w:autoSpaceDN w:val="0"/>
        <w:spacing w:line="312" w:lineRule="auto"/>
        <w:jc w:val="left"/>
        <w:textAlignment w:val="auto"/>
        <w:outlineLvl w:val="1"/>
        <w:rPr>
          <w:rFonts w:hint="eastAsia"/>
          <w:b/>
          <w:kern w:val="0"/>
          <w:szCs w:val="21"/>
        </w:rPr>
      </w:pPr>
      <w:bookmarkStart w:id="21" w:name="_Toc144974482"/>
      <w:bookmarkStart w:id="22" w:name="_Toc152045514"/>
      <w:bookmarkStart w:id="23" w:name="_Toc152042290"/>
      <w:bookmarkStart w:id="24" w:name="_Toc179632530"/>
      <w:r>
        <w:rPr>
          <w:rFonts w:hint="eastAsia"/>
        </w:rPr>
        <w:t>★</w:t>
      </w:r>
      <w:r>
        <w:rPr>
          <w:rFonts w:hint="eastAsia"/>
          <w:b/>
          <w:kern w:val="0"/>
          <w:szCs w:val="21"/>
        </w:rPr>
        <w:t>五、投标人资格要求</w:t>
      </w:r>
      <w:bookmarkEnd w:id="21"/>
      <w:bookmarkEnd w:id="22"/>
      <w:bookmarkEnd w:id="23"/>
      <w:bookmarkEnd w:id="24"/>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1、</w:t>
      </w:r>
      <w:bookmarkStart w:id="25" w:name="OLE_LINK25"/>
      <w:r>
        <w:rPr>
          <w:rFonts w:cs="宋体"/>
          <w:kern w:val="0"/>
          <w:szCs w:val="21"/>
        </w:rPr>
        <w:t>投标人须具有独立法人资格，持有有效的企业营业执照和安全生产许可证。</w:t>
      </w:r>
      <w:bookmarkEnd w:id="25"/>
    </w:p>
    <w:p>
      <w:pPr>
        <w:spacing w:line="312" w:lineRule="auto"/>
        <w:ind w:firstLine="420" w:firstLineChars="200"/>
        <w:rPr>
          <w:rFonts w:hint="eastAsia" w:cs="宋体"/>
          <w:kern w:val="0"/>
          <w:szCs w:val="21"/>
        </w:rPr>
      </w:pPr>
      <w:r>
        <w:rPr>
          <w:rFonts w:hint="eastAsia" w:cs="宋体"/>
          <w:kern w:val="0"/>
          <w:szCs w:val="21"/>
        </w:rPr>
        <w:t xml:space="preserve">2、投标人具有电子与智能化工程专业承包二级及以上资质。 </w:t>
      </w:r>
    </w:p>
    <w:p>
      <w:pPr>
        <w:pStyle w:val="10"/>
        <w:tabs>
          <w:tab w:val="left" w:pos="1343"/>
          <w:tab w:val="left" w:pos="2697"/>
          <w:tab w:val="left" w:pos="3264"/>
          <w:tab w:val="left" w:pos="4896"/>
          <w:tab w:val="left" w:pos="6005"/>
          <w:tab w:val="left" w:pos="7085"/>
          <w:tab w:val="left" w:pos="7498"/>
        </w:tabs>
        <w:topLinePunct/>
        <w:autoSpaceDN w:val="0"/>
        <w:spacing w:line="312" w:lineRule="auto"/>
        <w:ind w:firstLine="420" w:firstLineChars="200"/>
        <w:textAlignment w:val="auto"/>
        <w:rPr>
          <w:rFonts w:hint="eastAsia"/>
        </w:rPr>
      </w:pPr>
      <w:r>
        <w:rPr>
          <w:rFonts w:hint="eastAsia" w:cs="宋体"/>
          <w:kern w:val="0"/>
          <w:szCs w:val="21"/>
        </w:rPr>
        <w:t>3、拟派项目经理具备</w:t>
      </w:r>
      <w:bookmarkStart w:id="26" w:name="OLE_LINK10"/>
      <w:r>
        <w:rPr>
          <w:rFonts w:hint="eastAsia" w:cs="宋体"/>
          <w:kern w:val="0"/>
          <w:szCs w:val="21"/>
        </w:rPr>
        <w:t>有效的</w:t>
      </w:r>
      <w:r>
        <w:rPr>
          <w:rFonts w:cs="宋体"/>
          <w:kern w:val="0"/>
          <w:szCs w:val="21"/>
        </w:rPr>
        <w:t>机电工程或通信与广电工程专业</w:t>
      </w:r>
      <w:bookmarkStart w:id="27" w:name="OLE_LINK40"/>
      <w:r>
        <w:rPr>
          <w:rFonts w:cs="宋体"/>
          <w:kern w:val="0"/>
          <w:szCs w:val="21"/>
        </w:rPr>
        <w:t>注册建造师</w:t>
      </w:r>
      <w:bookmarkEnd w:id="27"/>
      <w:r>
        <w:rPr>
          <w:rFonts w:hint="eastAsia" w:cs="宋体"/>
          <w:kern w:val="0"/>
          <w:szCs w:val="21"/>
        </w:rPr>
        <w:t>证</w:t>
      </w:r>
      <w:r>
        <w:rPr>
          <w:rFonts w:cs="宋体"/>
          <w:kern w:val="0"/>
          <w:szCs w:val="21"/>
        </w:rPr>
        <w:t>，并需配套安全生产考核合格证书（B 证）</w:t>
      </w:r>
      <w:r>
        <w:rPr>
          <w:rFonts w:hint="eastAsia" w:cs="宋体"/>
          <w:kern w:val="0"/>
          <w:szCs w:val="21"/>
        </w:rPr>
        <w:t>，提供有效劳动合同及最近三个月投标人缴纳的社保缴纳证明材料；</w:t>
      </w:r>
    </w:p>
    <w:p>
      <w:pPr>
        <w:pStyle w:val="10"/>
        <w:tabs>
          <w:tab w:val="left" w:pos="1343"/>
          <w:tab w:val="left" w:pos="2697"/>
          <w:tab w:val="left" w:pos="3264"/>
          <w:tab w:val="left" w:pos="4896"/>
          <w:tab w:val="left" w:pos="6005"/>
          <w:tab w:val="left" w:pos="7085"/>
          <w:tab w:val="left" w:pos="7498"/>
        </w:tabs>
        <w:topLinePunct/>
        <w:autoSpaceDN w:val="0"/>
        <w:spacing w:line="312" w:lineRule="auto"/>
        <w:ind w:firstLine="420" w:firstLineChars="200"/>
        <w:textAlignment w:val="auto"/>
        <w:rPr>
          <w:rFonts w:hint="eastAsia"/>
        </w:rPr>
      </w:pPr>
      <w:bookmarkStart w:id="28" w:name="OLE_LINK1"/>
      <w:bookmarkStart w:id="29" w:name="OLE_LINK23"/>
      <w:r>
        <w:rPr>
          <w:rFonts w:hint="eastAsia" w:cs="宋体"/>
          <w:kern w:val="0"/>
          <w:szCs w:val="21"/>
        </w:rPr>
        <w:t>4、拟派专（兼）</w:t>
      </w:r>
      <w:r>
        <w:rPr>
          <w:rFonts w:hint="eastAsia"/>
        </w:rPr>
        <w:t>职安全员</w:t>
      </w:r>
      <w:bookmarkEnd w:id="28"/>
      <w:r>
        <w:rPr>
          <w:rFonts w:hint="eastAsia"/>
        </w:rPr>
        <w:t>具备安全生产考核合格证书（C类）</w:t>
      </w:r>
      <w:bookmarkEnd w:id="29"/>
      <w:r>
        <w:rPr>
          <w:rFonts w:hint="eastAsia"/>
        </w:rPr>
        <w:t>，</w:t>
      </w:r>
      <w:r>
        <w:rPr>
          <w:rFonts w:hint="eastAsia" w:cs="宋体"/>
          <w:kern w:val="0"/>
          <w:szCs w:val="21"/>
        </w:rPr>
        <w:t>提供有效劳动合同及最近三个月投标人缴纳的社保缴纳证明材料；</w:t>
      </w:r>
      <w:bookmarkEnd w:id="26"/>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5、本次招标不接受联合体投标。</w:t>
      </w:r>
    </w:p>
    <w:p>
      <w:pPr>
        <w:autoSpaceDE w:val="0"/>
        <w:autoSpaceDN w:val="0"/>
        <w:spacing w:line="312" w:lineRule="auto"/>
        <w:ind w:firstLine="420" w:firstLineChars="200"/>
        <w:jc w:val="left"/>
        <w:textAlignment w:val="auto"/>
        <w:rPr>
          <w:rFonts w:hint="eastAsia" w:cs="宋体"/>
          <w:szCs w:val="21"/>
        </w:rPr>
      </w:pPr>
      <w:r>
        <w:rPr>
          <w:rFonts w:hint="eastAsia" w:cs="宋体"/>
          <w:szCs w:val="21"/>
        </w:rPr>
        <w:t>6、与招标人存在利害关系可能影响招标公正性的法人、其他组织或者个人，不得参加投标；单位负责人为同一人或者存在控股、管理关系的不同单位，不得参加同一标段投标，否则均按否决投标处理。</w:t>
      </w:r>
    </w:p>
    <w:p>
      <w:pPr>
        <w:pStyle w:val="10"/>
        <w:widowControl/>
        <w:tabs>
          <w:tab w:val="left" w:pos="1343"/>
          <w:tab w:val="left" w:pos="2697"/>
          <w:tab w:val="left" w:pos="3264"/>
          <w:tab w:val="left" w:pos="4896"/>
          <w:tab w:val="left" w:pos="6005"/>
          <w:tab w:val="left" w:pos="7085"/>
          <w:tab w:val="left" w:pos="7498"/>
        </w:tabs>
        <w:topLinePunct/>
        <w:autoSpaceDN w:val="0"/>
        <w:spacing w:line="312" w:lineRule="auto"/>
        <w:ind w:firstLine="420" w:firstLineChars="200"/>
        <w:textAlignment w:val="auto"/>
        <w:rPr>
          <w:rFonts w:hint="eastAsia" w:ascii="新宋体" w:hAnsi="新宋体" w:eastAsia="新宋体" w:cs="新宋体"/>
          <w:kern w:val="0"/>
          <w:szCs w:val="21"/>
          <w:lang w:bidi="ar"/>
        </w:rPr>
      </w:pPr>
      <w:r>
        <w:rPr>
          <w:rFonts w:hint="eastAsia" w:ascii="新宋体" w:hAnsi="新宋体" w:eastAsia="新宋体" w:cs="新宋体"/>
          <w:kern w:val="0"/>
          <w:szCs w:val="21"/>
          <w:lang w:bidi="ar"/>
        </w:rPr>
        <w:t>7、</w:t>
      </w:r>
      <w:bookmarkStart w:id="30" w:name="OLE_LINK16"/>
      <w:r>
        <w:rPr>
          <w:rFonts w:hint="eastAsia" w:ascii="新宋体" w:hAnsi="新宋体" w:eastAsia="新宋体" w:cs="新宋体"/>
          <w:kern w:val="0"/>
          <w:szCs w:val="21"/>
          <w:lang w:bidi="ar"/>
        </w:rPr>
        <w:t>与投标人签订劳动合同的人员不少于20人，</w:t>
      </w:r>
      <w:r>
        <w:rPr>
          <w:rFonts w:hint="eastAsia" w:cs="宋体"/>
          <w:kern w:val="0"/>
          <w:szCs w:val="21"/>
        </w:rPr>
        <w:t>提供有效劳动合同扫描件，</w:t>
      </w:r>
      <w:r>
        <w:rPr>
          <w:rFonts w:hint="eastAsia"/>
        </w:rPr>
        <w:t>并提供最近三个月单位缴纳的社保缴纳证明材料。</w:t>
      </w:r>
      <w:bookmarkEnd w:id="30"/>
    </w:p>
    <w:p>
      <w:pPr>
        <w:widowControl/>
        <w:spacing w:line="360" w:lineRule="auto"/>
        <w:ind w:firstLine="420" w:firstLineChars="200"/>
        <w:rPr>
          <w:rFonts w:hint="eastAsia" w:ascii="新宋体" w:hAnsi="新宋体" w:eastAsia="新宋体" w:cs="新宋体"/>
          <w:kern w:val="0"/>
          <w:szCs w:val="21"/>
          <w:lang w:bidi="ar"/>
        </w:rPr>
      </w:pPr>
      <w:r>
        <w:rPr>
          <w:rFonts w:hint="eastAsia" w:ascii="新宋体" w:hAnsi="新宋体" w:eastAsia="新宋体" w:cs="新宋体"/>
          <w:kern w:val="0"/>
          <w:szCs w:val="21"/>
          <w:lang w:bidi="ar"/>
        </w:rPr>
        <w:t>8、</w:t>
      </w:r>
      <w:bookmarkStart w:id="31" w:name="OLE_LINK7"/>
      <w:bookmarkStart w:id="32" w:name="OLE_LINK21"/>
      <w:r>
        <w:rPr>
          <w:rFonts w:hint="eastAsia" w:ascii="新宋体" w:hAnsi="新宋体" w:eastAsia="新宋体" w:cs="新宋体"/>
          <w:kern w:val="0"/>
          <w:szCs w:val="21"/>
          <w:lang w:bidi="ar"/>
        </w:rPr>
        <w:t>投标人未被列入失信被执行人名单、重大税收违法案件当事人名单、安全生产严重失信主体名单、政府采购严重违法失信行为记录名单等信用信息以信用中国网站（www.creditchina.gov.cn）、中国政府采购网（www.ccgp.gov.cn）公布为准。</w:t>
      </w:r>
      <w:bookmarkEnd w:id="31"/>
    </w:p>
    <w:bookmarkEnd w:id="32"/>
    <w:p>
      <w:pPr>
        <w:widowControl/>
        <w:spacing w:line="360" w:lineRule="auto"/>
        <w:ind w:firstLine="420" w:firstLineChars="200"/>
        <w:rPr>
          <w:rFonts w:hint="eastAsia" w:ascii="新宋体" w:hAnsi="新宋体" w:eastAsia="新宋体" w:cs="新宋体"/>
          <w:kern w:val="0"/>
          <w:szCs w:val="21"/>
          <w:lang w:bidi="ar"/>
        </w:rPr>
      </w:pPr>
      <w:r>
        <w:rPr>
          <w:rFonts w:hint="eastAsia" w:ascii="新宋体" w:hAnsi="新宋体" w:eastAsia="新宋体" w:cs="新宋体"/>
          <w:kern w:val="0"/>
          <w:szCs w:val="21"/>
          <w:lang w:bidi="ar"/>
        </w:rPr>
        <w:t>9、投标人未被列入</w:t>
      </w:r>
      <w:r>
        <w:rPr>
          <w:rFonts w:ascii="新宋体" w:hAnsi="新宋体" w:eastAsia="新宋体" w:cs="新宋体"/>
          <w:kern w:val="0"/>
          <w:szCs w:val="21"/>
          <w:lang w:bidi="ar"/>
        </w:rPr>
        <w:t>全国建筑市场监管公共服务平台公布的建筑市场主体 “黑名单”</w:t>
      </w:r>
      <w:r>
        <w:rPr>
          <w:rFonts w:hint="eastAsia" w:ascii="新宋体" w:hAnsi="新宋体" w:eastAsia="新宋体" w:cs="新宋体"/>
          <w:kern w:val="0"/>
          <w:szCs w:val="21"/>
          <w:lang w:bidi="ar"/>
        </w:rPr>
        <w:t>。</w:t>
      </w:r>
    </w:p>
    <w:p>
      <w:pPr>
        <w:topLinePunct/>
        <w:autoSpaceDN w:val="0"/>
        <w:spacing w:line="312" w:lineRule="auto"/>
        <w:jc w:val="left"/>
        <w:textAlignment w:val="auto"/>
        <w:outlineLvl w:val="1"/>
        <w:rPr>
          <w:rFonts w:hint="eastAsia"/>
          <w:b/>
          <w:kern w:val="0"/>
          <w:szCs w:val="21"/>
        </w:rPr>
      </w:pPr>
      <w:r>
        <w:rPr>
          <w:rFonts w:hint="eastAsia"/>
          <w:b/>
          <w:kern w:val="0"/>
          <w:szCs w:val="21"/>
        </w:rPr>
        <w:t>六、招标文件的获取</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 xml:space="preserve">1、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清）、修改文件均通过“浙江海港投标管家”免费下载。 </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2、</w:t>
      </w:r>
      <w:r>
        <w:rPr>
          <w:rFonts w:hint="eastAsia" w:cs="宋体"/>
          <w:szCs w:val="21"/>
        </w:rPr>
        <w:t>招标文件下载时间：</w:t>
      </w:r>
      <w:r>
        <w:rPr>
          <w:rFonts w:hint="eastAsia" w:cs="宋体"/>
          <w:b/>
          <w:bCs/>
          <w:szCs w:val="21"/>
          <w:u w:val="single"/>
        </w:rPr>
        <w:t>2026</w:t>
      </w:r>
      <w:r>
        <w:rPr>
          <w:rFonts w:hint="eastAsia" w:cs="宋体"/>
          <w:b/>
          <w:bCs/>
          <w:szCs w:val="21"/>
        </w:rPr>
        <w:t>年</w:t>
      </w:r>
      <w:r>
        <w:rPr>
          <w:rFonts w:hint="eastAsia" w:cs="宋体"/>
          <w:b/>
          <w:bCs/>
          <w:szCs w:val="21"/>
          <w:u w:val="single"/>
        </w:rPr>
        <w:t xml:space="preserve">  </w:t>
      </w:r>
      <w:r>
        <w:rPr>
          <w:rFonts w:hint="eastAsia" w:cs="宋体"/>
          <w:b/>
          <w:bCs/>
          <w:szCs w:val="21"/>
        </w:rPr>
        <w:t>月</w:t>
      </w:r>
      <w:r>
        <w:rPr>
          <w:rFonts w:hint="eastAsia" w:cs="宋体"/>
          <w:b/>
          <w:bCs/>
          <w:szCs w:val="21"/>
          <w:u w:val="single"/>
        </w:rPr>
        <w:t xml:space="preserve">  </w:t>
      </w:r>
      <w:r>
        <w:rPr>
          <w:rFonts w:hint="eastAsia" w:cs="宋体"/>
          <w:b/>
          <w:bCs/>
          <w:szCs w:val="21"/>
        </w:rPr>
        <w:t>日8时30分至</w:t>
      </w:r>
      <w:r>
        <w:rPr>
          <w:rFonts w:hint="eastAsia" w:cs="宋体"/>
          <w:b/>
          <w:bCs/>
          <w:szCs w:val="21"/>
          <w:u w:val="single"/>
        </w:rPr>
        <w:t>2026</w:t>
      </w:r>
      <w:r>
        <w:rPr>
          <w:rFonts w:hint="eastAsia" w:cs="宋体"/>
          <w:b/>
          <w:bCs/>
          <w:szCs w:val="21"/>
        </w:rPr>
        <w:t>年</w:t>
      </w:r>
      <w:r>
        <w:rPr>
          <w:rFonts w:hint="eastAsia" w:cs="宋体"/>
          <w:b/>
          <w:bCs/>
          <w:szCs w:val="21"/>
          <w:u w:val="single"/>
        </w:rPr>
        <w:t xml:space="preserve">  </w:t>
      </w:r>
      <w:r>
        <w:rPr>
          <w:rFonts w:hint="eastAsia" w:cs="宋体"/>
          <w:b/>
          <w:bCs/>
          <w:szCs w:val="21"/>
        </w:rPr>
        <w:t>月</w:t>
      </w:r>
      <w:r>
        <w:rPr>
          <w:rFonts w:hint="eastAsia" w:cs="宋体"/>
          <w:b/>
          <w:bCs/>
          <w:szCs w:val="21"/>
          <w:u w:val="single"/>
        </w:rPr>
        <w:t xml:space="preserve">  </w:t>
      </w:r>
      <w:r>
        <w:rPr>
          <w:rFonts w:hint="eastAsia" w:cs="宋体"/>
          <w:b/>
          <w:bCs/>
          <w:szCs w:val="21"/>
        </w:rPr>
        <w:t>日17时00分（北京时间，下同）</w:t>
      </w:r>
      <w:r>
        <w:rPr>
          <w:rFonts w:hint="eastAsia" w:cs="宋体"/>
          <w:kern w:val="0"/>
          <w:szCs w:val="21"/>
        </w:rPr>
        <w:t>。</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3、未取得浙江省海港集团电子招标采购平台数字证书的投标人，投标前应先办理浙江省海港集团电子招标采购平台 CA 数字证书，具体办理指南及下载链接请至浙江省海港集团电子招标采购平台进行查看。</w:t>
      </w:r>
    </w:p>
    <w:p>
      <w:pPr>
        <w:topLinePunct/>
        <w:autoSpaceDN w:val="0"/>
        <w:spacing w:line="312" w:lineRule="auto"/>
        <w:jc w:val="left"/>
        <w:textAlignment w:val="auto"/>
        <w:outlineLvl w:val="1"/>
        <w:rPr>
          <w:rFonts w:hint="eastAsia"/>
          <w:b/>
          <w:kern w:val="0"/>
          <w:szCs w:val="21"/>
        </w:rPr>
      </w:pPr>
      <w:bookmarkStart w:id="33" w:name="_Toc179632532"/>
      <w:bookmarkStart w:id="34" w:name="_Toc144974484"/>
      <w:bookmarkStart w:id="35" w:name="_Toc152042292"/>
      <w:bookmarkStart w:id="36" w:name="_Toc152045516"/>
      <w:r>
        <w:rPr>
          <w:rFonts w:hint="eastAsia"/>
          <w:b/>
          <w:kern w:val="0"/>
          <w:szCs w:val="21"/>
        </w:rPr>
        <w:t>七、投标保证金</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1、金额：人民币</w:t>
      </w:r>
      <w:r>
        <w:rPr>
          <w:rFonts w:hint="eastAsia" w:cs="宋体"/>
          <w:b/>
          <w:bCs/>
          <w:kern w:val="0"/>
          <w:szCs w:val="21"/>
        </w:rPr>
        <w:t>3000.00</w:t>
      </w:r>
      <w:r>
        <w:rPr>
          <w:rFonts w:hint="eastAsia" w:cs="宋体"/>
          <w:b/>
          <w:bCs/>
          <w:szCs w:val="21"/>
        </w:rPr>
        <w:t>元整</w:t>
      </w:r>
      <w:r>
        <w:rPr>
          <w:rFonts w:hint="eastAsia" w:cs="宋体"/>
          <w:kern w:val="0"/>
          <w:szCs w:val="21"/>
        </w:rPr>
        <w:t>。</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2、投标人应于</w:t>
      </w:r>
      <w:r>
        <w:rPr>
          <w:rFonts w:hint="eastAsia" w:cs="宋体"/>
          <w:b/>
          <w:bCs/>
          <w:szCs w:val="21"/>
          <w:u w:val="single"/>
        </w:rPr>
        <w:t>2026</w:t>
      </w:r>
      <w:r>
        <w:rPr>
          <w:rFonts w:hint="eastAsia" w:cs="宋体"/>
          <w:b/>
          <w:bCs/>
          <w:szCs w:val="21"/>
        </w:rPr>
        <w:t>年</w:t>
      </w:r>
      <w:r>
        <w:rPr>
          <w:rFonts w:hint="eastAsia" w:cs="宋体"/>
          <w:b/>
          <w:bCs/>
          <w:szCs w:val="21"/>
          <w:u w:val="single"/>
        </w:rPr>
        <w:t xml:space="preserve">  </w:t>
      </w:r>
      <w:r>
        <w:rPr>
          <w:rFonts w:hint="eastAsia" w:cs="宋体"/>
          <w:b/>
          <w:bCs/>
          <w:szCs w:val="21"/>
        </w:rPr>
        <w:t>月</w:t>
      </w:r>
      <w:r>
        <w:rPr>
          <w:rFonts w:hint="eastAsia" w:cs="宋体"/>
          <w:b/>
          <w:bCs/>
          <w:szCs w:val="21"/>
          <w:u w:val="single"/>
        </w:rPr>
        <w:t xml:space="preserve">  </w:t>
      </w:r>
      <w:r>
        <w:rPr>
          <w:rFonts w:hint="eastAsia" w:cs="宋体"/>
          <w:b/>
          <w:bCs/>
          <w:szCs w:val="21"/>
        </w:rPr>
        <w:t>日</w:t>
      </w:r>
      <w:r>
        <w:rPr>
          <w:rFonts w:hint="eastAsia" w:cs="宋体"/>
          <w:b/>
          <w:bCs/>
          <w:szCs w:val="21"/>
          <w:u w:val="single"/>
        </w:rPr>
        <w:t>12</w:t>
      </w:r>
      <w:r>
        <w:rPr>
          <w:rFonts w:hint="eastAsia" w:cs="宋体"/>
          <w:b/>
          <w:bCs/>
          <w:szCs w:val="21"/>
        </w:rPr>
        <w:t>时</w:t>
      </w:r>
      <w:r>
        <w:rPr>
          <w:rFonts w:hint="eastAsia" w:cs="宋体"/>
          <w:b/>
          <w:bCs/>
          <w:szCs w:val="21"/>
          <w:u w:val="single"/>
        </w:rPr>
        <w:t>00</w:t>
      </w:r>
      <w:r>
        <w:rPr>
          <w:rFonts w:hint="eastAsia" w:cs="宋体"/>
          <w:b/>
          <w:bCs/>
          <w:szCs w:val="21"/>
        </w:rPr>
        <w:t>分</w:t>
      </w:r>
      <w:r>
        <w:rPr>
          <w:rFonts w:hint="eastAsia" w:cs="宋体"/>
          <w:kern w:val="0"/>
          <w:szCs w:val="21"/>
        </w:rPr>
        <w:t>前通过浙江省海港集团电子招标采购平台汇入指定账户。</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3、投标保证金应通过投标单位银行基本账户汇入，否则视为投标保证金无效。</w:t>
      </w:r>
    </w:p>
    <w:p>
      <w:pPr>
        <w:topLinePunct/>
        <w:autoSpaceDN w:val="0"/>
        <w:spacing w:line="312" w:lineRule="auto"/>
        <w:jc w:val="left"/>
        <w:textAlignment w:val="auto"/>
        <w:outlineLvl w:val="1"/>
        <w:rPr>
          <w:rFonts w:hint="eastAsia"/>
          <w:b/>
          <w:kern w:val="0"/>
          <w:szCs w:val="21"/>
        </w:rPr>
      </w:pPr>
      <w:r>
        <w:rPr>
          <w:rFonts w:hint="eastAsia"/>
          <w:b/>
          <w:kern w:val="0"/>
          <w:szCs w:val="21"/>
        </w:rPr>
        <w:t>八、投标文件的递交</w:t>
      </w:r>
      <w:bookmarkEnd w:id="33"/>
      <w:bookmarkEnd w:id="34"/>
      <w:bookmarkEnd w:id="35"/>
      <w:bookmarkEnd w:id="36"/>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bookmarkStart w:id="37" w:name="_Toc179632533"/>
      <w:bookmarkStart w:id="38" w:name="_Toc157499355"/>
      <w:r>
        <w:rPr>
          <w:rFonts w:hint="eastAsia" w:cs="宋体"/>
          <w:kern w:val="0"/>
          <w:szCs w:val="21"/>
        </w:rPr>
        <w:t>1、投标文件递交截止时间：</w:t>
      </w:r>
      <w:r>
        <w:rPr>
          <w:rFonts w:hint="eastAsia" w:cs="宋体"/>
          <w:b/>
          <w:szCs w:val="21"/>
          <w:u w:val="single"/>
        </w:rPr>
        <w:t>2026</w:t>
      </w:r>
      <w:r>
        <w:rPr>
          <w:rFonts w:hint="eastAsia" w:cs="宋体"/>
          <w:b/>
          <w:szCs w:val="21"/>
        </w:rPr>
        <w:t>年</w:t>
      </w:r>
      <w:r>
        <w:rPr>
          <w:rFonts w:hint="eastAsia" w:cs="宋体"/>
          <w:b/>
          <w:szCs w:val="21"/>
          <w:u w:val="single"/>
        </w:rPr>
        <w:t xml:space="preserve">  </w:t>
      </w:r>
      <w:r>
        <w:rPr>
          <w:rFonts w:hint="eastAsia" w:cs="宋体"/>
          <w:b/>
          <w:szCs w:val="21"/>
        </w:rPr>
        <w:t>月</w:t>
      </w:r>
      <w:r>
        <w:rPr>
          <w:rFonts w:hint="eastAsia" w:cs="宋体"/>
          <w:b/>
          <w:szCs w:val="21"/>
          <w:u w:val="single"/>
        </w:rPr>
        <w:t xml:space="preserve">  </w:t>
      </w:r>
      <w:r>
        <w:rPr>
          <w:rFonts w:hint="eastAsia" w:cs="宋体"/>
          <w:b/>
          <w:szCs w:val="21"/>
        </w:rPr>
        <w:t>日</w:t>
      </w:r>
      <w:r>
        <w:rPr>
          <w:rFonts w:hint="eastAsia" w:cs="宋体"/>
          <w:b/>
          <w:szCs w:val="21"/>
          <w:u w:val="single"/>
        </w:rPr>
        <w:t xml:space="preserve">  </w:t>
      </w:r>
      <w:r>
        <w:rPr>
          <w:rFonts w:hint="eastAsia" w:cs="宋体"/>
          <w:b/>
          <w:szCs w:val="21"/>
        </w:rPr>
        <w:t>时00分</w:t>
      </w:r>
      <w:r>
        <w:rPr>
          <w:rFonts w:hint="eastAsia" w:cs="宋体"/>
          <w:kern w:val="0"/>
          <w:szCs w:val="21"/>
        </w:rPr>
        <w:t>。</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2、投标文件递交方式：</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线上递交方式（投标管家工具）：投标人在投标文件递交时间截止前，将电子投标文件加密后递交至电子招标采购平台。</w:t>
      </w:r>
      <w:r>
        <w:rPr>
          <w:rFonts w:hint="eastAsia" w:cs="宋体"/>
          <w:b/>
          <w:kern w:val="0"/>
          <w:szCs w:val="21"/>
        </w:rPr>
        <w:t>逾期递交投标文件，招标人不予受理。</w:t>
      </w:r>
      <w:r>
        <w:rPr>
          <w:rFonts w:hint="eastAsia" w:cs="宋体"/>
          <w:kern w:val="0"/>
          <w:szCs w:val="21"/>
        </w:rPr>
        <w:t xml:space="preserve">  </w:t>
      </w:r>
    </w:p>
    <w:p>
      <w:pPr>
        <w:topLinePunct/>
        <w:autoSpaceDN w:val="0"/>
        <w:spacing w:line="312" w:lineRule="auto"/>
        <w:jc w:val="left"/>
        <w:textAlignment w:val="auto"/>
        <w:outlineLvl w:val="1"/>
        <w:rPr>
          <w:rFonts w:hint="eastAsia"/>
          <w:b/>
          <w:kern w:val="0"/>
          <w:szCs w:val="21"/>
        </w:rPr>
      </w:pPr>
      <w:r>
        <w:rPr>
          <w:rFonts w:hint="eastAsia"/>
          <w:b/>
          <w:kern w:val="0"/>
          <w:szCs w:val="21"/>
        </w:rPr>
        <w:t>九</w:t>
      </w:r>
      <w:bookmarkEnd w:id="37"/>
      <w:bookmarkEnd w:id="38"/>
      <w:r>
        <w:rPr>
          <w:rFonts w:hint="eastAsia"/>
          <w:b/>
          <w:kern w:val="0"/>
          <w:szCs w:val="21"/>
        </w:rPr>
        <w:t>、开标时间地点及注意事项</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1、开标时间：</w:t>
      </w:r>
      <w:r>
        <w:rPr>
          <w:rFonts w:hint="eastAsia" w:cs="宋体"/>
          <w:b/>
          <w:bCs/>
          <w:kern w:val="0"/>
          <w:szCs w:val="21"/>
          <w:u w:val="single"/>
        </w:rPr>
        <w:t>2026</w:t>
      </w:r>
      <w:r>
        <w:rPr>
          <w:rFonts w:hint="eastAsia" w:cs="宋体"/>
          <w:b/>
          <w:bCs/>
          <w:kern w:val="0"/>
          <w:szCs w:val="21"/>
        </w:rPr>
        <w:t>年</w:t>
      </w:r>
      <w:r>
        <w:rPr>
          <w:rFonts w:hint="eastAsia" w:cs="宋体"/>
          <w:b/>
          <w:bCs/>
          <w:kern w:val="0"/>
          <w:szCs w:val="21"/>
          <w:u w:val="single"/>
        </w:rPr>
        <w:t xml:space="preserve">  </w:t>
      </w:r>
      <w:r>
        <w:rPr>
          <w:rFonts w:hint="eastAsia" w:cs="宋体"/>
          <w:b/>
          <w:bCs/>
          <w:kern w:val="0"/>
          <w:szCs w:val="21"/>
        </w:rPr>
        <w:t>月</w:t>
      </w:r>
      <w:r>
        <w:rPr>
          <w:rFonts w:hint="eastAsia" w:cs="宋体"/>
          <w:b/>
          <w:bCs/>
          <w:kern w:val="0"/>
          <w:szCs w:val="21"/>
          <w:u w:val="single"/>
        </w:rPr>
        <w:t xml:space="preserve">  </w:t>
      </w:r>
      <w:r>
        <w:rPr>
          <w:rFonts w:hint="eastAsia" w:cs="宋体"/>
          <w:b/>
          <w:bCs/>
          <w:kern w:val="0"/>
          <w:szCs w:val="21"/>
        </w:rPr>
        <w:t>日</w:t>
      </w:r>
      <w:r>
        <w:rPr>
          <w:rFonts w:hint="eastAsia" w:cs="宋体"/>
          <w:b/>
          <w:bCs/>
          <w:kern w:val="0"/>
          <w:szCs w:val="21"/>
          <w:u w:val="single"/>
        </w:rPr>
        <w:t xml:space="preserve">  </w:t>
      </w:r>
      <w:r>
        <w:rPr>
          <w:rFonts w:hint="eastAsia" w:cs="宋体"/>
          <w:b/>
          <w:bCs/>
          <w:kern w:val="0"/>
          <w:szCs w:val="21"/>
        </w:rPr>
        <w:t>时</w:t>
      </w:r>
      <w:r>
        <w:rPr>
          <w:rFonts w:hint="eastAsia" w:cs="宋体"/>
          <w:b/>
          <w:bCs/>
          <w:kern w:val="0"/>
          <w:szCs w:val="21"/>
          <w:u w:val="single"/>
        </w:rPr>
        <w:t>00</w:t>
      </w:r>
      <w:r>
        <w:rPr>
          <w:rFonts w:hint="eastAsia" w:cs="宋体"/>
          <w:b/>
          <w:bCs/>
          <w:kern w:val="0"/>
          <w:szCs w:val="21"/>
        </w:rPr>
        <w:t>分</w:t>
      </w:r>
      <w:r>
        <w:rPr>
          <w:rFonts w:hint="eastAsia" w:cs="宋体"/>
          <w:kern w:val="0"/>
          <w:szCs w:val="21"/>
        </w:rPr>
        <w:t>；开标地点：温州市鹿城区瓯江路海港大厦1幢2楼招标采购中心开标室公开开标。</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2" w:firstLineChars="200"/>
        <w:textAlignment w:val="auto"/>
        <w:rPr>
          <w:rFonts w:hint="eastAsia" w:cs="宋体"/>
          <w:b/>
          <w:bCs/>
          <w:szCs w:val="21"/>
        </w:rPr>
      </w:pPr>
      <w:r>
        <w:rPr>
          <w:rFonts w:hint="eastAsia" w:cs="宋体"/>
          <w:b/>
          <w:bCs/>
          <w:szCs w:val="21"/>
        </w:rPr>
        <w:t>注意事项：</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2" w:firstLineChars="200"/>
        <w:textAlignment w:val="auto"/>
        <w:rPr>
          <w:rFonts w:hint="eastAsia" w:cs="宋体"/>
          <w:b/>
          <w:bCs/>
          <w:szCs w:val="21"/>
        </w:rPr>
      </w:pPr>
      <w:r>
        <w:rPr>
          <w:rFonts w:hint="eastAsia" w:cs="宋体"/>
          <w:b/>
          <w:bCs/>
          <w:szCs w:val="21"/>
        </w:rPr>
        <w:t xml:space="preserve">1.投标人于投标截止时间之后三十分钟内在“浙江海港投标管家” 工具端—进入项目—开标—远程开标模块，点击“确认开标结果”按钮进行确认，如超时未确认，视作投标人已对开标结果确认无误。 </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2" w:firstLineChars="200"/>
        <w:textAlignment w:val="auto"/>
        <w:rPr>
          <w:rFonts w:hint="eastAsia" w:cs="宋体"/>
          <w:b/>
          <w:bCs/>
          <w:szCs w:val="21"/>
        </w:rPr>
      </w:pPr>
      <w:r>
        <w:rPr>
          <w:rFonts w:hint="eastAsia" w:cs="宋体"/>
          <w:b/>
          <w:bCs/>
          <w:szCs w:val="21"/>
        </w:rPr>
        <w:t>2.本项目采用电子招标，中标单位须在明确中标后、获取中标通知书前将相应的交易服务费缴入平台制定的集团账户（在“投标管家”工具中查看），具体收费标准详见招标文件或平台公告。</w:t>
      </w:r>
    </w:p>
    <w:p>
      <w:pPr>
        <w:topLinePunct/>
        <w:autoSpaceDN w:val="0"/>
        <w:spacing w:line="312" w:lineRule="auto"/>
        <w:jc w:val="left"/>
        <w:textAlignment w:val="auto"/>
        <w:outlineLvl w:val="1"/>
        <w:rPr>
          <w:rFonts w:hint="eastAsia"/>
          <w:b/>
          <w:kern w:val="0"/>
          <w:szCs w:val="21"/>
        </w:rPr>
      </w:pPr>
      <w:bookmarkStart w:id="39" w:name="_Toc144974485"/>
      <w:bookmarkStart w:id="40" w:name="_Toc152042293"/>
      <w:bookmarkStart w:id="41" w:name="_Toc179632534"/>
      <w:bookmarkStart w:id="42" w:name="_Toc152045517"/>
      <w:r>
        <w:rPr>
          <w:rFonts w:hint="eastAsia"/>
          <w:b/>
          <w:kern w:val="0"/>
          <w:szCs w:val="21"/>
        </w:rPr>
        <w:t>十、发布公告的媒介</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kern w:val="0"/>
          <w:szCs w:val="21"/>
        </w:rPr>
      </w:pPr>
      <w:r>
        <w:rPr>
          <w:rFonts w:hint="eastAsia" w:cs="宋体"/>
          <w:kern w:val="0"/>
          <w:szCs w:val="21"/>
        </w:rPr>
        <w:t>本次招标公告同时在浙江省海港、宁波舟山港电子招标采购平台（http://hgdzzb.nbport.com.cn/）、浙江政府采购网（</w:t>
      </w:r>
      <w:r>
        <w:fldChar w:fldCharType="begin"/>
      </w:r>
      <w:r>
        <w:instrText xml:space="preserve"> HYPERLINK "https://zfcg.czt.zj.gov.cn/" </w:instrText>
      </w:r>
      <w:r>
        <w:fldChar w:fldCharType="separate"/>
      </w:r>
      <w:r>
        <w:rPr>
          <w:rFonts w:hint="eastAsia" w:cs="宋体"/>
          <w:kern w:val="0"/>
          <w:szCs w:val="21"/>
        </w:rPr>
        <w:t>https://zfcg.czt.zj.gov.cn/</w:t>
      </w:r>
      <w:r>
        <w:rPr>
          <w:rFonts w:hint="eastAsia" w:cs="宋体"/>
          <w:kern w:val="0"/>
          <w:szCs w:val="21"/>
        </w:rPr>
        <w:fldChar w:fldCharType="end"/>
      </w:r>
      <w:r>
        <w:rPr>
          <w:rFonts w:hint="eastAsia" w:cs="宋体"/>
          <w:kern w:val="0"/>
          <w:szCs w:val="21"/>
        </w:rPr>
        <w:t>）等网站上发布。</w:t>
      </w:r>
    </w:p>
    <w:p>
      <w:pPr>
        <w:topLinePunct/>
        <w:autoSpaceDN w:val="0"/>
        <w:spacing w:line="312" w:lineRule="auto"/>
        <w:jc w:val="left"/>
        <w:textAlignment w:val="auto"/>
        <w:outlineLvl w:val="1"/>
        <w:rPr>
          <w:rFonts w:hint="eastAsia"/>
          <w:b/>
          <w:kern w:val="0"/>
          <w:szCs w:val="21"/>
        </w:rPr>
      </w:pPr>
      <w:r>
        <w:rPr>
          <w:rFonts w:hint="eastAsia"/>
          <w:b/>
          <w:kern w:val="0"/>
          <w:szCs w:val="21"/>
        </w:rPr>
        <w:t>十一、联系方式</w:t>
      </w:r>
      <w:bookmarkEnd w:id="39"/>
      <w:bookmarkEnd w:id="40"/>
      <w:bookmarkEnd w:id="41"/>
      <w:bookmarkEnd w:id="42"/>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1、招标人信息</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名　称：</w:t>
      </w:r>
      <w:r>
        <w:rPr>
          <w:rFonts w:hint="eastAsia" w:cs="宋体"/>
          <w:kern w:val="0"/>
          <w:szCs w:val="21"/>
        </w:rPr>
        <w:t>温州港集团有限公司物业管理服务分公司</w:t>
      </w:r>
      <w:r>
        <w:rPr>
          <w:rFonts w:hint="eastAsia" w:cs="宋体"/>
          <w:szCs w:val="21"/>
        </w:rPr>
        <w:t>　</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地　址：浙江省温州市鹿城区朔门大厦2幢三层西首</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szCs w:val="21"/>
        </w:rPr>
      </w:pPr>
      <w:r>
        <w:rPr>
          <w:rFonts w:hint="eastAsia" w:cs="宋体"/>
          <w:szCs w:val="21"/>
        </w:rPr>
        <w:t>联系人：郑先生</w:t>
      </w:r>
    </w:p>
    <w:p>
      <w:pPr>
        <w:pStyle w:val="10"/>
        <w:tabs>
          <w:tab w:val="left" w:pos="1343"/>
          <w:tab w:val="left" w:pos="2697"/>
          <w:tab w:val="left" w:pos="3264"/>
          <w:tab w:val="left" w:pos="4896"/>
          <w:tab w:val="left" w:pos="6005"/>
          <w:tab w:val="left" w:pos="7085"/>
          <w:tab w:val="left" w:pos="7498"/>
        </w:tabs>
        <w:topLinePunct/>
        <w:autoSpaceDN w:val="0"/>
        <w:spacing w:after="0" w:line="312" w:lineRule="auto"/>
        <w:ind w:firstLine="420" w:firstLineChars="200"/>
        <w:textAlignment w:val="auto"/>
        <w:rPr>
          <w:rFonts w:hint="eastAsia" w:cs="宋体"/>
          <w:szCs w:val="21"/>
        </w:rPr>
      </w:pPr>
      <w:r>
        <w:rPr>
          <w:rFonts w:hint="eastAsia" w:cs="宋体"/>
          <w:szCs w:val="21"/>
        </w:rPr>
        <w:t>联系电话：18057774159</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bookmarkStart w:id="43" w:name="_Toc28359009"/>
      <w:bookmarkStart w:id="44" w:name="_Toc28359086"/>
      <w:r>
        <w:rPr>
          <w:rFonts w:hint="eastAsia" w:cs="宋体"/>
          <w:szCs w:val="21"/>
        </w:rPr>
        <w:t>2</w:t>
      </w:r>
      <w:bookmarkEnd w:id="43"/>
      <w:bookmarkEnd w:id="44"/>
      <w:r>
        <w:rPr>
          <w:rFonts w:hint="eastAsia" w:cs="宋体"/>
          <w:szCs w:val="21"/>
        </w:rPr>
        <w:t>、招标代理机构信息</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招标代理人：浙江大勤建设项目管理有限公司</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地址： 浙江省杭州市萧山区新街街道知行路1666号圣奥科创园5号楼606室</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 xml:space="preserve">联系人：莫聪聪 </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电话：13626796455</w:t>
      </w:r>
    </w:p>
    <w:p>
      <w:pPr>
        <w:pStyle w:val="10"/>
        <w:numPr>
          <w:ilvl w:val="255"/>
          <w:numId w:val="0"/>
        </w:numPr>
        <w:tabs>
          <w:tab w:val="left" w:pos="1343"/>
          <w:tab w:val="left" w:pos="2697"/>
          <w:tab w:val="left" w:pos="3264"/>
          <w:tab w:val="left" w:pos="4896"/>
          <w:tab w:val="left" w:pos="6005"/>
          <w:tab w:val="left" w:pos="7085"/>
          <w:tab w:val="left" w:pos="7498"/>
        </w:tabs>
        <w:topLinePunct/>
        <w:autoSpaceDN w:val="0"/>
        <w:snapToGrid w:val="0"/>
        <w:spacing w:after="0" w:line="312" w:lineRule="auto"/>
        <w:ind w:left="420" w:leftChars="200"/>
        <w:textAlignment w:val="auto"/>
        <w:rPr>
          <w:rFonts w:hint="eastAsia" w:cs="宋体"/>
          <w:kern w:val="0"/>
          <w:szCs w:val="21"/>
        </w:rPr>
      </w:pPr>
      <w:r>
        <w:rPr>
          <w:rFonts w:hint="eastAsia" w:cs="宋体"/>
          <w:szCs w:val="21"/>
        </w:rPr>
        <w:t>3、投诉受理部门信息：</w:t>
      </w:r>
      <w:r>
        <w:rPr>
          <w:rFonts w:hint="eastAsia" w:cs="宋体"/>
          <w:szCs w:val="21"/>
          <w:shd w:val="clear" w:color="auto" w:fill="FFFFFF"/>
        </w:rPr>
        <w:t xml:space="preserve"> </w:t>
      </w:r>
      <w:r>
        <w:rPr>
          <w:rFonts w:hint="eastAsia" w:cs="宋体"/>
          <w:kern w:val="0"/>
          <w:szCs w:val="21"/>
        </w:rPr>
        <w:t>温州港集团有限公司物业管理服务分公司</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联系电话：</w:t>
      </w:r>
      <w:r>
        <w:rPr>
          <w:rFonts w:hint="eastAsia" w:cs="宋体"/>
          <w:szCs w:val="21"/>
          <w:shd w:val="clear" w:color="auto" w:fill="FFFFFF"/>
        </w:rPr>
        <w:t xml:space="preserve"> </w:t>
      </w:r>
      <w:r>
        <w:rPr>
          <w:rFonts w:hint="eastAsia" w:cs="宋体"/>
          <w:szCs w:val="21"/>
        </w:rPr>
        <w:t>0577-56795798</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shd w:val="clear" w:color="auto" w:fill="FFFFFF"/>
        </w:rPr>
      </w:pPr>
      <w:r>
        <w:rPr>
          <w:rFonts w:hint="eastAsia" w:cs="宋体"/>
          <w:szCs w:val="21"/>
          <w:shd w:val="clear" w:color="auto" w:fill="FFFFFF"/>
        </w:rPr>
        <w:t>4、</w:t>
      </w:r>
      <w:r>
        <w:rPr>
          <w:rFonts w:hint="eastAsia" w:cs="宋体"/>
          <w:szCs w:val="21"/>
        </w:rPr>
        <w:t>投诉受理部门邮箱：</w:t>
      </w:r>
      <w:r>
        <w:rPr>
          <w:rFonts w:hint="eastAsia" w:ascii="ËÎÌå" w:hAnsi="ËÎÌå" w:eastAsia="ËÎÌå"/>
          <w:color w:val="000000"/>
          <w:sz w:val="18"/>
        </w:rPr>
        <w:t>wzgwgfw@163</w:t>
      </w:r>
      <w:r>
        <w:rPr>
          <w:rFonts w:hint="eastAsia" w:ascii="ËÎÌå" w:hAnsi="ËÎÌå"/>
          <w:color w:val="000000"/>
          <w:sz w:val="18"/>
        </w:rPr>
        <w:t>.com</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textAlignment w:val="auto"/>
        <w:rPr>
          <w:rFonts w:hint="eastAsia" w:cs="宋体"/>
          <w:szCs w:val="21"/>
        </w:rPr>
      </w:pPr>
      <w:r>
        <w:rPr>
          <w:rFonts w:hint="eastAsia" w:cs="宋体"/>
          <w:szCs w:val="21"/>
        </w:rPr>
        <w:t>5、电子招标采购平台咨询电话：0574-27680520</w:t>
      </w:r>
    </w:p>
    <w:p>
      <w:pPr>
        <w:pStyle w:val="10"/>
        <w:tabs>
          <w:tab w:val="left" w:pos="1343"/>
          <w:tab w:val="left" w:pos="2697"/>
          <w:tab w:val="left" w:pos="3264"/>
          <w:tab w:val="left" w:pos="4896"/>
          <w:tab w:val="left" w:pos="6005"/>
          <w:tab w:val="left" w:pos="7085"/>
          <w:tab w:val="left" w:pos="7498"/>
        </w:tabs>
        <w:topLinePunct/>
        <w:autoSpaceDN w:val="0"/>
        <w:snapToGrid w:val="0"/>
        <w:spacing w:after="0" w:line="312" w:lineRule="auto"/>
        <w:ind w:firstLine="420" w:firstLineChars="200"/>
        <w:jc w:val="left"/>
        <w:textAlignment w:val="auto"/>
        <w:rPr>
          <w:rFonts w:hint="eastAsia" w:cs="宋体"/>
          <w:szCs w:val="21"/>
        </w:rPr>
      </w:pPr>
      <w:r>
        <w:rPr>
          <w:rFonts w:hint="eastAsia" w:cs="宋体"/>
          <w:szCs w:val="21"/>
        </w:rPr>
        <w:t>CA咨询热线：400-666-4230</w:t>
      </w:r>
    </w:p>
    <w:p>
      <w:pPr>
        <w:pStyle w:val="10"/>
        <w:tabs>
          <w:tab w:val="left" w:pos="1343"/>
          <w:tab w:val="left" w:pos="2697"/>
          <w:tab w:val="left" w:pos="3264"/>
          <w:tab w:val="left" w:pos="4896"/>
          <w:tab w:val="left" w:pos="6005"/>
          <w:tab w:val="left" w:pos="7085"/>
          <w:tab w:val="left" w:pos="7498"/>
        </w:tabs>
        <w:topLinePunct/>
        <w:autoSpaceDN w:val="0"/>
        <w:spacing w:after="0" w:line="312" w:lineRule="auto"/>
        <w:textAlignment w:val="auto"/>
        <w:rPr>
          <w:rFonts w:hint="eastAsia" w:cs="宋体"/>
          <w:kern w:val="0"/>
          <w:szCs w:val="21"/>
        </w:rPr>
      </w:pPr>
    </w:p>
    <w:bookmarkEnd w:id="10"/>
    <w:p>
      <w:pPr>
        <w:spacing w:line="312" w:lineRule="auto"/>
        <w:ind w:firstLine="420" w:firstLineChars="200"/>
        <w:rPr>
          <w:rFonts w:hint="eastAsia"/>
          <w:szCs w:val="21"/>
        </w:rPr>
      </w:pPr>
    </w:p>
    <w:p>
      <w:pPr>
        <w:spacing w:line="400" w:lineRule="exact"/>
        <w:rPr>
          <w:rFonts w:hint="eastAsia"/>
          <w:sz w:val="22"/>
          <w:szCs w:val="21"/>
        </w:rPr>
      </w:pPr>
      <w:r>
        <w:rPr>
          <w:szCs w:val="21"/>
        </w:rPr>
        <w:br w:type="page"/>
      </w:r>
    </w:p>
    <w:p>
      <w:pPr>
        <w:pStyle w:val="2"/>
        <w:spacing w:before="0" w:after="0" w:line="240" w:lineRule="auto"/>
        <w:jc w:val="center"/>
        <w:rPr>
          <w:rFonts w:hint="eastAsia"/>
        </w:rPr>
      </w:pPr>
      <w:bookmarkStart w:id="45" w:name="_Toc152042303"/>
      <w:bookmarkStart w:id="46" w:name="_Toc144974495"/>
      <w:bookmarkStart w:id="47" w:name="_Toc9753"/>
      <w:bookmarkStart w:id="48" w:name="_Toc179632544"/>
      <w:bookmarkStart w:id="49" w:name="_Toc152045527"/>
      <w:r>
        <w:rPr>
          <w:rFonts w:hint="eastAsia"/>
        </w:rPr>
        <w:t>第二章 投标人须知</w:t>
      </w:r>
      <w:bookmarkEnd w:id="45"/>
      <w:bookmarkEnd w:id="46"/>
      <w:bookmarkEnd w:id="47"/>
      <w:bookmarkEnd w:id="48"/>
      <w:bookmarkEnd w:id="49"/>
    </w:p>
    <w:p>
      <w:pPr>
        <w:pStyle w:val="57"/>
        <w:spacing w:line="240" w:lineRule="auto"/>
        <w:jc w:val="center"/>
      </w:pPr>
      <w:bookmarkStart w:id="50" w:name="_Toc152045528"/>
      <w:bookmarkStart w:id="51" w:name="_Toc144974496"/>
      <w:bookmarkStart w:id="52" w:name="_Toc179632545"/>
      <w:bookmarkStart w:id="53" w:name="_Toc152042304"/>
      <w:r>
        <w:rPr>
          <w:rFonts w:hint="eastAsia"/>
        </w:rPr>
        <w:t>投标人须知前附表</w:t>
      </w:r>
      <w:bookmarkEnd w:id="50"/>
      <w:bookmarkEnd w:id="51"/>
      <w:bookmarkEnd w:id="52"/>
      <w:bookmarkEnd w:id="53"/>
    </w:p>
    <w:tbl>
      <w:tblPr>
        <w:tblStyle w:val="25"/>
        <w:tblW w:w="9493" w:type="dxa"/>
        <w:tblInd w:w="0" w:type="dxa"/>
        <w:tblLayout w:type="fixed"/>
        <w:tblCellMar>
          <w:top w:w="0" w:type="dxa"/>
          <w:left w:w="108" w:type="dxa"/>
          <w:bottom w:w="0" w:type="dxa"/>
          <w:right w:w="108" w:type="dxa"/>
        </w:tblCellMar>
      </w:tblPr>
      <w:tblGrid>
        <w:gridCol w:w="1301"/>
        <w:gridCol w:w="650"/>
        <w:gridCol w:w="1701"/>
        <w:gridCol w:w="5841"/>
      </w:tblGrid>
      <w:tr>
        <w:tblPrEx>
          <w:tblCellMar>
            <w:top w:w="0" w:type="dxa"/>
            <w:left w:w="108" w:type="dxa"/>
            <w:bottom w:w="0" w:type="dxa"/>
            <w:right w:w="108" w:type="dxa"/>
          </w:tblCellMar>
        </w:tblPrEx>
        <w:trPr>
          <w:trHeight w:val="600" w:hRule="atLeast"/>
          <w:tblHeader/>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条款号</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条款名称</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编列内容</w:t>
            </w:r>
          </w:p>
        </w:tc>
      </w:tr>
      <w:tr>
        <w:tblPrEx>
          <w:tblCellMar>
            <w:top w:w="0" w:type="dxa"/>
            <w:left w:w="108" w:type="dxa"/>
            <w:bottom w:w="0" w:type="dxa"/>
            <w:right w:w="108" w:type="dxa"/>
          </w:tblCellMar>
        </w:tblPrEx>
        <w:trPr>
          <w:trHeight w:val="1673"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1</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招标人</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szCs w:val="21"/>
              </w:rPr>
              <w:t>名称：温州港集团有限公司物业管理服务分公司</w:t>
            </w:r>
          </w:p>
          <w:p>
            <w:pPr>
              <w:spacing w:line="400" w:lineRule="exact"/>
              <w:rPr>
                <w:rFonts w:hint="eastAsia" w:cs="宋体"/>
                <w:szCs w:val="21"/>
              </w:rPr>
            </w:pPr>
            <w:r>
              <w:rPr>
                <w:rFonts w:hint="eastAsia" w:cs="宋体"/>
                <w:szCs w:val="21"/>
              </w:rPr>
              <w:t>地址：浙江省温州市鹿城区朔门大厦2幢三层西首</w:t>
            </w:r>
          </w:p>
          <w:p>
            <w:pPr>
              <w:spacing w:line="400" w:lineRule="exact"/>
              <w:rPr>
                <w:rFonts w:hint="eastAsia" w:cs="宋体"/>
                <w:szCs w:val="21"/>
              </w:rPr>
            </w:pPr>
            <w:r>
              <w:rPr>
                <w:rFonts w:hint="eastAsia" w:cs="宋体"/>
                <w:szCs w:val="21"/>
              </w:rPr>
              <w:t>联系人：郑先生</w:t>
            </w:r>
          </w:p>
          <w:p>
            <w:pPr>
              <w:spacing w:line="400" w:lineRule="exact"/>
              <w:rPr>
                <w:rFonts w:hint="eastAsia" w:cs="宋体"/>
                <w:szCs w:val="21"/>
              </w:rPr>
            </w:pPr>
            <w:r>
              <w:rPr>
                <w:rFonts w:hint="eastAsia" w:cs="宋体"/>
                <w:kern w:val="0"/>
                <w:szCs w:val="21"/>
              </w:rPr>
              <w:t>联系电话：18057774159</w:t>
            </w:r>
          </w:p>
        </w:tc>
      </w:tr>
      <w:tr>
        <w:tblPrEx>
          <w:tblCellMar>
            <w:top w:w="0" w:type="dxa"/>
            <w:left w:w="108" w:type="dxa"/>
            <w:bottom w:w="0" w:type="dxa"/>
            <w:right w:w="108" w:type="dxa"/>
          </w:tblCellMar>
        </w:tblPrEx>
        <w:trPr>
          <w:trHeight w:val="1403"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2</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招标代理机构</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szCs w:val="21"/>
              </w:rPr>
              <w:t>名 称：浙江大勤建设项目管理有限公司</w:t>
            </w:r>
          </w:p>
          <w:p>
            <w:pPr>
              <w:spacing w:line="400" w:lineRule="exact"/>
              <w:rPr>
                <w:rFonts w:hint="eastAsia" w:cs="宋体"/>
                <w:szCs w:val="21"/>
              </w:rPr>
            </w:pPr>
            <w:r>
              <w:rPr>
                <w:rFonts w:hint="eastAsia" w:cs="宋体"/>
                <w:szCs w:val="21"/>
              </w:rPr>
              <w:t>联系人：莫工</w:t>
            </w:r>
          </w:p>
          <w:p>
            <w:pPr>
              <w:spacing w:line="400" w:lineRule="exact"/>
              <w:rPr>
                <w:rFonts w:hint="eastAsia" w:cs="宋体"/>
                <w:szCs w:val="21"/>
              </w:rPr>
            </w:pPr>
            <w:r>
              <w:rPr>
                <w:rFonts w:hint="eastAsia" w:cs="宋体"/>
                <w:szCs w:val="21"/>
              </w:rPr>
              <w:t>联系方式：13626796455</w:t>
            </w:r>
          </w:p>
        </w:tc>
      </w:tr>
      <w:tr>
        <w:tblPrEx>
          <w:tblCellMar>
            <w:top w:w="0" w:type="dxa"/>
            <w:left w:w="108" w:type="dxa"/>
            <w:bottom w:w="0" w:type="dxa"/>
            <w:right w:w="108" w:type="dxa"/>
          </w:tblCellMar>
        </w:tblPrEx>
        <w:trPr>
          <w:trHeight w:val="980"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3</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项目名称</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color w:val="000000"/>
                <w:szCs w:val="21"/>
              </w:rPr>
              <w:t>物管公司海港大厦</w:t>
            </w:r>
            <w:r>
              <w:rPr>
                <w:rFonts w:ascii="Helvetica" w:hAnsi="Helvetica" w:eastAsia="Helvetica" w:cs="Helvetica"/>
                <w:color w:val="000000"/>
                <w:szCs w:val="21"/>
              </w:rPr>
              <w:t>1</w:t>
            </w:r>
            <w:r>
              <w:rPr>
                <w:rFonts w:hint="eastAsia" w:cs="宋体"/>
                <w:color w:val="000000"/>
                <w:szCs w:val="21"/>
              </w:rPr>
              <w:t>号楼人员进出智能化改造项目</w:t>
            </w:r>
          </w:p>
        </w:tc>
      </w:tr>
      <w:tr>
        <w:tblPrEx>
          <w:tblCellMar>
            <w:top w:w="0" w:type="dxa"/>
            <w:left w:w="108" w:type="dxa"/>
            <w:bottom w:w="0" w:type="dxa"/>
            <w:right w:w="108" w:type="dxa"/>
          </w:tblCellMar>
        </w:tblPrEx>
        <w:trPr>
          <w:trHeight w:val="990"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4</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建设地点</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cs="宋体"/>
                <w:kern w:val="0"/>
                <w:szCs w:val="21"/>
              </w:rPr>
              <w:t>本项目建设地点为浙江省温州市鹿城区海港大厦</w:t>
            </w:r>
          </w:p>
        </w:tc>
      </w:tr>
      <w:tr>
        <w:tblPrEx>
          <w:tblCellMar>
            <w:top w:w="0" w:type="dxa"/>
            <w:left w:w="108" w:type="dxa"/>
            <w:bottom w:w="0" w:type="dxa"/>
            <w:right w:w="108" w:type="dxa"/>
          </w:tblCellMar>
        </w:tblPrEx>
        <w:trPr>
          <w:trHeight w:val="845"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5</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资金来源</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szCs w:val="21"/>
              </w:rPr>
              <w:t>自筹</w:t>
            </w:r>
          </w:p>
        </w:tc>
      </w:tr>
      <w:tr>
        <w:tblPrEx>
          <w:tblCellMar>
            <w:top w:w="0" w:type="dxa"/>
            <w:left w:w="108" w:type="dxa"/>
            <w:bottom w:w="0" w:type="dxa"/>
            <w:right w:w="108" w:type="dxa"/>
          </w:tblCellMar>
        </w:tblPrEx>
        <w:trPr>
          <w:trHeight w:val="839"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6</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出资比例</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szCs w:val="21"/>
              </w:rPr>
              <w:t>100%</w:t>
            </w:r>
          </w:p>
        </w:tc>
      </w:tr>
      <w:tr>
        <w:tblPrEx>
          <w:tblCellMar>
            <w:top w:w="0" w:type="dxa"/>
            <w:left w:w="108" w:type="dxa"/>
            <w:bottom w:w="0" w:type="dxa"/>
            <w:right w:w="108" w:type="dxa"/>
          </w:tblCellMar>
        </w:tblPrEx>
        <w:trPr>
          <w:trHeight w:val="988"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7</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资金落实情况</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szCs w:val="21"/>
              </w:rPr>
              <w:t>已落实</w:t>
            </w:r>
          </w:p>
        </w:tc>
      </w:tr>
      <w:tr>
        <w:tblPrEx>
          <w:tblCellMar>
            <w:top w:w="0" w:type="dxa"/>
            <w:left w:w="108" w:type="dxa"/>
            <w:bottom w:w="0" w:type="dxa"/>
            <w:right w:w="108" w:type="dxa"/>
          </w:tblCellMar>
        </w:tblPrEx>
        <w:trPr>
          <w:trHeight w:val="984"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8</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招标范围</w:t>
            </w:r>
          </w:p>
        </w:tc>
        <w:tc>
          <w:tcPr>
            <w:tcW w:w="5841" w:type="dxa"/>
            <w:tcBorders>
              <w:top w:val="single" w:color="auto" w:sz="4" w:space="0"/>
              <w:left w:val="nil"/>
              <w:bottom w:val="single" w:color="auto" w:sz="4" w:space="0"/>
              <w:right w:val="single" w:color="auto" w:sz="4" w:space="0"/>
            </w:tcBorders>
            <w:noWrap/>
            <w:vAlign w:val="center"/>
          </w:tcPr>
          <w:p>
            <w:pPr>
              <w:pStyle w:val="10"/>
              <w:tabs>
                <w:tab w:val="left" w:pos="1343"/>
                <w:tab w:val="left" w:pos="2697"/>
                <w:tab w:val="left" w:pos="3264"/>
                <w:tab w:val="left" w:pos="4896"/>
                <w:tab w:val="left" w:pos="6005"/>
                <w:tab w:val="left" w:pos="7085"/>
                <w:tab w:val="left" w:pos="7498"/>
              </w:tabs>
              <w:topLinePunct/>
              <w:autoSpaceDN w:val="0"/>
              <w:spacing w:line="312" w:lineRule="auto"/>
              <w:jc w:val="left"/>
              <w:textAlignment w:val="auto"/>
              <w:rPr>
                <w:rFonts w:hint="eastAsia" w:cs="宋体"/>
                <w:kern w:val="0"/>
                <w:szCs w:val="21"/>
              </w:rPr>
            </w:pPr>
            <w:r>
              <w:rPr>
                <w:color w:val="000000" w:themeColor="text1"/>
                <w:szCs w:val="21"/>
                <w14:textFill>
                  <w14:solidFill>
                    <w14:schemeClr w14:val="tx1"/>
                  </w14:solidFill>
                </w14:textFill>
              </w:rPr>
              <w:t>涵盖但不限于智能闸机、人脸门禁一体机等设备的采购、运输、装卸、安装、调试</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培训及质保期内维保服务，具体以图纸及工程量清单为准</w:t>
            </w:r>
            <w:r>
              <w:rPr>
                <w:rFonts w:hint="eastAsia"/>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trHeight w:val="837"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9</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工期要求</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ascii="Calibri" w:hAnsi="Calibri"/>
                <w:szCs w:val="22"/>
              </w:rPr>
              <w:t>自合同签订且招标人下达开工令之日起，25 日历天内完成本项目全部设备的安装、调试，并通过招标人组织验收后交付使用。</w:t>
            </w:r>
          </w:p>
        </w:tc>
      </w:tr>
      <w:tr>
        <w:tblPrEx>
          <w:tblCellMar>
            <w:top w:w="0" w:type="dxa"/>
            <w:left w:w="108" w:type="dxa"/>
            <w:bottom w:w="0" w:type="dxa"/>
            <w:right w:w="108" w:type="dxa"/>
          </w:tblCellMar>
        </w:tblPrEx>
        <w:trPr>
          <w:trHeight w:val="1134"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10</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质量要求</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szCs w:val="21"/>
              </w:rPr>
              <w:t>合格</w:t>
            </w:r>
          </w:p>
        </w:tc>
      </w:tr>
      <w:tr>
        <w:tblPrEx>
          <w:tblCellMar>
            <w:top w:w="0" w:type="dxa"/>
            <w:left w:w="108" w:type="dxa"/>
            <w:bottom w:w="0" w:type="dxa"/>
            <w:right w:w="108" w:type="dxa"/>
          </w:tblCellMar>
        </w:tblPrEx>
        <w:trPr>
          <w:trHeight w:val="646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11</w:t>
            </w:r>
          </w:p>
        </w:tc>
        <w:tc>
          <w:tcPr>
            <w:tcW w:w="2351" w:type="dxa"/>
            <w:gridSpan w:val="2"/>
            <w:tcBorders>
              <w:top w:val="single" w:color="auto" w:sz="4" w:space="0"/>
              <w:left w:val="nil"/>
              <w:bottom w:val="single" w:color="auto" w:sz="4" w:space="0"/>
              <w:right w:val="single" w:color="auto" w:sz="4" w:space="0"/>
            </w:tcBorders>
            <w:noWrap/>
            <w:vAlign w:val="center"/>
          </w:tcPr>
          <w:p>
            <w:pPr>
              <w:spacing w:line="400" w:lineRule="exact"/>
              <w:jc w:val="center"/>
              <w:rPr>
                <w:rFonts w:hint="eastAsia" w:cs="宋体"/>
                <w:szCs w:val="21"/>
              </w:rPr>
            </w:pPr>
            <w:r>
              <w:rPr>
                <w:rFonts w:hint="eastAsia" w:cs="宋体"/>
                <w:szCs w:val="21"/>
              </w:rPr>
              <w:t>投标人资质条件、能力和信誉</w:t>
            </w:r>
          </w:p>
        </w:tc>
        <w:tc>
          <w:tcPr>
            <w:tcW w:w="5841" w:type="dxa"/>
            <w:tcBorders>
              <w:top w:val="single" w:color="auto" w:sz="4" w:space="0"/>
              <w:left w:val="nil"/>
              <w:bottom w:val="single" w:color="auto" w:sz="4" w:space="0"/>
              <w:right w:val="single" w:color="auto" w:sz="4" w:space="0"/>
            </w:tcBorders>
            <w:noWrap/>
            <w:vAlign w:val="center"/>
          </w:tcPr>
          <w:p>
            <w:pPr>
              <w:spacing w:line="400" w:lineRule="exact"/>
              <w:rPr>
                <w:rFonts w:hint="eastAsia" w:cs="宋体"/>
                <w:szCs w:val="21"/>
              </w:rPr>
            </w:pPr>
            <w:r>
              <w:rPr>
                <w:rFonts w:hint="eastAsia" w:cs="宋体"/>
                <w:szCs w:val="21"/>
              </w:rPr>
              <w:t>（1）资质条件：投标人具有独立法人资格、有效的企业营业执照和有效的安全生产许可证，具有电子与智能化工程专业承包二级及以上资质；</w:t>
            </w:r>
          </w:p>
          <w:p>
            <w:pPr>
              <w:spacing w:line="400" w:lineRule="exact"/>
              <w:rPr>
                <w:rFonts w:hint="eastAsia" w:cs="宋体"/>
                <w:szCs w:val="21"/>
              </w:rPr>
            </w:pPr>
            <w:r>
              <w:rPr>
                <w:rFonts w:hint="eastAsia" w:cs="宋体"/>
                <w:szCs w:val="21"/>
              </w:rPr>
              <w:t>（2）财务要求：不要求；</w:t>
            </w:r>
          </w:p>
          <w:p>
            <w:pPr>
              <w:pStyle w:val="11"/>
              <w:ind w:firstLine="0" w:firstLineChars="0"/>
              <w:rPr>
                <w:rFonts w:hint="eastAsia"/>
              </w:rPr>
            </w:pPr>
            <w:r>
              <w:rPr>
                <w:rFonts w:hint="eastAsia" w:cs="宋体"/>
                <w:szCs w:val="21"/>
              </w:rPr>
              <w:t>（3）业绩要求：不要求；</w:t>
            </w:r>
          </w:p>
          <w:p>
            <w:pPr>
              <w:spacing w:line="400" w:lineRule="exact"/>
              <w:rPr>
                <w:rFonts w:hint="eastAsia" w:cs="宋体"/>
                <w:szCs w:val="21"/>
              </w:rPr>
            </w:pPr>
            <w:r>
              <w:rPr>
                <w:rFonts w:hint="eastAsia" w:cs="宋体"/>
                <w:szCs w:val="21"/>
              </w:rPr>
              <w:t>（4）信誉要求：不要求；</w:t>
            </w:r>
          </w:p>
          <w:p>
            <w:pPr>
              <w:spacing w:line="400" w:lineRule="exact"/>
              <w:rPr>
                <w:rFonts w:hint="eastAsia" w:cs="宋体"/>
                <w:szCs w:val="21"/>
              </w:rPr>
            </w:pPr>
            <w:r>
              <w:rPr>
                <w:rFonts w:hint="eastAsia" w:cs="宋体"/>
                <w:szCs w:val="21"/>
              </w:rPr>
              <w:t>（5）拟派项目经理具有</w:t>
            </w:r>
            <w:r>
              <w:rPr>
                <w:rFonts w:cs="宋体"/>
                <w:szCs w:val="21"/>
              </w:rPr>
              <w:t>机电工程或通信与广电工程专业注册建造师</w:t>
            </w:r>
            <w:r>
              <w:rPr>
                <w:rFonts w:hint="eastAsia" w:cs="宋体"/>
                <w:szCs w:val="21"/>
              </w:rPr>
              <w:t>证</w:t>
            </w:r>
            <w:r>
              <w:rPr>
                <w:rFonts w:cs="宋体"/>
                <w:szCs w:val="21"/>
              </w:rPr>
              <w:t>，并需配套安全生产考核合格证书（B 证）</w:t>
            </w:r>
            <w:r>
              <w:rPr>
                <w:rFonts w:hint="eastAsia" w:cs="宋体"/>
                <w:szCs w:val="21"/>
              </w:rPr>
              <w:t>，专（兼）职安全员，具备安全生产考核合格证书（C类）；投标人拟派项目经理的建造师证书须采用电子证书打印件扫描上传。</w:t>
            </w:r>
          </w:p>
          <w:p>
            <w:pPr>
              <w:spacing w:line="400" w:lineRule="exact"/>
              <w:rPr>
                <w:rFonts w:hint="eastAsia" w:cs="宋体"/>
                <w:b/>
                <w:bCs/>
                <w:szCs w:val="21"/>
              </w:rPr>
            </w:pPr>
            <w:r>
              <w:rPr>
                <w:rFonts w:hint="eastAsia" w:cs="宋体"/>
                <w:b/>
                <w:bCs/>
                <w:szCs w:val="21"/>
              </w:rPr>
              <w:t>其中一级电子证书须执行住房和城乡建设部的文件（建办市〔2021〕40号）的相关规定。一级建造师电子证书打印后，应在个人签名处手写本人签名，未手写签名或与签名图像笔迹不一致的，该电子证书无效。</w:t>
            </w:r>
          </w:p>
          <w:p>
            <w:pPr>
              <w:spacing w:line="400" w:lineRule="exact"/>
              <w:rPr>
                <w:rFonts w:hint="eastAsia" w:cs="宋体"/>
                <w:szCs w:val="21"/>
              </w:rPr>
            </w:pPr>
            <w:r>
              <w:rPr>
                <w:rFonts w:hint="eastAsia" w:cs="宋体"/>
                <w:szCs w:val="21"/>
              </w:rPr>
              <w:t>（6）与招标人存在利害关系可能影响招标公正性的法人、其他组织或者个人，不得参加投标；单位负责人为同一人或者存在控股、管理关系的不同单位，不得参加同一标段投标</w:t>
            </w:r>
          </w:p>
          <w:p>
            <w:pPr>
              <w:spacing w:line="400" w:lineRule="exact"/>
              <w:rPr>
                <w:rFonts w:hint="eastAsia" w:cs="宋体"/>
                <w:szCs w:val="21"/>
              </w:rPr>
            </w:pPr>
            <w:r>
              <w:rPr>
                <w:rFonts w:hint="eastAsia" w:cs="宋体"/>
                <w:szCs w:val="21"/>
              </w:rPr>
              <w:t>（7</w:t>
            </w:r>
            <w:r>
              <w:rPr>
                <w:rFonts w:cs="宋体"/>
                <w:szCs w:val="21"/>
              </w:rPr>
              <w:t>）</w:t>
            </w:r>
            <w:r>
              <w:rPr>
                <w:rFonts w:hint="eastAsia" w:cs="宋体"/>
                <w:szCs w:val="21"/>
              </w:rPr>
              <w:t>与投标人签订劳动合同的人员不少于20人</w:t>
            </w:r>
          </w:p>
          <w:p>
            <w:pPr>
              <w:spacing w:line="400" w:lineRule="exact"/>
              <w:rPr>
                <w:rFonts w:hint="eastAsia" w:cs="宋体"/>
                <w:szCs w:val="21"/>
              </w:rPr>
            </w:pPr>
            <w:r>
              <w:rPr>
                <w:rFonts w:hint="eastAsia" w:cs="宋体"/>
                <w:szCs w:val="21"/>
              </w:rPr>
              <w:t>(8) 投标人未被列入失信被执行人名单、重大税收违法案件当事人名单、安全生产严重失信主体名单、政府采购严重违法失信行为记录名单、信用信息以信用中国网站（www.creditchina.gov.cn）、中国政府采购网（www.ccgp.gov.cn）公布为准。</w:t>
            </w:r>
          </w:p>
          <w:p>
            <w:pPr>
              <w:spacing w:line="400" w:lineRule="exact"/>
              <w:rPr>
                <w:rFonts w:hint="eastAsia" w:cs="宋体"/>
                <w:szCs w:val="21"/>
              </w:rPr>
            </w:pPr>
            <w:r>
              <w:rPr>
                <w:rFonts w:hint="eastAsia" w:cs="宋体"/>
                <w:szCs w:val="21"/>
              </w:rPr>
              <w:t>(9) 投标人未被列入全国建筑市场监管公共服务平台公布的建筑市场主体 “</w:t>
            </w:r>
            <w:r>
              <w:rPr>
                <w:rFonts w:cs="宋体"/>
                <w:szCs w:val="21"/>
              </w:rPr>
              <w:t>黑名单</w:t>
            </w:r>
            <w:r>
              <w:rPr>
                <w:rFonts w:hint="eastAsia" w:cs="宋体"/>
                <w:szCs w:val="21"/>
              </w:rPr>
              <w:t>”</w:t>
            </w:r>
          </w:p>
        </w:tc>
      </w:tr>
      <w:tr>
        <w:tblPrEx>
          <w:tblCellMar>
            <w:top w:w="0" w:type="dxa"/>
            <w:left w:w="108" w:type="dxa"/>
            <w:bottom w:w="0" w:type="dxa"/>
            <w:right w:w="108" w:type="dxa"/>
          </w:tblCellMar>
        </w:tblPrEx>
        <w:trPr>
          <w:trHeight w:val="85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12</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是否接受联合体投标</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不接受 </w:t>
            </w:r>
          </w:p>
        </w:tc>
      </w:tr>
      <w:tr>
        <w:tblPrEx>
          <w:tblCellMar>
            <w:top w:w="0" w:type="dxa"/>
            <w:left w:w="108" w:type="dxa"/>
            <w:bottom w:w="0" w:type="dxa"/>
            <w:right w:w="108" w:type="dxa"/>
          </w:tblCellMar>
        </w:tblPrEx>
        <w:trPr>
          <w:trHeight w:val="978"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13</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踏勘现场</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组织</w:t>
            </w:r>
          </w:p>
          <w:p>
            <w:pPr>
              <w:rPr>
                <w:rFonts w:hint="eastAsia"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不组织，投标人自行前往现场踏勘</w:t>
            </w:r>
          </w:p>
        </w:tc>
      </w:tr>
      <w:tr>
        <w:tblPrEx>
          <w:tblCellMar>
            <w:top w:w="0" w:type="dxa"/>
            <w:left w:w="108" w:type="dxa"/>
            <w:bottom w:w="0" w:type="dxa"/>
            <w:right w:w="108" w:type="dxa"/>
          </w:tblCellMar>
        </w:tblPrEx>
        <w:trPr>
          <w:trHeight w:val="837"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14</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投标预备会</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不召开</w:t>
            </w:r>
          </w:p>
        </w:tc>
      </w:tr>
      <w:tr>
        <w:tblPrEx>
          <w:tblCellMar>
            <w:top w:w="0" w:type="dxa"/>
            <w:left w:w="108" w:type="dxa"/>
            <w:bottom w:w="0" w:type="dxa"/>
            <w:right w:w="108" w:type="dxa"/>
          </w:tblCellMar>
        </w:tblPrEx>
        <w:trPr>
          <w:trHeight w:val="691"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15</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分包</w:t>
            </w:r>
          </w:p>
        </w:tc>
        <w:tc>
          <w:tcPr>
            <w:tcW w:w="5841" w:type="dxa"/>
            <w:tcBorders>
              <w:top w:val="single" w:color="auto" w:sz="4" w:space="0"/>
              <w:left w:val="nil"/>
              <w:bottom w:val="single" w:color="auto" w:sz="4" w:space="0"/>
              <w:right w:val="single" w:color="auto" w:sz="4" w:space="0"/>
            </w:tcBorders>
            <w:noWrap/>
            <w:vAlign w:val="center"/>
          </w:tcPr>
          <w:p>
            <w:pPr>
              <w:jc w:val="left"/>
              <w:rPr>
                <w:rFonts w:hint="eastAsia"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不允许。</w:t>
            </w:r>
          </w:p>
        </w:tc>
      </w:tr>
      <w:tr>
        <w:trPr>
          <w:trHeight w:val="1148"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16</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偏离</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w:t>
            </w:r>
          </w:p>
        </w:tc>
      </w:tr>
      <w:tr>
        <w:tblPrEx>
          <w:tblCellMar>
            <w:top w:w="0" w:type="dxa"/>
            <w:left w:w="108" w:type="dxa"/>
            <w:bottom w:w="0" w:type="dxa"/>
            <w:right w:w="108" w:type="dxa"/>
          </w:tblCellMar>
        </w:tblPrEx>
        <w:trPr>
          <w:trHeight w:val="125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17</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构成招标文件的其他材料</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（1）工程量清单</w:t>
            </w:r>
          </w:p>
          <w:p>
            <w:pPr>
              <w:rPr>
                <w:rFonts w:hint="eastAsia" w:cs="宋体"/>
                <w:szCs w:val="21"/>
              </w:rPr>
            </w:pPr>
            <w:r>
              <w:rPr>
                <w:rFonts w:hint="eastAsia" w:cs="宋体"/>
                <w:szCs w:val="21"/>
              </w:rPr>
              <w:t>（2）图纸</w:t>
            </w:r>
          </w:p>
          <w:p>
            <w:pPr>
              <w:pStyle w:val="50"/>
              <w:rPr>
                <w:rFonts w:hint="eastAsia"/>
                <w:sz w:val="21"/>
                <w:szCs w:val="21"/>
                <w:lang w:val="en-US"/>
              </w:rPr>
            </w:pPr>
            <w:r>
              <w:rPr>
                <w:rFonts w:hint="eastAsia" w:cs="宋体"/>
                <w:sz w:val="21"/>
                <w:szCs w:val="21"/>
              </w:rPr>
              <w:t>（</w:t>
            </w:r>
            <w:r>
              <w:rPr>
                <w:rFonts w:hint="eastAsia" w:cs="宋体"/>
                <w:sz w:val="21"/>
                <w:szCs w:val="21"/>
                <w:lang w:val="en-US"/>
              </w:rPr>
              <w:t>3</w:t>
            </w:r>
            <w:r>
              <w:rPr>
                <w:rFonts w:hint="eastAsia" w:cs="宋体"/>
                <w:sz w:val="21"/>
                <w:szCs w:val="21"/>
              </w:rPr>
              <w:t>）</w:t>
            </w:r>
            <w:r>
              <w:rPr>
                <w:rFonts w:hint="eastAsia" w:cs="宋体"/>
                <w:sz w:val="21"/>
                <w:szCs w:val="21"/>
                <w:lang w:val="en-US"/>
              </w:rPr>
              <w:t>其他组成招标文件内容</w:t>
            </w:r>
          </w:p>
        </w:tc>
      </w:tr>
      <w:tr>
        <w:tblPrEx>
          <w:tblCellMar>
            <w:top w:w="0" w:type="dxa"/>
            <w:left w:w="108" w:type="dxa"/>
            <w:bottom w:w="0" w:type="dxa"/>
            <w:right w:w="108" w:type="dxa"/>
          </w:tblCellMar>
        </w:tblPrEx>
        <w:trPr>
          <w:trHeight w:val="4637"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18</w:t>
            </w:r>
          </w:p>
        </w:tc>
        <w:tc>
          <w:tcPr>
            <w:tcW w:w="2351" w:type="dxa"/>
            <w:gridSpan w:val="2"/>
            <w:tcBorders>
              <w:top w:val="single" w:color="auto" w:sz="4" w:space="0"/>
              <w:left w:val="nil"/>
              <w:bottom w:val="single" w:color="auto" w:sz="4" w:space="0"/>
              <w:right w:val="single" w:color="auto" w:sz="4" w:space="0"/>
            </w:tcBorders>
            <w:noWrap/>
            <w:vAlign w:val="center"/>
          </w:tcPr>
          <w:p>
            <w:pPr>
              <w:pStyle w:val="50"/>
              <w:spacing w:line="288" w:lineRule="auto"/>
              <w:rPr>
                <w:rFonts w:hint="eastAsia" w:cs="宋体"/>
                <w:sz w:val="21"/>
                <w:szCs w:val="21"/>
                <w:lang w:val="en-US"/>
              </w:rPr>
            </w:pPr>
            <w:r>
              <w:rPr>
                <w:rFonts w:hint="eastAsia" w:cs="宋体"/>
                <w:sz w:val="21"/>
                <w:szCs w:val="21"/>
                <w:lang w:val="en-US"/>
              </w:rPr>
              <w:t>投标人要求澄清招标文件的截止时间</w:t>
            </w:r>
          </w:p>
        </w:tc>
        <w:tc>
          <w:tcPr>
            <w:tcW w:w="5841" w:type="dxa"/>
            <w:tcBorders>
              <w:top w:val="single" w:color="auto" w:sz="4" w:space="0"/>
              <w:left w:val="nil"/>
              <w:bottom w:val="single" w:color="auto" w:sz="4" w:space="0"/>
              <w:right w:val="single" w:color="auto" w:sz="4" w:space="0"/>
            </w:tcBorders>
            <w:noWrap/>
            <w:vAlign w:val="center"/>
          </w:tcPr>
          <w:p>
            <w:pPr>
              <w:pStyle w:val="50"/>
              <w:spacing w:line="288" w:lineRule="auto"/>
              <w:rPr>
                <w:rFonts w:hint="eastAsia" w:cs="宋体"/>
                <w:sz w:val="21"/>
                <w:szCs w:val="21"/>
                <w:lang w:val="en-US"/>
              </w:rPr>
            </w:pPr>
            <w:r>
              <w:rPr>
                <w:rFonts w:hint="eastAsia" w:cs="宋体"/>
                <w:sz w:val="21"/>
                <w:szCs w:val="21"/>
                <w:lang w:val="en-US"/>
              </w:rPr>
              <w:t>1.招标人对已发出的招标文件进行必要的澄清、修改、补充等时，将在招标公告规定的投标截止时间10日前，将在浙江省海港集团、宁波舟山港集团网站向所有投标人公告信息，投标人应自行查看上述内容，不须作收到确认，澄清、修改、补充的内容作为招标文件的组成部分。招标人根据实际情况，作出延长投标截止时间和开标时间的决定，并发布变更公告。</w:t>
            </w:r>
          </w:p>
          <w:p>
            <w:pPr>
              <w:pStyle w:val="50"/>
              <w:spacing w:line="288" w:lineRule="auto"/>
              <w:rPr>
                <w:rFonts w:hint="eastAsia" w:cs="宋体"/>
                <w:sz w:val="21"/>
                <w:szCs w:val="21"/>
                <w:lang w:val="en-US"/>
              </w:rPr>
            </w:pPr>
            <w:r>
              <w:rPr>
                <w:rFonts w:hint="eastAsia" w:cs="宋体"/>
                <w:sz w:val="21"/>
                <w:szCs w:val="21"/>
                <w:lang w:val="en-US"/>
              </w:rPr>
              <w:t>2.购买招标文件的潜在投标人对招标文件有异议，应在投标截止时间10日前书面提出。逾期提出的将不予受理。对招标文件的异议应有法定代表人或其委托代理人签字，并盖投标人公章和注明日期。</w:t>
            </w:r>
          </w:p>
          <w:p>
            <w:pPr>
              <w:pStyle w:val="50"/>
              <w:spacing w:line="288" w:lineRule="auto"/>
              <w:rPr>
                <w:rFonts w:hint="eastAsia" w:cs="宋体"/>
                <w:sz w:val="21"/>
                <w:szCs w:val="21"/>
                <w:lang w:val="en-US"/>
              </w:rPr>
            </w:pPr>
            <w:r>
              <w:rPr>
                <w:rFonts w:hint="eastAsia" w:cs="宋体"/>
                <w:sz w:val="21"/>
                <w:szCs w:val="21"/>
                <w:lang w:val="en-US"/>
              </w:rPr>
              <w:t>3.没有提出异议且又参与了该项目投标的服务商将被视为完全认同招标文件。</w:t>
            </w:r>
          </w:p>
        </w:tc>
      </w:tr>
      <w:tr>
        <w:tblPrEx>
          <w:tblCellMar>
            <w:top w:w="0" w:type="dxa"/>
            <w:left w:w="108" w:type="dxa"/>
            <w:bottom w:w="0" w:type="dxa"/>
            <w:right w:w="108" w:type="dxa"/>
          </w:tblCellMar>
        </w:tblPrEx>
        <w:trPr>
          <w:trHeight w:val="198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19</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投标人确认收到招标文件澄清的时间和方式</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本工程招标文件的澄清、修改、补充等内容在浙江省海港集团、宁波舟山港集团网站上发布信息向所有投标人公告，投标人应自行察看并下载上述内容，不须作收到确认。请各投标人关注网站上的补充答疑，已公布的补充答疑投标人未查看的，投标人自行承担其后果。</w:t>
            </w:r>
          </w:p>
        </w:tc>
      </w:tr>
      <w:tr>
        <w:tblPrEx>
          <w:tblCellMar>
            <w:top w:w="0" w:type="dxa"/>
            <w:left w:w="108" w:type="dxa"/>
            <w:bottom w:w="0" w:type="dxa"/>
            <w:right w:w="108" w:type="dxa"/>
          </w:tblCellMar>
        </w:tblPrEx>
        <w:trPr>
          <w:trHeight w:val="210"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20</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投标文件包括的内容</w:t>
            </w:r>
          </w:p>
        </w:tc>
        <w:tc>
          <w:tcPr>
            <w:tcW w:w="5841" w:type="dxa"/>
            <w:tcBorders>
              <w:top w:val="single" w:color="auto" w:sz="4" w:space="0"/>
              <w:left w:val="nil"/>
              <w:bottom w:val="single" w:color="auto" w:sz="4" w:space="0"/>
              <w:right w:val="single" w:color="auto" w:sz="4" w:space="0"/>
            </w:tcBorders>
            <w:noWrap/>
            <w:vAlign w:val="center"/>
          </w:tcPr>
          <w:p>
            <w:pPr>
              <w:jc w:val="left"/>
              <w:rPr>
                <w:rFonts w:hint="eastAsia" w:cs="宋体"/>
                <w:szCs w:val="21"/>
              </w:rPr>
            </w:pPr>
            <w:r>
              <w:rPr>
                <w:rFonts w:hint="eastAsia" w:cs="宋体"/>
                <w:szCs w:val="21"/>
              </w:rPr>
              <w:t>投标文件由资审文件、价格标、商务技术标组成。</w:t>
            </w:r>
          </w:p>
          <w:p>
            <w:pPr>
              <w:jc w:val="left"/>
              <w:rPr>
                <w:rFonts w:hint="eastAsia" w:cs="宋体"/>
                <w:szCs w:val="21"/>
              </w:rPr>
            </w:pPr>
            <w:r>
              <w:rPr>
                <w:rFonts w:hint="eastAsia" w:cs="宋体"/>
                <w:b/>
                <w:szCs w:val="21"/>
              </w:rPr>
              <w:t>一、资格审查文件组成</w:t>
            </w:r>
            <w:r>
              <w:rPr>
                <w:rFonts w:hint="eastAsia" w:cs="宋体"/>
                <w:szCs w:val="21"/>
              </w:rPr>
              <w:t>：</w:t>
            </w:r>
          </w:p>
          <w:p>
            <w:pPr>
              <w:jc w:val="left"/>
              <w:rPr>
                <w:rFonts w:hint="eastAsia" w:cs="宋体"/>
                <w:szCs w:val="21"/>
              </w:rPr>
            </w:pPr>
            <w:r>
              <w:rPr>
                <w:rFonts w:hint="eastAsia" w:cs="宋体"/>
                <w:szCs w:val="21"/>
              </w:rPr>
              <w:t>1.资格审查文件封面；</w:t>
            </w:r>
          </w:p>
          <w:p>
            <w:pPr>
              <w:jc w:val="left"/>
              <w:rPr>
                <w:rFonts w:hint="eastAsia" w:cs="宋体"/>
                <w:szCs w:val="21"/>
              </w:rPr>
            </w:pPr>
            <w:r>
              <w:rPr>
                <w:rFonts w:hint="eastAsia" w:cs="宋体"/>
                <w:szCs w:val="21"/>
              </w:rPr>
              <w:t>2.法定代表人身份证明书复印件；</w:t>
            </w:r>
          </w:p>
          <w:p>
            <w:pPr>
              <w:jc w:val="left"/>
              <w:rPr>
                <w:rFonts w:hint="eastAsia" w:cs="宋体"/>
                <w:szCs w:val="21"/>
              </w:rPr>
            </w:pPr>
            <w:r>
              <w:rPr>
                <w:rFonts w:hint="eastAsia" w:cs="宋体"/>
                <w:szCs w:val="21"/>
              </w:rPr>
              <w:t>3.法定代表人授权委托书</w:t>
            </w:r>
          </w:p>
          <w:p>
            <w:pPr>
              <w:jc w:val="left"/>
              <w:rPr>
                <w:rFonts w:hint="eastAsia" w:cs="宋体"/>
                <w:szCs w:val="21"/>
              </w:rPr>
            </w:pPr>
            <w:r>
              <w:rPr>
                <w:rFonts w:hint="eastAsia" w:cs="宋体"/>
                <w:szCs w:val="21"/>
              </w:rPr>
              <w:t>4.企业营业执照及安全生产许可证扫描件；</w:t>
            </w:r>
          </w:p>
          <w:p>
            <w:pPr>
              <w:jc w:val="left"/>
              <w:rPr>
                <w:rFonts w:hint="eastAsia" w:cs="宋体"/>
                <w:szCs w:val="21"/>
              </w:rPr>
            </w:pPr>
            <w:r>
              <w:rPr>
                <w:rFonts w:hint="eastAsia" w:cs="宋体"/>
                <w:szCs w:val="21"/>
              </w:rPr>
              <w:t>5.企业资质证书扫描件；</w:t>
            </w:r>
          </w:p>
          <w:p>
            <w:pPr>
              <w:jc w:val="left"/>
              <w:rPr>
                <w:rFonts w:hint="eastAsia" w:cs="宋体"/>
                <w:szCs w:val="21"/>
              </w:rPr>
            </w:pPr>
            <w:r>
              <w:rPr>
                <w:rFonts w:hint="eastAsia" w:cs="宋体"/>
                <w:szCs w:val="21"/>
              </w:rPr>
              <w:t>6.拟派项目人员的简历表：</w:t>
            </w:r>
            <w:bookmarkStart w:id="54" w:name="OLE_LINK64"/>
            <w:r>
              <w:rPr>
                <w:rFonts w:hint="eastAsia" w:cs="宋体"/>
                <w:szCs w:val="21"/>
              </w:rPr>
              <w:t>附项目经理有效的身份证复印件、建造师注册证书复印件、安全生产考核合格证书（B证）；</w:t>
            </w:r>
            <w:r>
              <w:rPr>
                <w:rFonts w:cs="宋体"/>
                <w:szCs w:val="21"/>
              </w:rPr>
              <w:t>专（兼）职安全员</w:t>
            </w:r>
            <w:r>
              <w:rPr>
                <w:rFonts w:hint="eastAsia" w:cs="宋体"/>
                <w:szCs w:val="21"/>
              </w:rPr>
              <w:t>安全生产考核合格证书（C 类）</w:t>
            </w:r>
            <w:bookmarkStart w:id="55" w:name="OLE_LINK35"/>
            <w:r>
              <w:rPr>
                <w:rFonts w:hint="eastAsia" w:cs="宋体"/>
                <w:szCs w:val="21"/>
              </w:rPr>
              <w:t>扫描件及社保证明复印件（</w:t>
            </w:r>
            <w:bookmarkEnd w:id="55"/>
            <w:r>
              <w:rPr>
                <w:rFonts w:hint="eastAsia" w:cs="宋体"/>
                <w:szCs w:val="21"/>
              </w:rPr>
              <w:t>一级建造师电子注册证书应符合住房和城乡建设部办公厅关于全面实行一级建造师电子注册证书的通知（建办市〔2021〕40号）的有关规定）</w:t>
            </w:r>
            <w:bookmarkEnd w:id="54"/>
            <w:r>
              <w:rPr>
                <w:rFonts w:hint="eastAsia" w:cs="宋体"/>
                <w:szCs w:val="21"/>
              </w:rPr>
              <w:t>；</w:t>
            </w:r>
          </w:p>
          <w:p>
            <w:pPr>
              <w:jc w:val="left"/>
              <w:rPr>
                <w:rFonts w:hint="eastAsia" w:cs="宋体"/>
                <w:szCs w:val="21"/>
              </w:rPr>
            </w:pPr>
            <w:r>
              <w:rPr>
                <w:rFonts w:hint="eastAsia" w:cs="宋体"/>
                <w:szCs w:val="21"/>
              </w:rPr>
              <w:t>7.</w:t>
            </w:r>
            <w:bookmarkStart w:id="56" w:name="OLE_LINK13"/>
            <w:r>
              <w:rPr>
                <w:rFonts w:hint="eastAsia" w:cs="宋体"/>
                <w:szCs w:val="21"/>
              </w:rPr>
              <w:t>安全管理承诺函</w:t>
            </w:r>
            <w:bookmarkEnd w:id="56"/>
            <w:r>
              <w:rPr>
                <w:rFonts w:hint="eastAsia" w:cs="宋体"/>
                <w:szCs w:val="21"/>
              </w:rPr>
              <w:t>；</w:t>
            </w:r>
          </w:p>
          <w:p>
            <w:pPr>
              <w:jc w:val="left"/>
              <w:rPr>
                <w:rFonts w:hint="eastAsia" w:cs="宋体"/>
                <w:szCs w:val="21"/>
              </w:rPr>
            </w:pPr>
            <w:r>
              <w:rPr>
                <w:rFonts w:hint="eastAsia" w:cs="宋体"/>
                <w:szCs w:val="21"/>
              </w:rPr>
              <w:t>8.</w:t>
            </w:r>
            <w:r>
              <w:rPr>
                <w:rFonts w:hint="eastAsia" w:ascii="新宋体" w:hAnsi="新宋体" w:eastAsia="新宋体" w:cs="新宋体"/>
                <w:kern w:val="0"/>
                <w:szCs w:val="21"/>
                <w:lang w:bidi="ar"/>
              </w:rPr>
              <w:t>与投标人签订劳动合同的人员不少于20人</w:t>
            </w:r>
          </w:p>
          <w:p>
            <w:pPr>
              <w:jc w:val="left"/>
              <w:rPr>
                <w:rFonts w:hint="eastAsia" w:ascii="新宋体" w:hAnsi="新宋体" w:eastAsia="新宋体" w:cs="新宋体"/>
                <w:kern w:val="0"/>
                <w:szCs w:val="21"/>
                <w:lang w:bidi="ar"/>
              </w:rPr>
            </w:pPr>
            <w:r>
              <w:rPr>
                <w:rFonts w:hint="eastAsia" w:cs="宋体"/>
                <w:szCs w:val="21"/>
              </w:rPr>
              <w:t>9.</w:t>
            </w:r>
            <w:r>
              <w:rPr>
                <w:rFonts w:hint="eastAsia" w:ascii="新宋体" w:hAnsi="新宋体" w:eastAsia="新宋体" w:cs="新宋体"/>
                <w:kern w:val="0"/>
                <w:szCs w:val="21"/>
                <w:lang w:bidi="ar"/>
              </w:rPr>
              <w:t xml:space="preserve"> 投标人未被列入失信被执行人名单、重大税收违法案件当事人名单、安全生产严重失信主体名单、政府采购严重违法失信行为记录名单。</w:t>
            </w:r>
          </w:p>
          <w:p>
            <w:pPr>
              <w:jc w:val="left"/>
              <w:rPr>
                <w:rFonts w:hint="eastAsia" w:cs="宋体"/>
                <w:szCs w:val="21"/>
              </w:rPr>
            </w:pPr>
            <w:bookmarkStart w:id="57" w:name="OLE_LINK65"/>
            <w:r>
              <w:rPr>
                <w:rFonts w:hint="eastAsia" w:ascii="新宋体" w:hAnsi="新宋体" w:eastAsia="新宋体" w:cs="新宋体"/>
                <w:kern w:val="0"/>
                <w:szCs w:val="21"/>
                <w:lang w:bidi="ar"/>
              </w:rPr>
              <w:t>10.投标人未被列入</w:t>
            </w:r>
            <w:r>
              <w:rPr>
                <w:rFonts w:ascii="新宋体" w:hAnsi="新宋体" w:eastAsia="新宋体" w:cs="新宋体"/>
                <w:kern w:val="0"/>
                <w:szCs w:val="21"/>
                <w:lang w:bidi="ar"/>
              </w:rPr>
              <w:t>全国建筑市场监管公共服务平台公布的建筑市场主体 “黑名单”</w:t>
            </w:r>
          </w:p>
          <w:bookmarkEnd w:id="57"/>
          <w:p>
            <w:pPr>
              <w:jc w:val="left"/>
              <w:rPr>
                <w:rFonts w:hint="eastAsia" w:cs="宋体"/>
                <w:szCs w:val="21"/>
              </w:rPr>
            </w:pPr>
            <w:r>
              <w:rPr>
                <w:rFonts w:hint="eastAsia" w:cs="宋体"/>
                <w:szCs w:val="21"/>
              </w:rPr>
              <w:t>11.其他需要补充的资料。</w:t>
            </w:r>
          </w:p>
          <w:p>
            <w:pPr>
              <w:jc w:val="left"/>
              <w:rPr>
                <w:rFonts w:hint="eastAsia" w:cs="宋体"/>
                <w:b/>
                <w:szCs w:val="21"/>
              </w:rPr>
            </w:pPr>
            <w:r>
              <w:rPr>
                <w:rFonts w:hint="eastAsia" w:cs="宋体"/>
                <w:b/>
                <w:szCs w:val="21"/>
              </w:rPr>
              <w:t>二、价格标组成：</w:t>
            </w:r>
          </w:p>
          <w:p>
            <w:pPr>
              <w:jc w:val="left"/>
              <w:rPr>
                <w:rFonts w:hint="eastAsia" w:cs="宋体"/>
                <w:bCs/>
                <w:szCs w:val="21"/>
              </w:rPr>
            </w:pPr>
            <w:r>
              <w:rPr>
                <w:rFonts w:hint="eastAsia" w:cs="宋体"/>
                <w:bCs/>
                <w:szCs w:val="21"/>
              </w:rPr>
              <w:t>1.价格标封面；</w:t>
            </w:r>
          </w:p>
          <w:p>
            <w:pPr>
              <w:jc w:val="left"/>
              <w:rPr>
                <w:rFonts w:hint="eastAsia" w:cs="宋体"/>
                <w:bCs/>
                <w:szCs w:val="21"/>
              </w:rPr>
            </w:pPr>
            <w:r>
              <w:rPr>
                <w:rFonts w:hint="eastAsia" w:cs="宋体"/>
                <w:bCs/>
                <w:szCs w:val="21"/>
              </w:rPr>
              <w:t>2.投标函；；</w:t>
            </w:r>
          </w:p>
          <w:p>
            <w:pPr>
              <w:jc w:val="left"/>
              <w:rPr>
                <w:rFonts w:hint="eastAsia" w:cs="宋体"/>
                <w:bCs/>
                <w:szCs w:val="21"/>
              </w:rPr>
            </w:pPr>
            <w:r>
              <w:rPr>
                <w:rFonts w:hint="eastAsia" w:cs="宋体"/>
                <w:bCs/>
                <w:szCs w:val="21"/>
              </w:rPr>
              <w:t>3.材料设备品牌选定表；</w:t>
            </w:r>
          </w:p>
          <w:p>
            <w:pPr>
              <w:jc w:val="left"/>
              <w:rPr>
                <w:rFonts w:hint="eastAsia" w:cs="宋体"/>
                <w:bCs/>
                <w:szCs w:val="21"/>
              </w:rPr>
            </w:pPr>
            <w:r>
              <w:rPr>
                <w:rFonts w:hint="eastAsia" w:cs="宋体"/>
                <w:bCs/>
                <w:szCs w:val="21"/>
              </w:rPr>
              <w:t>4.工程清单与计价表</w:t>
            </w:r>
          </w:p>
          <w:p>
            <w:pPr>
              <w:jc w:val="left"/>
              <w:rPr>
                <w:rFonts w:hint="eastAsia" w:cs="宋体"/>
                <w:b/>
                <w:szCs w:val="21"/>
              </w:rPr>
            </w:pPr>
            <w:r>
              <w:rPr>
                <w:rFonts w:hint="eastAsia" w:cs="宋体"/>
                <w:b/>
                <w:szCs w:val="21"/>
              </w:rPr>
              <w:t>三、商务技术标组成</w:t>
            </w:r>
          </w:p>
          <w:p>
            <w:pPr>
              <w:jc w:val="left"/>
              <w:rPr>
                <w:rFonts w:hint="eastAsia" w:cs="宋体"/>
                <w:bCs/>
                <w:szCs w:val="21"/>
              </w:rPr>
            </w:pPr>
            <w:bookmarkStart w:id="58" w:name="OLE_LINK63"/>
            <w:r>
              <w:rPr>
                <w:rFonts w:hint="eastAsia" w:cs="宋体"/>
                <w:bCs/>
                <w:szCs w:val="21"/>
              </w:rPr>
              <w:t>1.商务技术标封面；</w:t>
            </w:r>
          </w:p>
          <w:p>
            <w:pPr>
              <w:jc w:val="left"/>
              <w:rPr>
                <w:rFonts w:hint="eastAsia" w:cs="宋体"/>
                <w:szCs w:val="21"/>
              </w:rPr>
            </w:pPr>
            <w:r>
              <w:rPr>
                <w:rFonts w:hint="eastAsia" w:cs="宋体"/>
                <w:bCs/>
                <w:szCs w:val="21"/>
              </w:rPr>
              <w:t>2.</w:t>
            </w:r>
            <w:bookmarkStart w:id="59" w:name="OLE_LINK43"/>
            <w:r>
              <w:rPr>
                <w:rFonts w:hint="eastAsia" w:cs="宋体"/>
                <w:szCs w:val="21"/>
              </w:rPr>
              <w:t>综合实力</w:t>
            </w:r>
            <w:bookmarkEnd w:id="59"/>
            <w:bookmarkStart w:id="60" w:name="OLE_LINK45"/>
            <w:r>
              <w:rPr>
                <w:rFonts w:hint="eastAsia" w:cs="宋体"/>
                <w:szCs w:val="21"/>
              </w:rPr>
              <w:t>；</w:t>
            </w:r>
          </w:p>
          <w:bookmarkEnd w:id="60"/>
          <w:p>
            <w:pPr>
              <w:widowControl/>
              <w:adjustRightInd/>
              <w:spacing w:line="240" w:lineRule="auto"/>
              <w:jc w:val="left"/>
              <w:textAlignment w:val="auto"/>
              <w:rPr>
                <w:rFonts w:hint="eastAsia" w:cs="宋体"/>
                <w:bCs/>
                <w:szCs w:val="21"/>
              </w:rPr>
            </w:pPr>
            <w:r>
              <w:rPr>
                <w:rFonts w:hint="eastAsia" w:cs="宋体"/>
                <w:bCs/>
                <w:szCs w:val="21"/>
              </w:rPr>
              <w:t>3.</w:t>
            </w:r>
            <w:bookmarkStart w:id="61" w:name="OLE_LINK18"/>
            <w:r>
              <w:rPr>
                <w:rFonts w:hint="eastAsia" w:cs="宋体"/>
                <w:bCs/>
                <w:szCs w:val="21"/>
              </w:rPr>
              <w:t>现场工作计划安排及施工</w:t>
            </w:r>
            <w:bookmarkEnd w:id="61"/>
            <w:r>
              <w:rPr>
                <w:rFonts w:hint="eastAsia" w:cs="宋体"/>
                <w:bCs/>
                <w:szCs w:val="21"/>
              </w:rPr>
              <w:t>方案；</w:t>
            </w:r>
          </w:p>
          <w:p>
            <w:pPr>
              <w:widowControl/>
              <w:adjustRightInd/>
              <w:spacing w:line="240" w:lineRule="auto"/>
              <w:jc w:val="left"/>
              <w:textAlignment w:val="auto"/>
              <w:rPr>
                <w:rFonts w:hint="eastAsia" w:cs="宋体"/>
                <w:bCs/>
                <w:szCs w:val="21"/>
              </w:rPr>
            </w:pPr>
            <w:r>
              <w:rPr>
                <w:rFonts w:hint="eastAsia" w:cs="宋体"/>
                <w:bCs/>
                <w:szCs w:val="21"/>
              </w:rPr>
              <w:t>4.承诺书（格式详见附件，并加盖公章）。</w:t>
            </w:r>
          </w:p>
          <w:p>
            <w:pPr>
              <w:jc w:val="left"/>
              <w:rPr>
                <w:rFonts w:hint="eastAsia" w:cs="宋体"/>
                <w:bCs/>
                <w:szCs w:val="21"/>
              </w:rPr>
            </w:pPr>
            <w:r>
              <w:rPr>
                <w:rFonts w:hint="eastAsia" w:cs="宋体"/>
                <w:bCs/>
                <w:szCs w:val="21"/>
              </w:rPr>
              <w:t>5.商务技术标评审所涉及的资料。</w:t>
            </w:r>
          </w:p>
          <w:bookmarkEnd w:id="58"/>
          <w:p>
            <w:pPr>
              <w:pStyle w:val="11"/>
              <w:ind w:firstLine="0" w:firstLineChars="0"/>
              <w:jc w:val="left"/>
              <w:rPr>
                <w:rFonts w:hint="eastAsia" w:cs="宋体"/>
                <w:szCs w:val="21"/>
              </w:rPr>
            </w:pPr>
            <w:r>
              <w:rPr>
                <w:rFonts w:hint="eastAsia" w:cs="宋体"/>
                <w:bCs/>
                <w:szCs w:val="21"/>
              </w:rPr>
              <w:t>注：以上内容附件中有参考格式的，需参照格式，没有参考格式的，投标人根据招标文件要求自行编写。</w:t>
            </w:r>
          </w:p>
        </w:tc>
      </w:tr>
      <w:tr>
        <w:tblPrEx>
          <w:tblCellMar>
            <w:top w:w="0" w:type="dxa"/>
            <w:left w:w="108" w:type="dxa"/>
            <w:bottom w:w="0" w:type="dxa"/>
            <w:right w:w="108" w:type="dxa"/>
          </w:tblCellMar>
        </w:tblPrEx>
        <w:trPr>
          <w:trHeight w:val="460"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21</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投标有效期</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90个日历天</w:t>
            </w:r>
          </w:p>
        </w:tc>
      </w:tr>
      <w:tr>
        <w:tblPrEx>
          <w:tblCellMar>
            <w:top w:w="0" w:type="dxa"/>
            <w:left w:w="108" w:type="dxa"/>
            <w:bottom w:w="0" w:type="dxa"/>
            <w:right w:w="108" w:type="dxa"/>
          </w:tblCellMar>
        </w:tblPrEx>
        <w:trPr>
          <w:trHeight w:val="214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22</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投标保证金</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是否要求投标人递交投标保证金：</w:t>
            </w:r>
            <w:r>
              <w:rPr>
                <w:rFonts w:hint="eastAsia" w:cs="宋体"/>
                <w:szCs w:val="21"/>
              </w:rPr>
              <w:sym w:font="Wingdings" w:char="F0FE"/>
            </w:r>
            <w:r>
              <w:rPr>
                <w:rFonts w:hint="eastAsia" w:cs="宋体"/>
                <w:szCs w:val="21"/>
              </w:rPr>
              <w:t>要求</w:t>
            </w:r>
          </w:p>
          <w:p>
            <w:pPr>
              <w:rPr>
                <w:rFonts w:hint="eastAsia" w:cs="宋体"/>
                <w:szCs w:val="21"/>
              </w:rPr>
            </w:pPr>
            <w:r>
              <w:rPr>
                <w:rFonts w:hint="eastAsia" w:cs="宋体"/>
                <w:szCs w:val="21"/>
              </w:rPr>
              <w:t>金额：</w:t>
            </w:r>
            <w:r>
              <w:rPr>
                <w:rFonts w:hint="eastAsia" w:cs="宋体"/>
                <w:kern w:val="0"/>
                <w:szCs w:val="21"/>
              </w:rPr>
              <w:t>大写人民币叁仟元整（3000.00）元整</w:t>
            </w:r>
            <w:r>
              <w:rPr>
                <w:rFonts w:hint="eastAsia" w:cs="宋体"/>
                <w:szCs w:val="21"/>
              </w:rPr>
              <w:t>。</w:t>
            </w:r>
          </w:p>
          <w:p>
            <w:pPr>
              <w:rPr>
                <w:rFonts w:hint="eastAsia" w:cs="宋体"/>
                <w:szCs w:val="21"/>
              </w:rPr>
            </w:pPr>
            <w:r>
              <w:rPr>
                <w:rFonts w:hint="eastAsia" w:cs="宋体"/>
                <w:szCs w:val="21"/>
              </w:rPr>
              <w:t>必须在</w:t>
            </w:r>
            <w:r>
              <w:rPr>
                <w:rFonts w:hint="eastAsia" w:cs="宋体"/>
                <w:szCs w:val="21"/>
                <w:u w:val="single"/>
              </w:rPr>
              <w:t>2026</w:t>
            </w:r>
            <w:r>
              <w:rPr>
                <w:rFonts w:hint="eastAsia" w:cs="宋体"/>
                <w:szCs w:val="21"/>
              </w:rPr>
              <w:t>年</w:t>
            </w:r>
            <w:r>
              <w:rPr>
                <w:rFonts w:hint="eastAsia" w:cs="宋体"/>
                <w:szCs w:val="21"/>
                <w:u w:val="single"/>
              </w:rPr>
              <w:t xml:space="preserve">  </w:t>
            </w:r>
            <w:r>
              <w:rPr>
                <w:rFonts w:hint="eastAsia" w:cs="宋体"/>
                <w:szCs w:val="21"/>
              </w:rPr>
              <w:t>月</w:t>
            </w:r>
            <w:r>
              <w:rPr>
                <w:rFonts w:hint="eastAsia" w:cs="宋体"/>
                <w:szCs w:val="21"/>
                <w:u w:val="single"/>
              </w:rPr>
              <w:t xml:space="preserve">  </w:t>
            </w:r>
            <w:r>
              <w:rPr>
                <w:rFonts w:hint="eastAsia" w:cs="宋体"/>
                <w:szCs w:val="21"/>
              </w:rPr>
              <w:t>日</w:t>
            </w:r>
            <w:r>
              <w:rPr>
                <w:rFonts w:hint="eastAsia" w:cs="宋体"/>
                <w:szCs w:val="21"/>
                <w:u w:val="single"/>
              </w:rPr>
              <w:t>12</w:t>
            </w:r>
            <w:r>
              <w:rPr>
                <w:rFonts w:hint="eastAsia" w:cs="宋体"/>
                <w:szCs w:val="21"/>
              </w:rPr>
              <w:t>时</w:t>
            </w:r>
            <w:r>
              <w:rPr>
                <w:rFonts w:hint="eastAsia" w:cs="宋体"/>
                <w:szCs w:val="21"/>
                <w:u w:val="single"/>
              </w:rPr>
              <w:t>00</w:t>
            </w:r>
            <w:r>
              <w:rPr>
                <w:rFonts w:hint="eastAsia" w:cs="宋体"/>
                <w:szCs w:val="21"/>
              </w:rPr>
              <w:t>分（开标前一天）前通过浙江省海港集团电子招标采购平台汇入指定账户。</w:t>
            </w:r>
          </w:p>
          <w:p>
            <w:pPr>
              <w:rPr>
                <w:rFonts w:hint="eastAsia" w:cs="宋体"/>
                <w:bCs/>
                <w:szCs w:val="21"/>
              </w:rPr>
            </w:pPr>
            <w:r>
              <w:rPr>
                <w:rFonts w:hint="eastAsia" w:cs="宋体"/>
                <w:szCs w:val="21"/>
              </w:rPr>
              <w:t>注：（投标保证金应通过投标单位银行基本账户汇入，否则视为投标保证金无效。</w:t>
            </w:r>
            <w:r>
              <w:rPr>
                <w:rFonts w:hint="eastAsia" w:cs="宋体"/>
                <w:bCs/>
                <w:szCs w:val="21"/>
              </w:rPr>
              <w:t>)</w:t>
            </w:r>
          </w:p>
        </w:tc>
      </w:tr>
      <w:tr>
        <w:tblPrEx>
          <w:tblCellMar>
            <w:top w:w="0" w:type="dxa"/>
            <w:left w:w="108" w:type="dxa"/>
            <w:bottom w:w="0" w:type="dxa"/>
            <w:right w:w="108" w:type="dxa"/>
          </w:tblCellMar>
        </w:tblPrEx>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23</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近年财务状况的年份要求</w:t>
            </w:r>
          </w:p>
        </w:tc>
        <w:tc>
          <w:tcPr>
            <w:tcW w:w="5841" w:type="dxa"/>
            <w:tcBorders>
              <w:top w:val="single" w:color="auto" w:sz="4" w:space="0"/>
              <w:left w:val="nil"/>
              <w:bottom w:val="single" w:color="auto" w:sz="4" w:space="0"/>
              <w:right w:val="single" w:color="auto" w:sz="4" w:space="0"/>
            </w:tcBorders>
            <w:noWrap/>
            <w:vAlign w:val="center"/>
          </w:tcPr>
          <w:p>
            <w:pPr>
              <w:pStyle w:val="9"/>
              <w:rPr>
                <w:rFonts w:hint="eastAsia" w:cs="宋体"/>
                <w:sz w:val="21"/>
                <w:szCs w:val="21"/>
              </w:rPr>
            </w:pPr>
            <w:r>
              <w:rPr>
                <w:rFonts w:hint="eastAsia" w:cs="宋体"/>
                <w:sz w:val="21"/>
                <w:szCs w:val="21"/>
              </w:rPr>
              <w:fldChar w:fldCharType="begin"/>
            </w:r>
            <w:r>
              <w:rPr>
                <w:rFonts w:hint="eastAsia" w:cs="宋体"/>
                <w:sz w:val="21"/>
                <w:szCs w:val="21"/>
              </w:rPr>
              <w:instrText xml:space="preserve"> eq \o\ac(□,√)</w:instrText>
            </w:r>
            <w:r>
              <w:rPr>
                <w:rFonts w:hint="eastAsia" w:cs="宋体"/>
                <w:sz w:val="21"/>
                <w:szCs w:val="21"/>
              </w:rPr>
              <w:fldChar w:fldCharType="end"/>
            </w:r>
            <w:r>
              <w:rPr>
                <w:rFonts w:hint="eastAsia" w:cs="宋体"/>
                <w:sz w:val="21"/>
                <w:szCs w:val="21"/>
              </w:rPr>
              <w:t>不要求</w:t>
            </w:r>
          </w:p>
        </w:tc>
      </w:tr>
      <w:tr>
        <w:tblPrEx>
          <w:tblCellMar>
            <w:top w:w="0" w:type="dxa"/>
            <w:left w:w="108" w:type="dxa"/>
            <w:bottom w:w="0" w:type="dxa"/>
            <w:right w:w="108" w:type="dxa"/>
          </w:tblCellMar>
        </w:tblPrEx>
        <w:trPr>
          <w:trHeight w:val="934"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24</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正在施工和新承接的项目要求</w:t>
            </w:r>
          </w:p>
        </w:tc>
        <w:tc>
          <w:tcPr>
            <w:tcW w:w="5841" w:type="dxa"/>
            <w:tcBorders>
              <w:top w:val="single" w:color="auto" w:sz="4" w:space="0"/>
              <w:left w:val="nil"/>
              <w:bottom w:val="single" w:color="auto" w:sz="4" w:space="0"/>
              <w:right w:val="single" w:color="auto" w:sz="4" w:space="0"/>
            </w:tcBorders>
            <w:noWrap/>
            <w:vAlign w:val="center"/>
          </w:tcPr>
          <w:p>
            <w:pPr>
              <w:pStyle w:val="9"/>
              <w:rPr>
                <w:rFonts w:hint="eastAsia" w:cs="宋体"/>
                <w:sz w:val="21"/>
                <w:szCs w:val="21"/>
              </w:rPr>
            </w:pPr>
            <w:r>
              <w:rPr>
                <w:rFonts w:hint="eastAsia" w:cs="宋体"/>
                <w:sz w:val="21"/>
                <w:szCs w:val="21"/>
              </w:rPr>
              <w:fldChar w:fldCharType="begin"/>
            </w:r>
            <w:r>
              <w:rPr>
                <w:rFonts w:hint="eastAsia" w:cs="宋体"/>
                <w:sz w:val="21"/>
                <w:szCs w:val="21"/>
              </w:rPr>
              <w:instrText xml:space="preserve"> eq \o\ac(□,√)</w:instrText>
            </w:r>
            <w:r>
              <w:rPr>
                <w:rFonts w:hint="eastAsia" w:cs="宋体"/>
                <w:sz w:val="21"/>
                <w:szCs w:val="21"/>
              </w:rPr>
              <w:fldChar w:fldCharType="end"/>
            </w:r>
            <w:r>
              <w:rPr>
                <w:rFonts w:hint="eastAsia" w:cs="宋体"/>
                <w:sz w:val="21"/>
                <w:szCs w:val="21"/>
              </w:rPr>
              <w:t>不要求</w:t>
            </w:r>
          </w:p>
        </w:tc>
      </w:tr>
      <w:tr>
        <w:tblPrEx>
          <w:tblCellMar>
            <w:top w:w="0" w:type="dxa"/>
            <w:left w:w="108" w:type="dxa"/>
            <w:bottom w:w="0" w:type="dxa"/>
            <w:right w:w="108" w:type="dxa"/>
          </w:tblCellMar>
        </w:tblPrEx>
        <w:trPr>
          <w:trHeight w:val="470"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25</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近年发生的诉讼及仲裁情况的年份要求</w:t>
            </w:r>
          </w:p>
        </w:tc>
        <w:tc>
          <w:tcPr>
            <w:tcW w:w="5841" w:type="dxa"/>
            <w:tcBorders>
              <w:top w:val="single" w:color="auto" w:sz="4" w:space="0"/>
              <w:left w:val="nil"/>
              <w:bottom w:val="single" w:color="auto" w:sz="4" w:space="0"/>
              <w:right w:val="single" w:color="auto" w:sz="4" w:space="0"/>
            </w:tcBorders>
            <w:noWrap/>
            <w:vAlign w:val="center"/>
          </w:tcPr>
          <w:p>
            <w:pPr>
              <w:pStyle w:val="9"/>
              <w:rPr>
                <w:rFonts w:hint="eastAsia" w:cs="宋体"/>
                <w:sz w:val="21"/>
                <w:szCs w:val="21"/>
              </w:rPr>
            </w:pPr>
            <w:r>
              <w:rPr>
                <w:rFonts w:hint="eastAsia" w:cs="宋体"/>
                <w:sz w:val="21"/>
                <w:szCs w:val="21"/>
              </w:rPr>
              <w:fldChar w:fldCharType="begin"/>
            </w:r>
            <w:r>
              <w:rPr>
                <w:rFonts w:hint="eastAsia" w:cs="宋体"/>
                <w:sz w:val="21"/>
                <w:szCs w:val="21"/>
              </w:rPr>
              <w:instrText xml:space="preserve"> eq \o\ac(□,√)</w:instrText>
            </w:r>
            <w:r>
              <w:rPr>
                <w:rFonts w:hint="eastAsia" w:cs="宋体"/>
                <w:sz w:val="21"/>
                <w:szCs w:val="21"/>
              </w:rPr>
              <w:fldChar w:fldCharType="end"/>
            </w:r>
            <w:r>
              <w:rPr>
                <w:rFonts w:hint="eastAsia" w:cs="宋体"/>
                <w:sz w:val="21"/>
                <w:szCs w:val="21"/>
              </w:rPr>
              <w:t>不要求</w:t>
            </w:r>
          </w:p>
        </w:tc>
      </w:tr>
      <w:tr>
        <w:tblPrEx>
          <w:tblCellMar>
            <w:top w:w="0" w:type="dxa"/>
            <w:left w:w="108" w:type="dxa"/>
            <w:bottom w:w="0" w:type="dxa"/>
            <w:right w:w="108" w:type="dxa"/>
          </w:tblCellMar>
        </w:tblPrEx>
        <w:trPr>
          <w:trHeight w:val="71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26</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资格审查其他材料</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w:t>
            </w:r>
          </w:p>
        </w:tc>
      </w:tr>
      <w:tr>
        <w:tblPrEx>
          <w:tblCellMar>
            <w:top w:w="0" w:type="dxa"/>
            <w:left w:w="108" w:type="dxa"/>
            <w:bottom w:w="0" w:type="dxa"/>
            <w:right w:w="108" w:type="dxa"/>
          </w:tblCellMar>
        </w:tblPrEx>
        <w:trPr>
          <w:trHeight w:val="583"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27</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是否允许递交备选投标方案</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不允许</w:t>
            </w:r>
          </w:p>
        </w:tc>
      </w:tr>
      <w:tr>
        <w:tblPrEx>
          <w:tblCellMar>
            <w:top w:w="0" w:type="dxa"/>
            <w:left w:w="108" w:type="dxa"/>
            <w:bottom w:w="0" w:type="dxa"/>
            <w:right w:w="108" w:type="dxa"/>
          </w:tblCellMar>
        </w:tblPrEx>
        <w:trPr>
          <w:trHeight w:val="1989"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28</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签字或盖章要求</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1.投标文件格式文件要求投标人盖章、法定代表人印章的地方，投标人均应加盖投标人的单位电子印章和法人章。</w:t>
            </w:r>
          </w:p>
          <w:p>
            <w:pPr>
              <w:rPr>
                <w:rFonts w:hint="eastAsia" w:cs="宋体"/>
                <w:szCs w:val="21"/>
              </w:rPr>
            </w:pPr>
            <w:r>
              <w:rPr>
                <w:rFonts w:hint="eastAsia" w:cs="宋体"/>
                <w:szCs w:val="21"/>
              </w:rPr>
              <w:t>2.投标文件所附证书证件、业绩证明文件、投标保证金等证明材料用原件复制件并加盖投标单位电子印章。</w:t>
            </w:r>
          </w:p>
        </w:tc>
      </w:tr>
      <w:tr>
        <w:tblPrEx>
          <w:tblCellMar>
            <w:top w:w="0" w:type="dxa"/>
            <w:left w:w="108" w:type="dxa"/>
            <w:bottom w:w="0" w:type="dxa"/>
            <w:right w:w="108" w:type="dxa"/>
          </w:tblCellMar>
        </w:tblPrEx>
        <w:trPr>
          <w:trHeight w:val="1194"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29</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电子投标文件</w:t>
            </w:r>
          </w:p>
          <w:p>
            <w:pPr>
              <w:jc w:val="center"/>
              <w:rPr>
                <w:rFonts w:hint="eastAsia" w:cs="宋体"/>
                <w:szCs w:val="21"/>
              </w:rPr>
            </w:pPr>
            <w:r>
              <w:rPr>
                <w:rFonts w:hint="eastAsia" w:cs="宋体"/>
                <w:szCs w:val="21"/>
              </w:rPr>
              <w:t>的制作</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从浙江省海港集团、宁波舟山港集团网站（http://www.zjseaport.com/jtww/）进入阳光工程-电子招标采购平台，下载“浙江海港投标管家”及操作手册。</w:t>
            </w:r>
          </w:p>
        </w:tc>
      </w:tr>
      <w:tr>
        <w:tblPrEx>
          <w:tblCellMar>
            <w:top w:w="0" w:type="dxa"/>
            <w:left w:w="108" w:type="dxa"/>
            <w:bottom w:w="0" w:type="dxa"/>
            <w:right w:w="108" w:type="dxa"/>
          </w:tblCellMar>
        </w:tblPrEx>
        <w:trPr>
          <w:trHeight w:val="671"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30</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投标截止时间</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见招标公告</w:t>
            </w:r>
          </w:p>
        </w:tc>
      </w:tr>
      <w:tr>
        <w:tblPrEx>
          <w:tblCellMar>
            <w:top w:w="0" w:type="dxa"/>
            <w:left w:w="108" w:type="dxa"/>
            <w:bottom w:w="0" w:type="dxa"/>
            <w:right w:w="108" w:type="dxa"/>
          </w:tblCellMar>
        </w:tblPrEx>
        <w:trPr>
          <w:trHeight w:val="376"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31</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递交投标文件的地点</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见招标公告</w:t>
            </w:r>
          </w:p>
        </w:tc>
      </w:tr>
      <w:tr>
        <w:tblPrEx>
          <w:tblCellMar>
            <w:top w:w="0" w:type="dxa"/>
            <w:left w:w="108" w:type="dxa"/>
            <w:bottom w:w="0" w:type="dxa"/>
            <w:right w:w="108" w:type="dxa"/>
          </w:tblCellMar>
        </w:tblPrEx>
        <w:trPr>
          <w:trHeight w:val="100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32</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递交投标文件地点</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本项目通过“浙江省海港集团电子招标采购平台”实行在线投标响应（电子投标）。</w:t>
            </w:r>
          </w:p>
        </w:tc>
      </w:tr>
      <w:tr>
        <w:tblPrEx>
          <w:tblCellMar>
            <w:top w:w="0" w:type="dxa"/>
            <w:left w:w="108" w:type="dxa"/>
            <w:bottom w:w="0" w:type="dxa"/>
            <w:right w:w="108" w:type="dxa"/>
          </w:tblCellMar>
        </w:tblPrEx>
        <w:trPr>
          <w:trHeight w:val="768"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33</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是否退还投标文件</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kern w:val="0"/>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否，资料、证书原件除外</w:t>
            </w:r>
          </w:p>
        </w:tc>
      </w:tr>
      <w:tr>
        <w:tblPrEx>
          <w:tblCellMar>
            <w:top w:w="0" w:type="dxa"/>
            <w:left w:w="108" w:type="dxa"/>
            <w:bottom w:w="0" w:type="dxa"/>
            <w:right w:w="108" w:type="dxa"/>
          </w:tblCellMar>
        </w:tblPrEx>
        <w:trPr>
          <w:trHeight w:val="850"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34</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开标时间和地点</w:t>
            </w:r>
          </w:p>
        </w:tc>
        <w:tc>
          <w:tcPr>
            <w:tcW w:w="5841" w:type="dxa"/>
            <w:tcBorders>
              <w:top w:val="single" w:color="auto" w:sz="4" w:space="0"/>
              <w:left w:val="single" w:color="auto" w:sz="4" w:space="0"/>
              <w:bottom w:val="single" w:color="auto" w:sz="4" w:space="0"/>
              <w:right w:val="single" w:color="auto" w:sz="4" w:space="0"/>
            </w:tcBorders>
            <w:noWrap/>
            <w:vAlign w:val="center"/>
          </w:tcPr>
          <w:p>
            <w:pPr>
              <w:rPr>
                <w:rFonts w:hint="eastAsia" w:cs="宋体"/>
                <w:szCs w:val="21"/>
              </w:rPr>
            </w:pPr>
            <w:r>
              <w:rPr>
                <w:rFonts w:hint="eastAsia" w:cs="宋体"/>
                <w:szCs w:val="21"/>
              </w:rPr>
              <w:t>开标时间：同投标截止时间</w:t>
            </w:r>
          </w:p>
          <w:p>
            <w:pPr>
              <w:rPr>
                <w:rFonts w:hint="eastAsia" w:cs="宋体"/>
                <w:szCs w:val="21"/>
              </w:rPr>
            </w:pPr>
            <w:r>
              <w:rPr>
                <w:rFonts w:hint="eastAsia" w:cs="宋体"/>
                <w:szCs w:val="21"/>
              </w:rPr>
              <w:t>开标地点：浙江省海港集团电子招标采购平台在线开启</w:t>
            </w:r>
          </w:p>
        </w:tc>
      </w:tr>
      <w:tr>
        <w:tblPrEx>
          <w:tblCellMar>
            <w:top w:w="0" w:type="dxa"/>
            <w:left w:w="108" w:type="dxa"/>
            <w:bottom w:w="0" w:type="dxa"/>
            <w:right w:w="108" w:type="dxa"/>
          </w:tblCellMar>
        </w:tblPrEx>
        <w:trPr>
          <w:trHeight w:val="807"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35</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开标程序</w:t>
            </w:r>
          </w:p>
        </w:tc>
        <w:tc>
          <w:tcPr>
            <w:tcW w:w="5841" w:type="dxa"/>
            <w:tcBorders>
              <w:top w:val="single" w:color="auto" w:sz="4" w:space="0"/>
              <w:left w:val="single" w:color="auto" w:sz="4" w:space="0"/>
              <w:bottom w:val="single" w:color="auto" w:sz="4" w:space="0"/>
              <w:right w:val="single" w:color="auto" w:sz="4" w:space="0"/>
            </w:tcBorders>
            <w:noWrap/>
            <w:vAlign w:val="center"/>
          </w:tcPr>
          <w:p>
            <w:pPr>
              <w:rPr>
                <w:rFonts w:hint="eastAsia" w:cs="宋体"/>
                <w:szCs w:val="21"/>
              </w:rPr>
            </w:pPr>
            <w:r>
              <w:rPr>
                <w:rFonts w:hint="eastAsia" w:cstheme="majorEastAsia"/>
                <w:bCs/>
                <w:kern w:val="0"/>
                <w:szCs w:val="21"/>
              </w:rPr>
              <w:t>同时开启资格性审查、商务技术标、价格标</w:t>
            </w:r>
            <w:r>
              <w:rPr>
                <w:rFonts w:hint="eastAsia" w:cstheme="majorEastAsia"/>
                <w:bCs/>
                <w:kern w:val="0"/>
                <w:szCs w:val="21"/>
              </w:rPr>
              <w:sym w:font="Wingdings" w:char="F0E8"/>
            </w:r>
            <w:r>
              <w:rPr>
                <w:rFonts w:hint="eastAsia" w:cstheme="majorEastAsia"/>
                <w:bCs/>
                <w:kern w:val="0"/>
                <w:szCs w:val="21"/>
              </w:rPr>
              <w:t>资格性审查</w:t>
            </w:r>
            <w:r>
              <w:rPr>
                <w:rFonts w:hint="eastAsia" w:cstheme="majorEastAsia"/>
                <w:bCs/>
                <w:kern w:val="0"/>
                <w:szCs w:val="21"/>
              </w:rPr>
              <w:sym w:font="Wingdings" w:char="F0E8"/>
            </w:r>
            <w:r>
              <w:rPr>
                <w:rFonts w:hint="eastAsia" w:cstheme="majorEastAsia"/>
                <w:bCs/>
                <w:kern w:val="0"/>
                <w:szCs w:val="21"/>
              </w:rPr>
              <w:t>商务技术标评审</w:t>
            </w:r>
            <w:r>
              <w:rPr>
                <w:rFonts w:hint="eastAsia" w:cstheme="majorEastAsia"/>
                <w:bCs/>
                <w:kern w:val="0"/>
                <w:szCs w:val="21"/>
              </w:rPr>
              <w:sym w:font="Wingdings" w:char="F0E8"/>
            </w:r>
            <w:r>
              <w:rPr>
                <w:rFonts w:hint="eastAsia" w:cstheme="majorEastAsia"/>
                <w:bCs/>
                <w:kern w:val="0"/>
                <w:szCs w:val="21"/>
              </w:rPr>
              <w:t>价格标评审</w:t>
            </w:r>
            <w:r>
              <w:rPr>
                <w:rFonts w:hint="eastAsia" w:cstheme="majorEastAsia"/>
                <w:bCs/>
                <w:kern w:val="0"/>
                <w:szCs w:val="21"/>
              </w:rPr>
              <w:sym w:font="Wingdings" w:char="F0E8"/>
            </w:r>
            <w:r>
              <w:rPr>
                <w:rFonts w:hint="eastAsia" w:cstheme="majorEastAsia"/>
                <w:bCs/>
                <w:kern w:val="0"/>
                <w:szCs w:val="21"/>
              </w:rPr>
              <w:t>提交评审报告</w:t>
            </w:r>
          </w:p>
        </w:tc>
      </w:tr>
      <w:tr>
        <w:tblPrEx>
          <w:tblCellMar>
            <w:top w:w="0" w:type="dxa"/>
            <w:left w:w="108" w:type="dxa"/>
            <w:bottom w:w="0" w:type="dxa"/>
            <w:right w:w="108" w:type="dxa"/>
          </w:tblCellMar>
        </w:tblPrEx>
        <w:trPr>
          <w:trHeight w:val="732"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36</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评标委员会的组建</w:t>
            </w:r>
          </w:p>
        </w:tc>
        <w:tc>
          <w:tcPr>
            <w:tcW w:w="5841" w:type="dxa"/>
            <w:tcBorders>
              <w:top w:val="single" w:color="auto" w:sz="4" w:space="0"/>
              <w:left w:val="single" w:color="auto" w:sz="4" w:space="0"/>
              <w:bottom w:val="single" w:color="auto" w:sz="4" w:space="0"/>
              <w:right w:val="single" w:color="auto" w:sz="4" w:space="0"/>
            </w:tcBorders>
            <w:noWrap/>
            <w:vAlign w:val="center"/>
          </w:tcPr>
          <w:p>
            <w:pPr>
              <w:rPr>
                <w:rFonts w:hint="eastAsia" w:cs="宋体"/>
                <w:szCs w:val="21"/>
              </w:rPr>
            </w:pPr>
            <w:r>
              <w:rPr>
                <w:rFonts w:hint="eastAsia" w:cs="宋体"/>
                <w:bCs/>
                <w:szCs w:val="21"/>
              </w:rPr>
              <w:t>本项目评标委员会由招标人代表及评标专家共5人组成。</w:t>
            </w:r>
          </w:p>
        </w:tc>
      </w:tr>
      <w:tr>
        <w:tblPrEx>
          <w:tblCellMar>
            <w:top w:w="0" w:type="dxa"/>
            <w:left w:w="108" w:type="dxa"/>
            <w:bottom w:w="0" w:type="dxa"/>
            <w:right w:w="108" w:type="dxa"/>
          </w:tblCellMar>
        </w:tblPrEx>
        <w:trPr>
          <w:trHeight w:val="970"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37</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是否授权评标委员会确定中标人</w:t>
            </w:r>
          </w:p>
        </w:tc>
        <w:tc>
          <w:tcPr>
            <w:tcW w:w="5841" w:type="dxa"/>
            <w:tcBorders>
              <w:top w:val="single" w:color="auto" w:sz="4" w:space="0"/>
              <w:left w:val="single" w:color="auto" w:sz="4" w:space="0"/>
              <w:bottom w:val="single" w:color="auto" w:sz="4" w:space="0"/>
              <w:right w:val="single" w:color="auto" w:sz="4" w:space="0"/>
            </w:tcBorders>
            <w:noWrap/>
            <w:vAlign w:val="center"/>
          </w:tcPr>
          <w:p>
            <w:pPr>
              <w:rPr>
                <w:rFonts w:hint="eastAsia" w:cs="宋体"/>
                <w:szCs w:val="21"/>
                <w:u w:val="single"/>
              </w:rPr>
            </w:pPr>
            <w:r>
              <w:rPr>
                <w:rFonts w:hint="eastAsia" w:cs="宋体"/>
                <w:szCs w:val="21"/>
              </w:rPr>
              <w:t>推荐的中标候选人数：</w:t>
            </w:r>
            <w:r>
              <w:rPr>
                <w:rFonts w:hint="eastAsia" w:cs="宋体"/>
                <w:szCs w:val="21"/>
                <w:u w:val="single"/>
              </w:rPr>
              <w:t xml:space="preserve"> 1 </w:t>
            </w:r>
          </w:p>
        </w:tc>
      </w:tr>
      <w:tr>
        <w:tblPrEx>
          <w:tblCellMar>
            <w:top w:w="0" w:type="dxa"/>
            <w:left w:w="108" w:type="dxa"/>
            <w:bottom w:w="0" w:type="dxa"/>
            <w:right w:w="108" w:type="dxa"/>
          </w:tblCellMar>
        </w:tblPrEx>
        <w:trPr>
          <w:trHeight w:val="1371"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38</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履约担保</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履约担保的形式：银行转账</w:t>
            </w:r>
          </w:p>
          <w:p>
            <w:pPr>
              <w:rPr>
                <w:rFonts w:hint="eastAsia" w:cs="宋体"/>
                <w:szCs w:val="21"/>
              </w:rPr>
            </w:pPr>
            <w:r>
              <w:rPr>
                <w:rFonts w:hint="eastAsia" w:cs="宋体"/>
                <w:szCs w:val="21"/>
              </w:rPr>
              <w:t>履约担保的金额：合同价款的2%。</w:t>
            </w:r>
          </w:p>
          <w:p>
            <w:pPr>
              <w:rPr>
                <w:rFonts w:hint="eastAsia" w:cs="宋体"/>
                <w:szCs w:val="21"/>
              </w:rPr>
            </w:pPr>
            <w:r>
              <w:rPr>
                <w:rFonts w:hint="eastAsia" w:cs="宋体"/>
                <w:bCs/>
                <w:szCs w:val="21"/>
              </w:rPr>
              <w:t>中标人在合同签订之前须向招标人提交履约保证金，并且要保证履约保证金在合同履行期间的有效性</w:t>
            </w:r>
          </w:p>
        </w:tc>
      </w:tr>
      <w:tr>
        <w:tblPrEx>
          <w:tblCellMar>
            <w:top w:w="0" w:type="dxa"/>
            <w:left w:w="108" w:type="dxa"/>
            <w:bottom w:w="0" w:type="dxa"/>
            <w:right w:w="108" w:type="dxa"/>
          </w:tblCellMar>
        </w:tblPrEx>
        <w:trPr>
          <w:trHeight w:val="1371"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39</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其他</w:t>
            </w:r>
          </w:p>
        </w:tc>
        <w:tc>
          <w:tcPr>
            <w:tcW w:w="5841" w:type="dxa"/>
            <w:tcBorders>
              <w:top w:val="single" w:color="auto" w:sz="4" w:space="0"/>
              <w:left w:val="nil"/>
              <w:bottom w:val="single" w:color="auto" w:sz="4" w:space="0"/>
              <w:right w:val="single" w:color="auto" w:sz="4" w:space="0"/>
            </w:tcBorders>
            <w:noWrap/>
            <w:vAlign w:val="center"/>
          </w:tcPr>
          <w:p>
            <w:pPr>
              <w:snapToGrid w:val="0"/>
              <w:spacing w:line="440" w:lineRule="exact"/>
              <w:rPr>
                <w:rFonts w:hint="eastAsia" w:ascii="新宋体" w:hAnsi="新宋体" w:eastAsia="新宋体" w:cs="新宋体"/>
                <w:b/>
                <w:bCs/>
                <w:szCs w:val="21"/>
              </w:rPr>
            </w:pPr>
            <w:r>
              <w:rPr>
                <w:rFonts w:hint="eastAsia" w:ascii="新宋体" w:hAnsi="新宋体" w:eastAsia="新宋体" w:cs="新宋体"/>
                <w:b/>
                <w:bCs/>
                <w:szCs w:val="21"/>
              </w:rPr>
              <w:t>投标人需承诺满足以下招标人有关安全管理要求：</w:t>
            </w:r>
          </w:p>
          <w:p>
            <w:pPr>
              <w:snapToGrid w:val="0"/>
              <w:spacing w:line="440" w:lineRule="exact"/>
              <w:rPr>
                <w:rFonts w:hint="eastAsia" w:cs="宋体"/>
                <w:b/>
                <w:bCs/>
                <w:szCs w:val="21"/>
              </w:rPr>
            </w:pPr>
            <w:r>
              <w:rPr>
                <w:rFonts w:hint="eastAsia" w:cs="宋体"/>
                <w:b/>
                <w:bCs/>
                <w:szCs w:val="21"/>
              </w:rPr>
              <w:t>一、规章制度：建立安全生产责任制、安全教育培训、安全技术交底、隐患排查治理、施工现场安全监督、安全生产事故应急救援预案等安全相关管理制度，制度需符合项目招标人发包单位）安全生产管理要求。</w:t>
            </w:r>
          </w:p>
          <w:p>
            <w:pPr>
              <w:snapToGrid w:val="0"/>
              <w:spacing w:line="440" w:lineRule="exact"/>
              <w:rPr>
                <w:rFonts w:hint="eastAsia" w:cs="宋体"/>
                <w:b/>
                <w:bCs/>
                <w:szCs w:val="21"/>
              </w:rPr>
            </w:pPr>
            <w:r>
              <w:rPr>
                <w:rFonts w:hint="eastAsia" w:cs="宋体"/>
                <w:b/>
                <w:bCs/>
                <w:szCs w:val="21"/>
              </w:rPr>
              <w:t>二、安全管理机构及安全管理人员配置：（1）公司级安全生产管理机构及专职安全管理人员配备符合国家相关法律法规要求；（2）施工现场配备至少1名项目专（兼）职现场安全生产管理人员。</w:t>
            </w:r>
          </w:p>
          <w:p>
            <w:pPr>
              <w:snapToGrid w:val="0"/>
              <w:spacing w:line="440" w:lineRule="exact"/>
              <w:rPr>
                <w:rFonts w:hint="eastAsia" w:cs="宋体"/>
                <w:b/>
                <w:bCs/>
                <w:szCs w:val="21"/>
              </w:rPr>
            </w:pPr>
            <w:r>
              <w:rPr>
                <w:rFonts w:hint="eastAsia" w:cs="宋体"/>
                <w:b/>
                <w:bCs/>
                <w:szCs w:val="21"/>
              </w:rPr>
              <w:t>三、安全教育培训：项目从业人员应具备所从事岗位的安全知识和技能，并有教育培训档案。</w:t>
            </w:r>
          </w:p>
          <w:p>
            <w:pPr>
              <w:snapToGrid w:val="0"/>
              <w:spacing w:line="440" w:lineRule="exact"/>
              <w:rPr>
                <w:rFonts w:hint="eastAsia" w:cs="宋体"/>
                <w:b/>
                <w:bCs/>
                <w:szCs w:val="21"/>
              </w:rPr>
            </w:pPr>
            <w:r>
              <w:rPr>
                <w:rFonts w:hint="eastAsia" w:cs="宋体"/>
                <w:b/>
                <w:bCs/>
                <w:szCs w:val="21"/>
              </w:rPr>
              <w:t>四、作业人员：特种作业人员、特种设备作业人员具有合法有效的作业资格证书，持证上岗。</w:t>
            </w:r>
          </w:p>
          <w:p>
            <w:pPr>
              <w:snapToGrid w:val="0"/>
              <w:spacing w:line="440" w:lineRule="exact"/>
              <w:rPr>
                <w:rFonts w:hint="eastAsia" w:cs="宋体"/>
                <w:b/>
                <w:bCs/>
                <w:szCs w:val="21"/>
              </w:rPr>
            </w:pPr>
            <w:r>
              <w:rPr>
                <w:rFonts w:hint="eastAsia" w:cs="宋体"/>
                <w:b/>
                <w:bCs/>
                <w:szCs w:val="21"/>
              </w:rPr>
              <w:t>五、设备保障：主要施工机械和设备的数量、规格型号符合项目需求，相关机械设备工况良好、证件齐全、检测合格、定期检测维保。</w:t>
            </w:r>
          </w:p>
          <w:p>
            <w:pPr>
              <w:snapToGrid w:val="0"/>
              <w:spacing w:line="440" w:lineRule="exact"/>
              <w:rPr>
                <w:rFonts w:hint="eastAsia" w:cs="宋体"/>
                <w:b/>
                <w:bCs/>
                <w:szCs w:val="21"/>
              </w:rPr>
            </w:pPr>
            <w:r>
              <w:rPr>
                <w:rFonts w:hint="eastAsia" w:cs="宋体"/>
                <w:b/>
                <w:bCs/>
                <w:szCs w:val="21"/>
              </w:rPr>
              <w:t>六、保险：办理项目从业人员工伤保险、人身意外伤害险等有关保险，临聘用工应为其购买相关商业保险。</w:t>
            </w:r>
          </w:p>
          <w:p>
            <w:pPr>
              <w:snapToGrid w:val="0"/>
              <w:spacing w:line="440" w:lineRule="exact"/>
              <w:rPr>
                <w:rFonts w:hint="eastAsia" w:cs="宋体"/>
                <w:b/>
                <w:bCs/>
                <w:szCs w:val="21"/>
              </w:rPr>
            </w:pPr>
            <w:r>
              <w:rPr>
                <w:rFonts w:hint="eastAsia" w:cs="宋体"/>
                <w:b/>
                <w:bCs/>
                <w:szCs w:val="21"/>
              </w:rPr>
              <w:t>七、劳动防护用品：为项目从业人员配备的劳动防护用品应符合国家标准或者行业标准。</w:t>
            </w:r>
          </w:p>
          <w:p>
            <w:pPr>
              <w:snapToGrid w:val="0"/>
              <w:spacing w:line="440" w:lineRule="exact"/>
              <w:rPr>
                <w:rFonts w:hint="eastAsia" w:cs="宋体"/>
                <w:szCs w:val="21"/>
              </w:rPr>
            </w:pPr>
            <w:r>
              <w:rPr>
                <w:rFonts w:hint="eastAsia" w:cs="宋体"/>
                <w:b/>
                <w:bCs/>
                <w:szCs w:val="21"/>
              </w:rPr>
              <w:t>八、风险管控清单：对承包项目的主要风险进行辨识，并制定管控措施，建立风险分级管控清单。</w:t>
            </w:r>
          </w:p>
        </w:tc>
      </w:tr>
      <w:tr>
        <w:tblPrEx>
          <w:tblCellMar>
            <w:top w:w="0" w:type="dxa"/>
            <w:left w:w="108" w:type="dxa"/>
            <w:bottom w:w="0" w:type="dxa"/>
            <w:right w:w="108" w:type="dxa"/>
          </w:tblCellMar>
        </w:tblPrEx>
        <w:trPr>
          <w:trHeight w:val="565" w:hRule="atLeast"/>
        </w:trPr>
        <w:tc>
          <w:tcPr>
            <w:tcW w:w="9493" w:type="dxa"/>
            <w:gridSpan w:val="4"/>
            <w:tcBorders>
              <w:top w:val="single" w:color="auto" w:sz="4" w:space="0"/>
              <w:left w:val="single" w:color="auto" w:sz="4" w:space="0"/>
              <w:bottom w:val="single" w:color="auto" w:sz="4" w:space="0"/>
              <w:right w:val="single" w:color="auto" w:sz="4" w:space="0"/>
            </w:tcBorders>
            <w:noWrap/>
            <w:vAlign w:val="center"/>
          </w:tcPr>
          <w:p>
            <w:pPr>
              <w:rPr>
                <w:rFonts w:hint="eastAsia" w:cs="宋体"/>
                <w:szCs w:val="21"/>
              </w:rPr>
            </w:pPr>
            <w:r>
              <w:rPr>
                <w:rFonts w:hint="eastAsia" w:cs="宋体"/>
                <w:szCs w:val="21"/>
              </w:rPr>
              <w:t>需要补充的其他内容</w:t>
            </w:r>
          </w:p>
        </w:tc>
      </w:tr>
      <w:tr>
        <w:trPr>
          <w:trHeight w:val="1271"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40</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rPr>
              <w:t>★</w:t>
            </w:r>
            <w:r>
              <w:rPr>
                <w:rFonts w:hint="eastAsia" w:cs="宋体"/>
                <w:szCs w:val="21"/>
              </w:rPr>
              <w:t>招标控制价</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b/>
                <w:bCs/>
                <w:szCs w:val="21"/>
              </w:rPr>
            </w:pPr>
            <w:r>
              <w:rPr>
                <w:rFonts w:hint="eastAsia" w:cs="宋体"/>
                <w:b/>
                <w:bCs/>
                <w:szCs w:val="21"/>
              </w:rPr>
              <w:t>本项目设有招标控制价</w:t>
            </w:r>
            <w:r>
              <w:rPr>
                <w:rFonts w:hint="eastAsia"/>
                <w:b/>
                <w:kern w:val="0"/>
                <w:szCs w:val="21"/>
              </w:rPr>
              <w:t>16.15万</w:t>
            </w:r>
            <w:r>
              <w:rPr>
                <w:rFonts w:hint="eastAsia" w:cs="宋体"/>
                <w:b/>
                <w:bCs/>
                <w:szCs w:val="21"/>
              </w:rPr>
              <w:t>元（含税价），投标人的投标报价高于招标控制价的，应当否决其投标。</w:t>
            </w:r>
          </w:p>
        </w:tc>
      </w:tr>
      <w:tr>
        <w:tblPrEx>
          <w:tblCellMar>
            <w:top w:w="0" w:type="dxa"/>
            <w:left w:w="108" w:type="dxa"/>
            <w:bottom w:w="0" w:type="dxa"/>
            <w:right w:w="108" w:type="dxa"/>
          </w:tblCellMar>
        </w:tblPrEx>
        <w:trPr>
          <w:trHeight w:val="1694" w:hRule="atLeast"/>
        </w:trPr>
        <w:tc>
          <w:tcPr>
            <w:tcW w:w="1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41</w:t>
            </w:r>
          </w:p>
        </w:tc>
        <w:tc>
          <w:tcPr>
            <w:tcW w:w="2351" w:type="dxa"/>
            <w:gridSpan w:val="2"/>
            <w:tcBorders>
              <w:top w:val="single" w:color="auto" w:sz="4" w:space="0"/>
              <w:left w:val="nil"/>
              <w:bottom w:val="single" w:color="auto" w:sz="4" w:space="0"/>
              <w:right w:val="single" w:color="auto" w:sz="4" w:space="0"/>
            </w:tcBorders>
            <w:noWrap/>
            <w:vAlign w:val="center"/>
          </w:tcPr>
          <w:p>
            <w:pPr>
              <w:jc w:val="center"/>
              <w:rPr>
                <w:rFonts w:hint="eastAsia" w:cs="宋体"/>
                <w:szCs w:val="21"/>
              </w:rPr>
            </w:pPr>
            <w:r>
              <w:rPr>
                <w:rFonts w:hint="eastAsia" w:cs="宋体"/>
                <w:szCs w:val="21"/>
              </w:rPr>
              <w:t>创文明标化目标</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t>本工程对创标化工地不做要求，中标人必须按有关规定做好文明施工，保证施工场地清洁，若施工期间对场地造成污染,需当天清洁，符合环境卫生管理要求，承担自身原因造成的损失和罚款。</w:t>
            </w:r>
          </w:p>
        </w:tc>
      </w:tr>
      <w:tr>
        <w:tblPrEx>
          <w:tblCellMar>
            <w:top w:w="0" w:type="dxa"/>
            <w:left w:w="108" w:type="dxa"/>
            <w:bottom w:w="0" w:type="dxa"/>
            <w:right w:w="108" w:type="dxa"/>
          </w:tblCellMar>
        </w:tblPrEx>
        <w:trPr>
          <w:trHeight w:val="866" w:hRule="atLeast"/>
        </w:trPr>
        <w:tc>
          <w:tcPr>
            <w:tcW w:w="1301" w:type="dxa"/>
            <w:vMerge w:val="restart"/>
            <w:tcBorders>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42</w:t>
            </w:r>
          </w:p>
        </w:tc>
        <w:tc>
          <w:tcPr>
            <w:tcW w:w="650" w:type="dxa"/>
            <w:vMerge w:val="restart"/>
            <w:tcBorders>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招标人补充的其他内容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1、采用计税方法</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szCs w:val="21"/>
              </w:rPr>
            </w:pPr>
            <w:r>
              <w:rPr>
                <w:rFonts w:hint="eastAsia" w:cs="宋体"/>
                <w:szCs w:val="21"/>
              </w:rPr>
              <w:fldChar w:fldCharType="begin"/>
            </w:r>
            <w:r>
              <w:rPr>
                <w:rFonts w:hint="eastAsia" w:cs="宋体"/>
                <w:szCs w:val="21"/>
              </w:rPr>
              <w:instrText xml:space="preserve"> eq \o\ac(□,√)</w:instrText>
            </w:r>
            <w:r>
              <w:rPr>
                <w:rFonts w:hint="eastAsia" w:cs="宋体"/>
                <w:szCs w:val="21"/>
              </w:rPr>
              <w:fldChar w:fldCharType="end"/>
            </w:r>
            <w:r>
              <w:rPr>
                <w:rFonts w:hint="eastAsia" w:cs="宋体"/>
                <w:szCs w:val="21"/>
              </w:rPr>
              <w:t>一般计税方法 ，中标人需提供增值税专用发票</w:t>
            </w:r>
          </w:p>
        </w:tc>
      </w:tr>
      <w:tr>
        <w:tblPrEx>
          <w:tblCellMar>
            <w:top w:w="0" w:type="dxa"/>
            <w:left w:w="108" w:type="dxa"/>
            <w:bottom w:w="0" w:type="dxa"/>
            <w:right w:w="108" w:type="dxa"/>
          </w:tblCellMar>
        </w:tblPrEx>
        <w:trPr>
          <w:trHeight w:val="665" w:hRule="atLeast"/>
        </w:trPr>
        <w:tc>
          <w:tcPr>
            <w:tcW w:w="130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p>
        </w:tc>
        <w:tc>
          <w:tcPr>
            <w:tcW w:w="65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2、招标代理服务费</w:t>
            </w:r>
          </w:p>
        </w:tc>
        <w:tc>
          <w:tcPr>
            <w:tcW w:w="5841" w:type="dxa"/>
            <w:tcBorders>
              <w:top w:val="single" w:color="auto" w:sz="4" w:space="0"/>
              <w:left w:val="nil"/>
              <w:bottom w:val="single" w:color="auto" w:sz="4" w:space="0"/>
              <w:right w:val="single" w:color="auto" w:sz="4" w:space="0"/>
            </w:tcBorders>
            <w:noWrap/>
            <w:vAlign w:val="center"/>
          </w:tcPr>
          <w:p>
            <w:pPr>
              <w:rPr>
                <w:rFonts w:hint="eastAsia" w:cs="宋体"/>
                <w:b/>
                <w:szCs w:val="21"/>
              </w:rPr>
            </w:pPr>
            <w:r>
              <w:rPr>
                <w:rFonts w:hint="eastAsia" w:cs="宋体"/>
                <w:b/>
                <w:szCs w:val="21"/>
              </w:rPr>
              <w:t>本次招标工作已委托招标代理单位进行。</w:t>
            </w:r>
          </w:p>
          <w:p>
            <w:pPr>
              <w:rPr>
                <w:rFonts w:hint="eastAsia" w:cs="宋体"/>
                <w:b/>
                <w:szCs w:val="21"/>
              </w:rPr>
            </w:pPr>
            <w:r>
              <w:rPr>
                <w:rFonts w:hint="eastAsia" w:cs="宋体"/>
                <w:b/>
                <w:szCs w:val="21"/>
              </w:rPr>
              <w:t>1.招标代理服务费3000元向中标人收取；</w:t>
            </w:r>
          </w:p>
          <w:p>
            <w:pPr>
              <w:rPr>
                <w:rFonts w:hint="eastAsia"/>
                <w:szCs w:val="21"/>
              </w:rPr>
            </w:pPr>
            <w:r>
              <w:rPr>
                <w:rFonts w:hint="eastAsia" w:cs="宋体"/>
                <w:b/>
                <w:szCs w:val="21"/>
              </w:rPr>
              <w:t>2.造价咨询服务费1400元向中标人收取。</w:t>
            </w:r>
          </w:p>
          <w:p>
            <w:pPr>
              <w:rPr>
                <w:rFonts w:hint="eastAsia" w:cs="宋体"/>
                <w:b/>
                <w:szCs w:val="21"/>
              </w:rPr>
            </w:pPr>
            <w:r>
              <w:rPr>
                <w:rFonts w:hint="eastAsia" w:cs="宋体"/>
                <w:b/>
                <w:szCs w:val="21"/>
              </w:rPr>
              <w:t>3.中标人应在收到中标通知书时一次性支付给招标代理单位。投标人在投标报价时应予以充分考虑该部分招标代理服务及造价咨询服务费费用，招标人不再另行支付。</w:t>
            </w:r>
          </w:p>
          <w:p>
            <w:pPr>
              <w:rPr>
                <w:rFonts w:hint="eastAsia"/>
                <w:szCs w:val="21"/>
              </w:rPr>
            </w:pPr>
            <w:r>
              <w:rPr>
                <w:rFonts w:hint="eastAsia"/>
                <w:szCs w:val="21"/>
              </w:rPr>
              <w:t>户名：浙江大勤建设项目管理有限公司</w:t>
            </w:r>
          </w:p>
          <w:p>
            <w:pPr>
              <w:rPr>
                <w:rFonts w:hint="eastAsia"/>
                <w:szCs w:val="21"/>
              </w:rPr>
            </w:pPr>
            <w:r>
              <w:rPr>
                <w:rFonts w:hint="eastAsia"/>
                <w:szCs w:val="21"/>
              </w:rPr>
              <w:t>开户银行：上海浦东发展银行杭州分行营业部</w:t>
            </w:r>
          </w:p>
          <w:p>
            <w:pPr>
              <w:rPr>
                <w:rFonts w:hint="eastAsia"/>
                <w:szCs w:val="21"/>
              </w:rPr>
            </w:pPr>
            <w:r>
              <w:rPr>
                <w:rFonts w:hint="eastAsia"/>
                <w:szCs w:val="21"/>
              </w:rPr>
              <w:t>账号：95160154800000774</w:t>
            </w:r>
          </w:p>
        </w:tc>
      </w:tr>
      <w:tr>
        <w:tblPrEx>
          <w:tblCellMar>
            <w:top w:w="0" w:type="dxa"/>
            <w:left w:w="108" w:type="dxa"/>
            <w:bottom w:w="0" w:type="dxa"/>
            <w:right w:w="108" w:type="dxa"/>
          </w:tblCellMar>
        </w:tblPrEx>
        <w:trPr>
          <w:trHeight w:val="8021" w:hRule="atLeast"/>
        </w:trPr>
        <w:tc>
          <w:tcPr>
            <w:tcW w:w="1301"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p>
        </w:tc>
        <w:tc>
          <w:tcPr>
            <w:tcW w:w="650"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s="宋体"/>
                <w:szCs w:val="21"/>
              </w:rPr>
            </w:pPr>
            <w:r>
              <w:rPr>
                <w:rFonts w:hint="eastAsia" w:cs="宋体"/>
                <w:szCs w:val="21"/>
              </w:rPr>
              <w:t>3、电子招标采购平台交易服务费</w:t>
            </w:r>
          </w:p>
        </w:tc>
        <w:tc>
          <w:tcPr>
            <w:tcW w:w="5841" w:type="dxa"/>
            <w:tcBorders>
              <w:top w:val="single" w:color="auto" w:sz="4" w:space="0"/>
              <w:left w:val="nil"/>
              <w:bottom w:val="single" w:color="auto" w:sz="4" w:space="0"/>
              <w:right w:val="single" w:color="auto" w:sz="4" w:space="0"/>
            </w:tcBorders>
            <w:noWrap/>
          </w:tcPr>
          <w:p>
            <w:pPr>
              <w:pStyle w:val="11"/>
              <w:ind w:firstLine="210"/>
              <w:rPr>
                <w:rFonts w:hint="eastAsia" w:cs="宋体"/>
                <w:szCs w:val="21"/>
              </w:rPr>
            </w:pPr>
            <w:bookmarkStart w:id="62" w:name="OLE_LINK17"/>
            <w:r>
              <w:rPr>
                <w:rFonts w:hint="eastAsia" w:cs="宋体"/>
                <w:szCs w:val="21"/>
              </w:rPr>
              <w:t>本项目采用电子招标，中标人须在明确中标后、获取中标通知书前将相应的交易服务费缴入平台指定的集团账户（在“投标管家”工具中查看）。</w:t>
            </w:r>
          </w:p>
          <w:p>
            <w:pPr>
              <w:pStyle w:val="11"/>
              <w:ind w:firstLine="210"/>
              <w:rPr>
                <w:rFonts w:hint="eastAsia" w:cs="宋体"/>
                <w:szCs w:val="21"/>
              </w:rPr>
            </w:pPr>
            <w:r>
              <w:rPr>
                <w:rFonts w:hint="eastAsia" w:cs="宋体"/>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381635</wp:posOffset>
                  </wp:positionV>
                  <wp:extent cx="3571875" cy="3564255"/>
                  <wp:effectExtent l="0" t="0" r="9525" b="0"/>
                  <wp:wrapSquare wrapText="bothSides"/>
                  <wp:docPr id="2155241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24109"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71875" cy="3564255"/>
                          </a:xfrm>
                          <a:prstGeom prst="rect">
                            <a:avLst/>
                          </a:prstGeom>
                          <a:noFill/>
                          <a:ln>
                            <a:noFill/>
                          </a:ln>
                        </pic:spPr>
                      </pic:pic>
                    </a:graphicData>
                  </a:graphic>
                </wp:anchor>
              </w:drawing>
            </w:r>
            <w:r>
              <w:rPr>
                <w:rFonts w:hint="eastAsia" w:cs="宋体"/>
                <w:szCs w:val="21"/>
              </w:rPr>
              <w:t>具体收费标准如下：</w:t>
            </w:r>
            <w:bookmarkEnd w:id="62"/>
          </w:p>
        </w:tc>
      </w:tr>
      <w:tr>
        <w:tblPrEx>
          <w:tblCellMar>
            <w:top w:w="0" w:type="dxa"/>
            <w:left w:w="108" w:type="dxa"/>
            <w:bottom w:w="0" w:type="dxa"/>
            <w:right w:w="108" w:type="dxa"/>
          </w:tblCellMar>
        </w:tblPrEx>
        <w:trPr>
          <w:trHeight w:val="1846" w:hRule="atLeast"/>
        </w:trPr>
        <w:tc>
          <w:tcPr>
            <w:tcW w:w="9493" w:type="dxa"/>
            <w:gridSpan w:val="4"/>
            <w:tcBorders>
              <w:top w:val="single" w:color="auto" w:sz="4" w:space="0"/>
              <w:left w:val="single" w:color="auto" w:sz="4" w:space="0"/>
              <w:bottom w:val="single" w:color="auto" w:sz="4" w:space="0"/>
              <w:right w:val="single" w:color="auto" w:sz="4" w:space="0"/>
            </w:tcBorders>
            <w:noWrap/>
            <w:vAlign w:val="center"/>
          </w:tcPr>
          <w:p>
            <w:pPr>
              <w:pStyle w:val="10"/>
              <w:rPr>
                <w:rFonts w:hint="eastAsia" w:cs="宋体"/>
                <w:szCs w:val="21"/>
              </w:rPr>
            </w:pPr>
            <w:r>
              <w:rPr>
                <w:rFonts w:hint="eastAsia" w:cs="宋体"/>
                <w:bCs/>
                <w:szCs w:val="21"/>
              </w:rPr>
              <w:t>注：1、</w:t>
            </w:r>
            <w:r>
              <w:rPr>
                <w:rFonts w:hint="eastAsia" w:cs="宋体"/>
                <w:szCs w:val="21"/>
              </w:rPr>
              <w:t>电子投标文件中所须加盖公章部分均采用电子章，并根据“浙江省海港集团电子招标采购平台[供应商]操作手册”及本采购文件规定的格式和顺序编制电子投标文件。</w:t>
            </w:r>
          </w:p>
          <w:p>
            <w:pPr>
              <w:rPr>
                <w:rFonts w:hint="eastAsia" w:cs="宋体"/>
                <w:b/>
                <w:szCs w:val="21"/>
              </w:rPr>
            </w:pPr>
            <w:r>
              <w:rPr>
                <w:rFonts w:hint="eastAsia" w:cs="宋体"/>
                <w:szCs w:val="21"/>
              </w:rPr>
              <w:t>2、本表关于招标工程项目的具体资料是对“投标须知”的具体补充或修改，如有矛盾之处，应以本表为准。</w:t>
            </w:r>
          </w:p>
        </w:tc>
      </w:tr>
    </w:tbl>
    <w:p>
      <w:pPr>
        <w:rPr>
          <w:rFonts w:hint="eastAsia" w:ascii="黑体" w:hAnsi="黑体" w:eastAsia="黑体"/>
          <w:sz w:val="44"/>
          <w:szCs w:val="44"/>
        </w:rPr>
      </w:pPr>
      <w:bookmarkStart w:id="63" w:name="_Toc723"/>
      <w:bookmarkStart w:id="64" w:name="_Toc45697231"/>
      <w:r>
        <w:rPr>
          <w:rFonts w:hint="eastAsia" w:ascii="黑体" w:hAnsi="黑体" w:eastAsia="黑体"/>
          <w:sz w:val="44"/>
          <w:szCs w:val="44"/>
        </w:rPr>
        <w:br w:type="page"/>
      </w:r>
    </w:p>
    <w:p>
      <w:pPr>
        <w:wordWrap w:val="0"/>
        <w:topLinePunct/>
        <w:spacing w:line="360" w:lineRule="auto"/>
        <w:jc w:val="center"/>
        <w:rPr>
          <w:rFonts w:hint="eastAsia" w:ascii="黑体" w:hAnsi="黑体" w:eastAsia="黑体"/>
          <w:sz w:val="44"/>
          <w:szCs w:val="44"/>
        </w:rPr>
      </w:pPr>
      <w:r>
        <w:rPr>
          <w:rFonts w:hint="eastAsia" w:ascii="黑体" w:hAnsi="黑体" w:eastAsia="黑体"/>
          <w:sz w:val="44"/>
          <w:szCs w:val="44"/>
        </w:rPr>
        <w:t>投标人须知</w:t>
      </w:r>
      <w:bookmarkEnd w:id="63"/>
      <w:bookmarkEnd w:id="64"/>
    </w:p>
    <w:p>
      <w:pPr>
        <w:pStyle w:val="57"/>
      </w:pPr>
      <w:bookmarkStart w:id="65" w:name="_Toc144974497"/>
      <w:bookmarkStart w:id="66" w:name="_Toc152045529"/>
      <w:bookmarkStart w:id="67" w:name="_Toc152042305"/>
      <w:bookmarkStart w:id="68" w:name="_Toc179632546"/>
      <w:r>
        <w:rPr>
          <w:rFonts w:hint="eastAsia"/>
        </w:rPr>
        <w:t>1. 总则</w:t>
      </w:r>
    </w:p>
    <w:p>
      <w:pPr>
        <w:pStyle w:val="56"/>
        <w:rPr>
          <w:rFonts w:hint="eastAsia"/>
        </w:rPr>
      </w:pPr>
      <w:r>
        <w:rPr>
          <w:rFonts w:hint="eastAsia"/>
        </w:rPr>
        <w:t>1.1 项目概况</w:t>
      </w:r>
    </w:p>
    <w:p>
      <w:pPr>
        <w:ind w:firstLine="420" w:firstLineChars="200"/>
        <w:rPr>
          <w:rFonts w:hint="eastAsia"/>
        </w:rPr>
      </w:pPr>
      <w:r>
        <w:rPr>
          <w:rFonts w:hint="eastAsia"/>
        </w:rPr>
        <w:t>1.1.1根据《中华人民共和国招标投标法》等有关法律、法规和规章的规定，本招标项目已具备招标条件，现对本标段施工进行招标。</w:t>
      </w:r>
    </w:p>
    <w:p>
      <w:pPr>
        <w:ind w:firstLine="420" w:firstLineChars="200"/>
        <w:rPr>
          <w:rFonts w:hint="eastAsia"/>
        </w:rPr>
      </w:pPr>
      <w:r>
        <w:rPr>
          <w:rFonts w:hint="eastAsia"/>
        </w:rPr>
        <w:t>1.1.2 本招标项目</w:t>
      </w:r>
      <w:bookmarkStart w:id="69" w:name="OLE_LINK47"/>
      <w:r>
        <w:rPr>
          <w:rFonts w:hint="eastAsia"/>
        </w:rPr>
        <w:t>招标人</w:t>
      </w:r>
      <w:bookmarkEnd w:id="69"/>
      <w:r>
        <w:rPr>
          <w:rFonts w:hint="eastAsia"/>
        </w:rPr>
        <w:t>：见投标人须知前附表。</w:t>
      </w:r>
    </w:p>
    <w:p>
      <w:pPr>
        <w:ind w:firstLine="420" w:firstLineChars="200"/>
        <w:rPr>
          <w:rFonts w:hint="eastAsia"/>
        </w:rPr>
      </w:pPr>
      <w:r>
        <w:rPr>
          <w:rFonts w:hint="eastAsia"/>
        </w:rPr>
        <w:t>1.1.3 本标段招标代理机构：见投标人须知前附表。</w:t>
      </w:r>
    </w:p>
    <w:p>
      <w:pPr>
        <w:ind w:firstLine="420" w:firstLineChars="200"/>
        <w:rPr>
          <w:rFonts w:hint="eastAsia"/>
        </w:rPr>
      </w:pPr>
      <w:r>
        <w:rPr>
          <w:rFonts w:hint="eastAsia"/>
        </w:rPr>
        <w:t>1.1.4 本招标项目名称：见投标人须知前附表。</w:t>
      </w:r>
    </w:p>
    <w:p>
      <w:pPr>
        <w:ind w:firstLine="420" w:firstLineChars="200"/>
        <w:rPr>
          <w:rFonts w:hint="eastAsia"/>
        </w:rPr>
      </w:pPr>
      <w:r>
        <w:rPr>
          <w:rFonts w:hint="eastAsia"/>
        </w:rPr>
        <w:t>1.1.5 本标段建设地点：见投标人须知前附表。</w:t>
      </w:r>
    </w:p>
    <w:p>
      <w:pPr>
        <w:pStyle w:val="56"/>
        <w:rPr>
          <w:rFonts w:hint="eastAsia"/>
        </w:rPr>
      </w:pPr>
      <w:bookmarkStart w:id="70" w:name="_Toc144974499"/>
      <w:bookmarkStart w:id="71" w:name="_Toc152045531"/>
      <w:bookmarkStart w:id="72" w:name="_Toc179632548"/>
      <w:bookmarkStart w:id="73" w:name="_Toc152042307"/>
      <w:r>
        <w:rPr>
          <w:rFonts w:hint="eastAsia"/>
        </w:rPr>
        <w:t>1.2 资金来源和落实情况</w:t>
      </w:r>
      <w:bookmarkEnd w:id="70"/>
      <w:bookmarkEnd w:id="71"/>
      <w:bookmarkEnd w:id="72"/>
      <w:bookmarkEnd w:id="73"/>
    </w:p>
    <w:p>
      <w:pPr>
        <w:ind w:firstLine="420" w:firstLineChars="200"/>
        <w:rPr>
          <w:rFonts w:hint="eastAsia"/>
        </w:rPr>
      </w:pPr>
      <w:r>
        <w:rPr>
          <w:rFonts w:hint="eastAsia"/>
        </w:rPr>
        <w:t>1.2.1 本招标项目的资金来源：见投标人须知前附表。</w:t>
      </w:r>
    </w:p>
    <w:p>
      <w:pPr>
        <w:ind w:firstLine="420" w:firstLineChars="200"/>
        <w:rPr>
          <w:rFonts w:hint="eastAsia"/>
        </w:rPr>
      </w:pPr>
      <w:r>
        <w:rPr>
          <w:rFonts w:hint="eastAsia"/>
        </w:rPr>
        <w:t>1.2.2 本招标项目的出资比例：见投标人须知前附表。</w:t>
      </w:r>
    </w:p>
    <w:p>
      <w:pPr>
        <w:ind w:firstLine="420" w:firstLineChars="200"/>
        <w:rPr>
          <w:rFonts w:hint="eastAsia"/>
        </w:rPr>
      </w:pPr>
      <w:r>
        <w:rPr>
          <w:rFonts w:hint="eastAsia"/>
        </w:rPr>
        <w:t>1.2.3 本招标项目的资金落实情况：见投标人须知前附表。</w:t>
      </w:r>
    </w:p>
    <w:p>
      <w:pPr>
        <w:pStyle w:val="56"/>
        <w:rPr>
          <w:rFonts w:hint="eastAsia"/>
        </w:rPr>
      </w:pPr>
      <w:bookmarkStart w:id="74" w:name="_Toc144974500"/>
      <w:bookmarkStart w:id="75" w:name="_Toc152042308"/>
      <w:bookmarkStart w:id="76" w:name="_Toc179632549"/>
      <w:bookmarkStart w:id="77" w:name="_Toc152045532"/>
      <w:r>
        <w:rPr>
          <w:rFonts w:hint="eastAsia"/>
        </w:rPr>
        <w:t>1.3 招标范围、计划工期和质量要求</w:t>
      </w:r>
      <w:bookmarkEnd w:id="74"/>
      <w:bookmarkEnd w:id="75"/>
      <w:bookmarkEnd w:id="76"/>
      <w:bookmarkEnd w:id="77"/>
    </w:p>
    <w:p>
      <w:pPr>
        <w:ind w:firstLine="420" w:firstLineChars="200"/>
        <w:rPr>
          <w:rFonts w:hint="eastAsia"/>
        </w:rPr>
      </w:pPr>
      <w:r>
        <w:rPr>
          <w:rFonts w:hint="eastAsia"/>
        </w:rPr>
        <w:t>1.3.1 本次招标范围：见投标人须知前附表。</w:t>
      </w:r>
    </w:p>
    <w:p>
      <w:pPr>
        <w:ind w:firstLine="420" w:firstLineChars="200"/>
        <w:rPr>
          <w:rFonts w:hint="eastAsia"/>
        </w:rPr>
      </w:pPr>
      <w:r>
        <w:rPr>
          <w:rFonts w:hint="eastAsia"/>
        </w:rPr>
        <w:t>1.3.2 本标段的计划工期：见投标人须知前附表，投标工期不得超过招标计划工期。</w:t>
      </w:r>
    </w:p>
    <w:p>
      <w:pPr>
        <w:ind w:firstLine="420" w:firstLineChars="200"/>
        <w:rPr>
          <w:rFonts w:hint="eastAsia"/>
        </w:rPr>
      </w:pPr>
      <w:r>
        <w:rPr>
          <w:rFonts w:hint="eastAsia"/>
        </w:rPr>
        <w:t>1.3.3 本标段的质量要求：见投标人须知前附表。</w:t>
      </w:r>
    </w:p>
    <w:p>
      <w:pPr>
        <w:pStyle w:val="56"/>
        <w:rPr>
          <w:rFonts w:hint="eastAsia"/>
        </w:rPr>
      </w:pPr>
      <w:r>
        <w:rPr>
          <w:rFonts w:hint="eastAsia"/>
        </w:rPr>
        <w:t xml:space="preserve">1.4 投标人资格要求 </w:t>
      </w:r>
    </w:p>
    <w:p>
      <w:pPr>
        <w:ind w:firstLine="420" w:firstLineChars="200"/>
        <w:rPr>
          <w:rFonts w:hint="eastAsia"/>
        </w:rPr>
      </w:pPr>
      <w:r>
        <w:rPr>
          <w:rFonts w:hint="eastAsia"/>
        </w:rPr>
        <w:t>1.4.1投标人资格要求详见投标人须知前附表。</w:t>
      </w:r>
    </w:p>
    <w:p>
      <w:pPr>
        <w:ind w:firstLine="420" w:firstLineChars="200"/>
        <w:rPr>
          <w:rFonts w:hint="eastAsia"/>
        </w:rPr>
      </w:pPr>
      <w:r>
        <w:rPr>
          <w:rFonts w:hint="eastAsia"/>
        </w:rPr>
        <w:t>1.4.2投标人资格要求详见投标人须知前附表。</w:t>
      </w:r>
    </w:p>
    <w:p>
      <w:pPr>
        <w:ind w:firstLine="420" w:firstLineChars="200"/>
        <w:rPr>
          <w:rFonts w:hint="eastAsia"/>
        </w:rPr>
      </w:pPr>
      <w:r>
        <w:rPr>
          <w:rFonts w:hint="eastAsia"/>
        </w:rPr>
        <w:t>1.4.3 投标人不得存在下列情形之一：</w:t>
      </w:r>
    </w:p>
    <w:p>
      <w:pPr>
        <w:ind w:firstLine="420" w:firstLineChars="200"/>
        <w:rPr>
          <w:rFonts w:hint="eastAsia"/>
        </w:rPr>
      </w:pPr>
      <w:r>
        <w:rPr>
          <w:rFonts w:hint="eastAsia"/>
        </w:rPr>
        <w:t>（1）为招标人不具有独立法人资格的附属机构（单位）；</w:t>
      </w:r>
    </w:p>
    <w:p>
      <w:pPr>
        <w:ind w:firstLine="420" w:firstLineChars="200"/>
        <w:rPr>
          <w:rFonts w:hint="eastAsia"/>
        </w:rPr>
      </w:pPr>
      <w:r>
        <w:rPr>
          <w:rFonts w:hint="eastAsia"/>
        </w:rPr>
        <w:t>（2）不同投标人的单位负责人为同一人或者互相存在控股、管理关系的；</w:t>
      </w:r>
    </w:p>
    <w:p>
      <w:pPr>
        <w:ind w:firstLine="420" w:firstLineChars="200"/>
        <w:rPr>
          <w:rFonts w:hint="eastAsia"/>
        </w:rPr>
      </w:pPr>
      <w:r>
        <w:rPr>
          <w:rFonts w:hint="eastAsia"/>
        </w:rPr>
        <w:t>（3）为本标段前期准备提供设计或咨询服务的；</w:t>
      </w:r>
    </w:p>
    <w:p>
      <w:pPr>
        <w:ind w:firstLine="420" w:firstLineChars="200"/>
        <w:rPr>
          <w:rFonts w:hint="eastAsia"/>
        </w:rPr>
      </w:pPr>
      <w:r>
        <w:rPr>
          <w:rFonts w:hint="eastAsia"/>
        </w:rPr>
        <w:t>（4）为本标段的监理人；</w:t>
      </w:r>
    </w:p>
    <w:p>
      <w:pPr>
        <w:ind w:firstLine="420" w:firstLineChars="200"/>
        <w:rPr>
          <w:rFonts w:hint="eastAsia"/>
        </w:rPr>
      </w:pPr>
      <w:r>
        <w:rPr>
          <w:rFonts w:hint="eastAsia"/>
        </w:rPr>
        <w:t>（5）为本标段的代建人；</w:t>
      </w:r>
    </w:p>
    <w:p>
      <w:pPr>
        <w:ind w:firstLine="420" w:firstLineChars="200"/>
        <w:rPr>
          <w:rFonts w:hint="eastAsia"/>
        </w:rPr>
      </w:pPr>
      <w:r>
        <w:rPr>
          <w:rFonts w:hint="eastAsia"/>
        </w:rPr>
        <w:t>（6）为本标段提供招标代理服务的；</w:t>
      </w:r>
    </w:p>
    <w:p>
      <w:pPr>
        <w:ind w:firstLine="420" w:firstLineChars="200"/>
        <w:rPr>
          <w:rFonts w:hint="eastAsia"/>
        </w:rPr>
      </w:pPr>
      <w:r>
        <w:rPr>
          <w:rFonts w:hint="eastAsia"/>
        </w:rPr>
        <w:t>（7）与本标段的监理人或代建人或招标代理机构同为一个法定代表人的；</w:t>
      </w:r>
    </w:p>
    <w:p>
      <w:pPr>
        <w:ind w:firstLine="420" w:firstLineChars="200"/>
        <w:rPr>
          <w:rFonts w:hint="eastAsia"/>
        </w:rPr>
      </w:pPr>
      <w:r>
        <w:rPr>
          <w:rFonts w:hint="eastAsia"/>
        </w:rPr>
        <w:t>（8）与本标段的监理人或代建人或招标代理机构相互控股或参股的；</w:t>
      </w:r>
    </w:p>
    <w:p>
      <w:pPr>
        <w:ind w:firstLine="420" w:firstLineChars="200"/>
        <w:rPr>
          <w:rFonts w:hint="eastAsia"/>
        </w:rPr>
      </w:pPr>
      <w:r>
        <w:rPr>
          <w:rFonts w:hint="eastAsia"/>
        </w:rPr>
        <w:t>（9）与本标段的监理人或代建人或招标代理机构相互任职或工作的；</w:t>
      </w:r>
    </w:p>
    <w:p>
      <w:pPr>
        <w:ind w:firstLine="420" w:firstLineChars="200"/>
        <w:rPr>
          <w:rFonts w:hint="eastAsia"/>
        </w:rPr>
      </w:pPr>
      <w:r>
        <w:rPr>
          <w:rFonts w:hint="eastAsia"/>
        </w:rPr>
        <w:t>（10）被责令停产停业、暂扣或者吊销许可证、暂扣或者吊销执照；</w:t>
      </w:r>
    </w:p>
    <w:p>
      <w:pPr>
        <w:ind w:firstLine="420" w:firstLineChars="200"/>
        <w:rPr>
          <w:rFonts w:hint="eastAsia"/>
        </w:rPr>
      </w:pPr>
      <w:r>
        <w:rPr>
          <w:rFonts w:hint="eastAsia"/>
        </w:rPr>
        <w:t>（11）进入清算程序，或被宣告破产；</w:t>
      </w:r>
    </w:p>
    <w:p>
      <w:pPr>
        <w:ind w:firstLine="420" w:firstLineChars="200"/>
        <w:rPr>
          <w:rFonts w:hint="eastAsia"/>
        </w:rPr>
      </w:pPr>
      <w:r>
        <w:rPr>
          <w:rFonts w:hint="eastAsia"/>
        </w:rPr>
        <w:t>（12）被依法暂停或取消投标资格的（以相关主管部门的行政处罚决定为准）；</w:t>
      </w:r>
    </w:p>
    <w:p>
      <w:pPr>
        <w:ind w:firstLine="420" w:firstLineChars="200"/>
        <w:rPr>
          <w:rFonts w:hint="eastAsia"/>
        </w:rPr>
      </w:pPr>
      <w:r>
        <w:rPr>
          <w:rFonts w:hint="eastAsia"/>
        </w:rPr>
        <w:t>（13）法律法规或投标人须知前附表规定的其他情形。</w:t>
      </w:r>
    </w:p>
    <w:p>
      <w:pPr>
        <w:pStyle w:val="56"/>
        <w:rPr>
          <w:rFonts w:hint="eastAsia"/>
        </w:rPr>
      </w:pPr>
      <w:r>
        <w:rPr>
          <w:rFonts w:hint="eastAsia"/>
        </w:rPr>
        <w:t>1.5 费用承担</w:t>
      </w:r>
    </w:p>
    <w:p>
      <w:pPr>
        <w:ind w:firstLine="420" w:firstLineChars="200"/>
        <w:rPr>
          <w:rFonts w:hint="eastAsia"/>
        </w:rPr>
      </w:pPr>
      <w:r>
        <w:rPr>
          <w:rFonts w:hint="eastAsia"/>
        </w:rPr>
        <w:t>投标人准备和参加投标活动发生的费用自理。</w:t>
      </w:r>
    </w:p>
    <w:p>
      <w:pPr>
        <w:pStyle w:val="56"/>
        <w:rPr>
          <w:rFonts w:hint="eastAsia"/>
        </w:rPr>
      </w:pPr>
      <w:r>
        <w:rPr>
          <w:rFonts w:hint="eastAsia"/>
        </w:rPr>
        <w:t>1.6 保密</w:t>
      </w:r>
    </w:p>
    <w:p>
      <w:pPr>
        <w:ind w:firstLine="420" w:firstLineChars="200"/>
        <w:rPr>
          <w:rFonts w:hint="eastAsia"/>
        </w:rPr>
      </w:pPr>
      <w:r>
        <w:rPr>
          <w:rFonts w:hint="eastAsia"/>
        </w:rPr>
        <w:t xml:space="preserve">参与招标投标活动的各方应对招标文件和投标文件中的商业和技术等秘密保密，违者应对由此造成的后果承担法律责任。 </w:t>
      </w:r>
    </w:p>
    <w:p>
      <w:pPr>
        <w:pStyle w:val="56"/>
        <w:rPr>
          <w:rFonts w:hint="eastAsia"/>
        </w:rPr>
      </w:pPr>
      <w:r>
        <w:rPr>
          <w:rFonts w:hint="eastAsia"/>
        </w:rPr>
        <w:t>1.7 语言文字</w:t>
      </w:r>
    </w:p>
    <w:p>
      <w:pPr>
        <w:ind w:firstLine="420" w:firstLineChars="200"/>
        <w:rPr>
          <w:rFonts w:hint="eastAsia"/>
        </w:rPr>
      </w:pPr>
      <w:r>
        <w:rPr>
          <w:rFonts w:hint="eastAsia"/>
        </w:rPr>
        <w:t>除专用术语外，与招标投标有关的语言均使用中文。必要时专用术语应附有中文注释。</w:t>
      </w:r>
    </w:p>
    <w:p>
      <w:pPr>
        <w:pStyle w:val="56"/>
        <w:rPr>
          <w:rFonts w:hint="eastAsia"/>
        </w:rPr>
      </w:pPr>
      <w:r>
        <w:rPr>
          <w:rFonts w:hint="eastAsia"/>
        </w:rPr>
        <w:t>1.8 计量单位</w:t>
      </w:r>
    </w:p>
    <w:p>
      <w:pPr>
        <w:ind w:firstLine="420" w:firstLineChars="200"/>
        <w:rPr>
          <w:rFonts w:hint="eastAsia"/>
        </w:rPr>
      </w:pPr>
      <w:r>
        <w:rPr>
          <w:rFonts w:hint="eastAsia"/>
        </w:rPr>
        <w:t>所有计量均采用中华人民共和国法定计量单位。</w:t>
      </w:r>
    </w:p>
    <w:p>
      <w:pPr>
        <w:pStyle w:val="56"/>
        <w:rPr>
          <w:rFonts w:hint="eastAsia"/>
        </w:rPr>
      </w:pPr>
      <w:r>
        <w:rPr>
          <w:rFonts w:hint="eastAsia"/>
        </w:rPr>
        <w:t>1.9 踏勘现场</w:t>
      </w:r>
    </w:p>
    <w:p>
      <w:pPr>
        <w:ind w:firstLine="420" w:firstLineChars="200"/>
        <w:rPr>
          <w:rFonts w:hint="eastAsia"/>
        </w:rPr>
      </w:pPr>
      <w:r>
        <w:rPr>
          <w:rFonts w:hint="eastAsia"/>
        </w:rPr>
        <w:t>见投标人须知前附表。</w:t>
      </w:r>
    </w:p>
    <w:p>
      <w:pPr>
        <w:pStyle w:val="56"/>
        <w:rPr>
          <w:rFonts w:hint="eastAsia"/>
        </w:rPr>
      </w:pPr>
      <w:r>
        <w:rPr>
          <w:rFonts w:hint="eastAsia"/>
        </w:rPr>
        <w:t>1.10 投标预备会</w:t>
      </w:r>
    </w:p>
    <w:p>
      <w:pPr>
        <w:ind w:firstLine="420" w:firstLineChars="200"/>
        <w:rPr>
          <w:rFonts w:hint="eastAsia"/>
        </w:rPr>
      </w:pPr>
      <w:r>
        <w:rPr>
          <w:rFonts w:hint="eastAsia"/>
        </w:rPr>
        <w:t>见投标人须知前附表。</w:t>
      </w:r>
    </w:p>
    <w:p>
      <w:pPr>
        <w:pStyle w:val="56"/>
        <w:rPr>
          <w:rFonts w:hint="eastAsia"/>
        </w:rPr>
      </w:pPr>
      <w:r>
        <w:rPr>
          <w:rFonts w:hint="eastAsia"/>
        </w:rPr>
        <w:t>1.11 分包</w:t>
      </w:r>
    </w:p>
    <w:p>
      <w:pPr>
        <w:ind w:firstLine="420" w:firstLineChars="200"/>
        <w:rPr>
          <w:rFonts w:hint="eastAsia"/>
        </w:rPr>
      </w:pPr>
      <w:r>
        <w:rPr>
          <w:rFonts w:hint="eastAsia"/>
        </w:rPr>
        <w:t>投标人须知前附表规定允许分包的，符合投标人须知前附表规定的分包内容、分包金额和接受分包的第三人资质要求等限制性条件。</w:t>
      </w:r>
    </w:p>
    <w:p>
      <w:pPr>
        <w:pStyle w:val="56"/>
        <w:rPr>
          <w:rFonts w:hint="eastAsia"/>
        </w:rPr>
      </w:pPr>
      <w:r>
        <w:rPr>
          <w:rFonts w:hint="eastAsia"/>
        </w:rPr>
        <w:t>1.12 偏离</w:t>
      </w:r>
    </w:p>
    <w:p>
      <w:pPr>
        <w:ind w:firstLine="420" w:firstLineChars="200"/>
        <w:rPr>
          <w:rFonts w:hint="eastAsia"/>
        </w:rPr>
      </w:pPr>
      <w:r>
        <w:rPr>
          <w:rFonts w:hint="eastAsia"/>
        </w:rPr>
        <w:t>投标人须知前附表允许投标文件偏离招标文件某些要求的，偏离应当符合招标文件规定的偏离范围和幅度。</w:t>
      </w:r>
    </w:p>
    <w:p>
      <w:pPr>
        <w:pStyle w:val="57"/>
      </w:pPr>
      <w:r>
        <w:rPr>
          <w:rFonts w:hint="eastAsia"/>
        </w:rPr>
        <w:t>2. 招标文件</w:t>
      </w:r>
    </w:p>
    <w:p>
      <w:pPr>
        <w:pStyle w:val="56"/>
        <w:rPr>
          <w:rFonts w:hint="eastAsia"/>
        </w:rPr>
      </w:pPr>
      <w:r>
        <w:rPr>
          <w:rFonts w:hint="eastAsia"/>
        </w:rPr>
        <w:t>2.1 招标文件的组成</w:t>
      </w:r>
    </w:p>
    <w:p>
      <w:pPr>
        <w:ind w:firstLine="420" w:firstLineChars="200"/>
        <w:rPr>
          <w:rFonts w:hint="eastAsia"/>
        </w:rPr>
      </w:pPr>
      <w:r>
        <w:rPr>
          <w:rFonts w:hint="eastAsia"/>
        </w:rPr>
        <w:t>本招标文件包括：</w:t>
      </w:r>
    </w:p>
    <w:p>
      <w:pPr>
        <w:ind w:firstLine="420" w:firstLineChars="200"/>
        <w:rPr>
          <w:rFonts w:hint="eastAsia"/>
        </w:rPr>
      </w:pPr>
      <w:r>
        <w:rPr>
          <w:rFonts w:hint="eastAsia"/>
        </w:rPr>
        <w:t>（1）招标公告；</w:t>
      </w:r>
    </w:p>
    <w:p>
      <w:pPr>
        <w:ind w:firstLine="420" w:firstLineChars="200"/>
        <w:rPr>
          <w:rFonts w:hint="eastAsia"/>
        </w:rPr>
      </w:pPr>
      <w:r>
        <w:rPr>
          <w:rFonts w:hint="eastAsia"/>
        </w:rPr>
        <w:t>（2）投标人须知；</w:t>
      </w:r>
    </w:p>
    <w:p>
      <w:pPr>
        <w:ind w:firstLine="420" w:firstLineChars="200"/>
        <w:rPr>
          <w:rFonts w:hint="eastAsia"/>
        </w:rPr>
      </w:pPr>
      <w:r>
        <w:rPr>
          <w:rFonts w:hint="eastAsia"/>
        </w:rPr>
        <w:t>（3）评标办法；</w:t>
      </w:r>
    </w:p>
    <w:p>
      <w:pPr>
        <w:ind w:firstLine="420" w:firstLineChars="200"/>
        <w:rPr>
          <w:rFonts w:hint="eastAsia"/>
        </w:rPr>
      </w:pPr>
      <w:r>
        <w:rPr>
          <w:rFonts w:hint="eastAsia"/>
        </w:rPr>
        <w:t>（4）合同条款及格式；</w:t>
      </w:r>
    </w:p>
    <w:p>
      <w:pPr>
        <w:ind w:firstLine="420" w:firstLineChars="200"/>
        <w:rPr>
          <w:rFonts w:hint="eastAsia"/>
        </w:rPr>
      </w:pPr>
      <w:r>
        <w:rPr>
          <w:rFonts w:hint="eastAsia"/>
        </w:rPr>
        <w:t xml:space="preserve">（5）工程量清单； </w:t>
      </w:r>
    </w:p>
    <w:p>
      <w:pPr>
        <w:ind w:firstLine="420" w:firstLineChars="200"/>
        <w:rPr>
          <w:rFonts w:hint="eastAsia"/>
        </w:rPr>
      </w:pPr>
      <w:r>
        <w:rPr>
          <w:rFonts w:hint="eastAsia"/>
        </w:rPr>
        <w:t xml:space="preserve">（6）技术标准和要求； </w:t>
      </w:r>
    </w:p>
    <w:p>
      <w:pPr>
        <w:ind w:firstLine="420" w:firstLineChars="200"/>
        <w:rPr>
          <w:rFonts w:hint="eastAsia"/>
        </w:rPr>
      </w:pPr>
      <w:r>
        <w:rPr>
          <w:rFonts w:hint="eastAsia"/>
        </w:rPr>
        <w:t>（7）投标文件格式；</w:t>
      </w:r>
    </w:p>
    <w:p>
      <w:pPr>
        <w:ind w:firstLine="420" w:firstLineChars="200"/>
        <w:rPr>
          <w:rFonts w:hint="eastAsia"/>
        </w:rPr>
      </w:pPr>
      <w:r>
        <w:rPr>
          <w:rFonts w:hint="eastAsia"/>
        </w:rPr>
        <w:t>（8）投标人须知前附表规定的其他材料。</w:t>
      </w:r>
    </w:p>
    <w:p>
      <w:pPr>
        <w:ind w:firstLine="420" w:firstLineChars="200"/>
        <w:rPr>
          <w:rFonts w:hint="eastAsia"/>
        </w:rPr>
      </w:pPr>
      <w:r>
        <w:rPr>
          <w:rFonts w:hint="eastAsia"/>
        </w:rPr>
        <w:t>根据本章第1.10款、第2.2款和第2.3款对招标文件所作的澄清、修改，构成招标文件的组成部分。</w:t>
      </w:r>
    </w:p>
    <w:p>
      <w:pPr>
        <w:pStyle w:val="56"/>
        <w:rPr>
          <w:rFonts w:hint="eastAsia"/>
        </w:rPr>
      </w:pPr>
      <w:r>
        <w:rPr>
          <w:rFonts w:hint="eastAsia"/>
        </w:rPr>
        <w:t>2.2 招标文件的澄清</w:t>
      </w:r>
    </w:p>
    <w:p>
      <w:pPr>
        <w:ind w:firstLine="420" w:firstLineChars="200"/>
        <w:rPr>
          <w:rFonts w:hint="eastAsia"/>
        </w:rPr>
      </w:pPr>
      <w:r>
        <w:rPr>
          <w:rFonts w:hint="eastAsia"/>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ind w:firstLine="420" w:firstLineChars="200"/>
        <w:rPr>
          <w:rFonts w:hint="eastAsia"/>
        </w:rPr>
      </w:pPr>
      <w:r>
        <w:rPr>
          <w:rFonts w:hint="eastAsia"/>
        </w:rPr>
        <w:t>2.2.2 招标文件的澄清将在投标人须知前附表规定的投标截止时间10天前以书面形式发给所有购买招标文件的投标人，但不指明澄清问题的来源。如果澄清发出的时间距投标截止时间不足10天，相应延长投标截止时间。</w:t>
      </w:r>
    </w:p>
    <w:p>
      <w:pPr>
        <w:ind w:firstLine="420" w:firstLineChars="200"/>
        <w:rPr>
          <w:rFonts w:hint="eastAsia"/>
        </w:rPr>
      </w:pPr>
      <w:r>
        <w:rPr>
          <w:rFonts w:hint="eastAsia"/>
        </w:rPr>
        <w:t>2.2.3 投标人在收到澄清后，应在投标人须知前附表规定的时间和方式通知招标人，确认已收到该澄清。</w:t>
      </w:r>
    </w:p>
    <w:p>
      <w:pPr>
        <w:ind w:firstLine="420" w:firstLineChars="200"/>
        <w:rPr>
          <w:rFonts w:hint="eastAsia"/>
        </w:rPr>
      </w:pPr>
      <w:r>
        <w:rPr>
          <w:rFonts w:hint="eastAsia"/>
        </w:rPr>
        <w:t>2.2.4 采用未进行资格预审方式的，则投标人提出问题和招标人澄清的方式见投标人须知前附表第2.2.1-2.2.3项。</w:t>
      </w:r>
    </w:p>
    <w:p>
      <w:pPr>
        <w:pStyle w:val="56"/>
        <w:rPr>
          <w:rFonts w:hint="eastAsia"/>
        </w:rPr>
      </w:pPr>
      <w:r>
        <w:rPr>
          <w:rFonts w:hint="eastAsia"/>
        </w:rPr>
        <w:t>2.3 招标文件的修改</w:t>
      </w:r>
    </w:p>
    <w:p>
      <w:pPr>
        <w:ind w:firstLine="420" w:firstLineChars="200"/>
        <w:rPr>
          <w:rFonts w:hint="eastAsia"/>
        </w:rPr>
      </w:pPr>
      <w:r>
        <w:rPr>
          <w:rFonts w:hint="eastAsia"/>
        </w:rPr>
        <w:t>2.3.1招标人可以对已发出的招标文件进行必要的修改。</w:t>
      </w:r>
    </w:p>
    <w:p>
      <w:pPr>
        <w:ind w:firstLine="420" w:firstLineChars="200"/>
        <w:rPr>
          <w:rFonts w:hint="eastAsia"/>
        </w:rPr>
      </w:pPr>
      <w:r>
        <w:rPr>
          <w:rFonts w:hint="eastAsia"/>
        </w:rPr>
        <w:t>2.3.2 投标人收到修改内容后，确认已收到该修改的方式见投标人须知前附表。</w:t>
      </w:r>
    </w:p>
    <w:p>
      <w:pPr>
        <w:pStyle w:val="57"/>
      </w:pPr>
      <w:r>
        <w:rPr>
          <w:rFonts w:hint="eastAsia"/>
        </w:rPr>
        <w:t>3. 投标文件</w:t>
      </w:r>
    </w:p>
    <w:p>
      <w:pPr>
        <w:pStyle w:val="56"/>
        <w:rPr>
          <w:rFonts w:hint="eastAsia"/>
        </w:rPr>
      </w:pPr>
      <w:r>
        <w:rPr>
          <w:rFonts w:hint="eastAsia"/>
        </w:rPr>
        <w:t>3.1 投标文件的组成</w:t>
      </w:r>
    </w:p>
    <w:p>
      <w:pPr>
        <w:pStyle w:val="56"/>
        <w:ind w:firstLine="420" w:firstLineChars="200"/>
        <w:rPr>
          <w:rFonts w:hint="eastAsia" w:eastAsia="宋体" w:cs="Times New Roman"/>
          <w:sz w:val="21"/>
          <w:szCs w:val="24"/>
        </w:rPr>
      </w:pPr>
      <w:r>
        <w:rPr>
          <w:rFonts w:hint="eastAsia" w:eastAsia="宋体" w:cs="Times New Roman"/>
          <w:sz w:val="21"/>
          <w:szCs w:val="24"/>
        </w:rPr>
        <w:t>投标文件由资审文件、价格标、商务技术标组成。</w:t>
      </w:r>
    </w:p>
    <w:p>
      <w:pPr>
        <w:pStyle w:val="56"/>
        <w:ind w:firstLine="420" w:firstLineChars="200"/>
        <w:rPr>
          <w:rFonts w:hint="eastAsia" w:eastAsia="宋体" w:cs="Times New Roman"/>
          <w:sz w:val="21"/>
          <w:szCs w:val="24"/>
        </w:rPr>
      </w:pPr>
      <w:r>
        <w:rPr>
          <w:rFonts w:hint="eastAsia" w:eastAsia="宋体" w:cs="Times New Roman"/>
          <w:sz w:val="21"/>
          <w:szCs w:val="24"/>
        </w:rPr>
        <w:t>主要内容见投标人须知前附表一3.1.1。</w:t>
      </w:r>
    </w:p>
    <w:p>
      <w:pPr>
        <w:pStyle w:val="56"/>
        <w:rPr>
          <w:rFonts w:hint="eastAsia"/>
        </w:rPr>
      </w:pPr>
      <w:r>
        <w:rPr>
          <w:rFonts w:hint="eastAsia"/>
        </w:rPr>
        <w:t>3.2 投标报价</w:t>
      </w:r>
    </w:p>
    <w:p>
      <w:pPr>
        <w:ind w:firstLine="420" w:firstLineChars="200"/>
        <w:rPr>
          <w:rFonts w:hint="eastAsia"/>
        </w:rPr>
      </w:pPr>
      <w:r>
        <w:rPr>
          <w:rFonts w:hint="eastAsia"/>
        </w:rPr>
        <w:t>3.2.1 投标人应按“工程量分项报价表”的要求填写相应表格。</w:t>
      </w:r>
    </w:p>
    <w:p>
      <w:pPr>
        <w:ind w:firstLine="420" w:firstLineChars="200"/>
        <w:rPr>
          <w:rFonts w:hint="eastAsia"/>
        </w:rPr>
      </w:pPr>
      <w:r>
        <w:rPr>
          <w:rFonts w:hint="eastAsia"/>
        </w:rPr>
        <w:t>3.2.2 投标人在投标截止时间前修改投标函中的投标报价，应同时修改“工程量分项报价表”中的相应报价。此修改须符合本章第4.3款的有关要求。</w:t>
      </w:r>
    </w:p>
    <w:p>
      <w:pPr>
        <w:ind w:firstLine="420" w:firstLineChars="200"/>
        <w:rPr>
          <w:rFonts w:hint="eastAsia"/>
        </w:rPr>
      </w:pPr>
      <w:r>
        <w:rPr>
          <w:rFonts w:hint="eastAsia"/>
        </w:rPr>
        <w:t>3.2.3 本工程施工现场水电由招标人免费提供。</w:t>
      </w:r>
    </w:p>
    <w:p>
      <w:pPr>
        <w:pStyle w:val="56"/>
        <w:rPr>
          <w:rFonts w:hint="eastAsia"/>
        </w:rPr>
      </w:pPr>
      <w:r>
        <w:rPr>
          <w:rFonts w:hint="eastAsia"/>
        </w:rPr>
        <w:t>3.3 投标有效期</w:t>
      </w:r>
    </w:p>
    <w:p>
      <w:pPr>
        <w:ind w:firstLine="420" w:firstLineChars="200"/>
        <w:rPr>
          <w:rFonts w:hint="eastAsia"/>
        </w:rPr>
      </w:pPr>
      <w:r>
        <w:rPr>
          <w:rFonts w:hint="eastAsia"/>
        </w:rPr>
        <w:t>3.3.1 在投标人须知前附表规定的投标有效期内，投标人不得要求撤销或修改其投标文件。</w:t>
      </w:r>
    </w:p>
    <w:p>
      <w:pPr>
        <w:ind w:firstLine="420" w:firstLineChars="200"/>
        <w:rPr>
          <w:rFonts w:hint="eastAsia"/>
        </w:rPr>
      </w:pPr>
      <w:r>
        <w:rPr>
          <w:rFonts w:hint="eastAsia"/>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6"/>
        <w:rPr>
          <w:rFonts w:hint="eastAsia"/>
        </w:rPr>
      </w:pPr>
      <w:r>
        <w:rPr>
          <w:rFonts w:hint="eastAsia"/>
        </w:rPr>
        <w:t>3.4投标保证金</w:t>
      </w:r>
    </w:p>
    <w:p>
      <w:pPr>
        <w:ind w:firstLine="420" w:firstLineChars="200"/>
        <w:rPr>
          <w:rFonts w:hint="eastAsia"/>
        </w:rPr>
      </w:pPr>
      <w:r>
        <w:rPr>
          <w:rFonts w:hint="eastAsia"/>
        </w:rPr>
        <w:t>3.4.1投标人应按招标文件要求提交投标保证金。</w:t>
      </w:r>
    </w:p>
    <w:p>
      <w:pPr>
        <w:ind w:firstLine="420" w:firstLineChars="200"/>
        <w:rPr>
          <w:rFonts w:hint="eastAsia"/>
        </w:rPr>
      </w:pPr>
      <w:r>
        <w:rPr>
          <w:rFonts w:hint="eastAsia"/>
        </w:rPr>
        <w:t>3.4.2招标人应当在中标通知书发出后5个工作日内，向未中标人退还投标保证金；在书面合同签订后5日内向中标人退还投标保证金。</w:t>
      </w:r>
    </w:p>
    <w:p>
      <w:pPr>
        <w:ind w:firstLine="420" w:firstLineChars="200"/>
        <w:rPr>
          <w:rFonts w:hint="eastAsia"/>
        </w:rPr>
      </w:pPr>
      <w:r>
        <w:rPr>
          <w:rFonts w:hint="eastAsia"/>
        </w:rPr>
        <w:t>3.4.3投标截止后投标人撤销投标文件的，招标人可以不退还投标保证金。中标人无正当理由不与招标人订立合同，在签订合同时向招标人提出附加条件，或者不按照招标文件要求提交履约保证金的，取消其中标资格，投标保证金不予退还。</w:t>
      </w:r>
    </w:p>
    <w:p>
      <w:pPr>
        <w:pStyle w:val="56"/>
        <w:rPr>
          <w:rFonts w:hint="eastAsia"/>
        </w:rPr>
      </w:pPr>
      <w:r>
        <w:rPr>
          <w:rFonts w:hint="eastAsia"/>
        </w:rPr>
        <w:t>3.5 资格审查资料，以下资料只需提供扫描件加盖单位公章。</w:t>
      </w:r>
    </w:p>
    <w:p>
      <w:pPr>
        <w:ind w:firstLine="420" w:firstLineChars="200"/>
        <w:rPr>
          <w:rFonts w:hint="eastAsia"/>
          <w:szCs w:val="21"/>
        </w:rPr>
      </w:pPr>
      <w:r>
        <w:rPr>
          <w:rFonts w:hint="eastAsia"/>
        </w:rPr>
        <w:t>3.5.1 “投标人基本情况表”，并附企业营业执照、企业资质证书扫描件；</w:t>
      </w:r>
    </w:p>
    <w:p>
      <w:pPr>
        <w:ind w:firstLine="420" w:firstLineChars="200"/>
        <w:rPr>
          <w:rFonts w:hint="eastAsia"/>
        </w:rPr>
      </w:pPr>
      <w:r>
        <w:rPr>
          <w:rFonts w:hint="eastAsia"/>
        </w:rPr>
        <w:t>3.5.2 “近年财务状况表”</w:t>
      </w:r>
      <w:r>
        <w:rPr>
          <w:rFonts w:hint="eastAsia"/>
          <w:b/>
        </w:rPr>
        <w:t>：不要求提供；</w:t>
      </w:r>
    </w:p>
    <w:p>
      <w:pPr>
        <w:ind w:firstLine="420" w:firstLineChars="200"/>
        <w:rPr>
          <w:rFonts w:hint="eastAsia"/>
        </w:rPr>
      </w:pPr>
      <w:r>
        <w:rPr>
          <w:rFonts w:hint="eastAsia"/>
        </w:rPr>
        <w:t>3.5.3 “近年完成的类似项目业绩情况表”</w:t>
      </w:r>
      <w:r>
        <w:rPr>
          <w:rFonts w:hint="eastAsia"/>
          <w:b/>
        </w:rPr>
        <w:t>：不要求提供；</w:t>
      </w:r>
    </w:p>
    <w:p>
      <w:pPr>
        <w:ind w:firstLine="420" w:firstLineChars="200"/>
        <w:rPr>
          <w:rFonts w:hint="eastAsia"/>
        </w:rPr>
      </w:pPr>
      <w:r>
        <w:rPr>
          <w:rFonts w:hint="eastAsia"/>
        </w:rPr>
        <w:t>3.5.4 “正在施工和新承接的项目情况表”</w:t>
      </w:r>
      <w:r>
        <w:rPr>
          <w:rFonts w:hint="eastAsia"/>
          <w:b/>
        </w:rPr>
        <w:t>：不要求提供；</w:t>
      </w:r>
    </w:p>
    <w:p>
      <w:pPr>
        <w:ind w:firstLine="420" w:firstLineChars="200"/>
        <w:rPr>
          <w:rFonts w:hint="eastAsia"/>
        </w:rPr>
      </w:pPr>
      <w:r>
        <w:rPr>
          <w:rFonts w:hint="eastAsia"/>
        </w:rPr>
        <w:t>3.5.5 “近年发生的诉讼及仲裁情况”</w:t>
      </w:r>
      <w:r>
        <w:rPr>
          <w:rFonts w:hint="eastAsia"/>
          <w:b/>
        </w:rPr>
        <w:t>：不要求提供；</w:t>
      </w:r>
    </w:p>
    <w:p>
      <w:pPr>
        <w:ind w:firstLine="420" w:firstLineChars="200"/>
        <w:rPr>
          <w:rFonts w:hint="eastAsia"/>
        </w:rPr>
      </w:pPr>
      <w:r>
        <w:rPr>
          <w:rFonts w:hint="eastAsia"/>
        </w:rPr>
        <w:t>3.5.6 项目管理机构一览表：</w:t>
      </w:r>
      <w:r>
        <w:rPr>
          <w:rFonts w:hint="eastAsia"/>
          <w:b/>
        </w:rPr>
        <w:t>中标后提供，附相关证书；</w:t>
      </w:r>
    </w:p>
    <w:p>
      <w:pPr>
        <w:ind w:firstLine="420" w:firstLineChars="200"/>
        <w:rPr>
          <w:rFonts w:hint="eastAsia"/>
        </w:rPr>
      </w:pPr>
      <w:r>
        <w:rPr>
          <w:rFonts w:hint="eastAsia"/>
        </w:rPr>
        <w:t>3.5.7投标人须知前附表规定如接受联合体投标的，则投标人如为联合体的提供联合体共同投标协议书，联合体协议书内容必须符合要求；本章第3.5.1项至第3.5.6项规定的表格和资料应包括联合体各方相关情况；</w:t>
      </w:r>
    </w:p>
    <w:p>
      <w:pPr>
        <w:ind w:firstLine="420" w:firstLineChars="200"/>
        <w:rPr>
          <w:rFonts w:hint="eastAsia"/>
          <w:bCs/>
        </w:rPr>
      </w:pPr>
      <w:r>
        <w:rPr>
          <w:rFonts w:hint="eastAsia"/>
          <w:bCs/>
        </w:rPr>
        <w:t>3.5.8 企业《安全生产许可证》证书副本</w:t>
      </w:r>
      <w:r>
        <w:rPr>
          <w:rFonts w:hint="eastAsia"/>
          <w:szCs w:val="21"/>
        </w:rPr>
        <w:t>扫描件</w:t>
      </w:r>
      <w:r>
        <w:rPr>
          <w:rFonts w:hint="eastAsia"/>
        </w:rPr>
        <w:t>（建设行政主管部门颁证机构已经</w:t>
      </w:r>
      <w:r>
        <w:t>启用建筑施工企业安全生产许可证电子证书</w:t>
      </w:r>
      <w:r>
        <w:rPr>
          <w:rFonts w:hint="eastAsia"/>
        </w:rPr>
        <w:t>且企业已经办理</w:t>
      </w:r>
      <w:r>
        <w:t>电子证书</w:t>
      </w:r>
      <w:r>
        <w:rPr>
          <w:rFonts w:hint="eastAsia"/>
        </w:rPr>
        <w:t>的，企业提供有效的</w:t>
      </w:r>
      <w:r>
        <w:t>安全生产许可证电子证书</w:t>
      </w:r>
      <w:r>
        <w:rPr>
          <w:rFonts w:hint="eastAsia"/>
        </w:rPr>
        <w:t>打印件后并加盖公章）</w:t>
      </w:r>
      <w:r>
        <w:rPr>
          <w:rFonts w:hint="eastAsia"/>
          <w:bCs/>
        </w:rPr>
        <w:t>；</w:t>
      </w:r>
    </w:p>
    <w:p>
      <w:pPr>
        <w:ind w:firstLine="420" w:firstLineChars="200"/>
        <w:rPr>
          <w:rFonts w:hint="eastAsia"/>
        </w:rPr>
      </w:pPr>
      <w:r>
        <w:rPr>
          <w:rFonts w:hint="eastAsia"/>
        </w:rPr>
        <w:t>3.5.9参加采购、招投标等活动前三年内（新成立不满三年的组织机构自成立之日起算）在经营活动中没有违法记录的承诺函。</w:t>
      </w:r>
    </w:p>
    <w:p>
      <w:pPr>
        <w:ind w:firstLine="420" w:firstLineChars="200"/>
        <w:rPr>
          <w:rFonts w:hint="eastAsia"/>
        </w:rPr>
      </w:pPr>
      <w:r>
        <w:rPr>
          <w:rFonts w:hint="eastAsia"/>
        </w:rPr>
        <w:t>3.5.10投标人须知前附表规定的资格审查其他材料，见投标人须知前附表。</w:t>
      </w:r>
    </w:p>
    <w:bookmarkEnd w:id="65"/>
    <w:bookmarkEnd w:id="66"/>
    <w:bookmarkEnd w:id="67"/>
    <w:bookmarkEnd w:id="68"/>
    <w:p>
      <w:pPr>
        <w:pStyle w:val="56"/>
        <w:rPr>
          <w:rFonts w:hint="eastAsia"/>
        </w:rPr>
      </w:pPr>
      <w:r>
        <w:rPr>
          <w:rFonts w:hint="eastAsia"/>
        </w:rPr>
        <w:t>3.6 备选投标方案</w:t>
      </w:r>
    </w:p>
    <w:p>
      <w:pPr>
        <w:ind w:firstLine="420" w:firstLineChars="200"/>
        <w:rPr>
          <w:rFonts w:hint="eastAsia"/>
        </w:rPr>
      </w:pPr>
      <w:r>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6"/>
        <w:rPr>
          <w:rFonts w:hint="eastAsia"/>
        </w:rPr>
      </w:pPr>
      <w:r>
        <w:rPr>
          <w:rFonts w:hint="eastAsia"/>
        </w:rPr>
        <w:t>3.7 投标文件的编制</w:t>
      </w:r>
    </w:p>
    <w:p>
      <w:pPr>
        <w:ind w:firstLine="420" w:firstLineChars="200"/>
        <w:rPr>
          <w:rFonts w:hint="eastAsia"/>
        </w:rPr>
      </w:pPr>
      <w:r>
        <w:rPr>
          <w:rFonts w:hint="eastAsia"/>
        </w:rPr>
        <w:t>3.7.1投标文件应按第八章“投标文件格式”进行编写，如有必要，可以增加附页，作为投标文件的组成部分。</w:t>
      </w:r>
    </w:p>
    <w:p>
      <w:pPr>
        <w:ind w:firstLine="420" w:firstLineChars="200"/>
        <w:rPr>
          <w:rFonts w:hint="eastAsia"/>
        </w:rPr>
      </w:pPr>
      <w:r>
        <w:rPr>
          <w:rFonts w:hint="eastAsia"/>
        </w:rPr>
        <w:t>3.7.2 投标文件应当对招标文件有关工期、投标有效期、质量要求、技术标准和要求、招标范围等实质性内容作出响应。</w:t>
      </w:r>
    </w:p>
    <w:p>
      <w:pPr>
        <w:ind w:firstLine="420" w:firstLineChars="200"/>
        <w:rPr>
          <w:rFonts w:hint="eastAsia"/>
        </w:rPr>
      </w:pPr>
      <w:r>
        <w:rPr>
          <w:rFonts w:hint="eastAsia"/>
        </w:rPr>
        <w:t xml:space="preserve">3.7.3投标文件签字或盖章的具体要求见投标人须知前附表。 </w:t>
      </w:r>
    </w:p>
    <w:p>
      <w:pPr>
        <w:ind w:firstLine="420" w:firstLineChars="200"/>
        <w:rPr>
          <w:rFonts w:hint="eastAsia"/>
        </w:rPr>
      </w:pPr>
      <w:r>
        <w:rPr>
          <w:rFonts w:hint="eastAsia"/>
        </w:rPr>
        <w:t>3.7.4本项目通过“浙江省海港集团电子招标采购平台”实行在线投标响应（电子投标）。</w:t>
      </w:r>
    </w:p>
    <w:p>
      <w:pPr>
        <w:pStyle w:val="57"/>
      </w:pPr>
      <w:r>
        <w:rPr>
          <w:rFonts w:hint="eastAsia"/>
        </w:rPr>
        <w:t>4. 投标</w:t>
      </w:r>
    </w:p>
    <w:p>
      <w:pPr>
        <w:pStyle w:val="56"/>
        <w:rPr>
          <w:rFonts w:hint="eastAsia"/>
        </w:rPr>
      </w:pPr>
      <w:r>
        <w:rPr>
          <w:rFonts w:hint="eastAsia"/>
        </w:rPr>
        <w:t>4.1 投标文件的上传、递交</w:t>
      </w:r>
    </w:p>
    <w:p>
      <w:pPr>
        <w:ind w:firstLine="420" w:firstLineChars="200"/>
        <w:rPr>
          <w:rFonts w:hint="eastAsia"/>
        </w:rPr>
      </w:pPr>
      <w:r>
        <w:rPr>
          <w:rFonts w:hint="eastAsia"/>
        </w:rPr>
        <w:t>4.1.1投标人应在投标人须知前附表规定的投标截止时间前递交投标文件。</w:t>
      </w:r>
    </w:p>
    <w:p>
      <w:pPr>
        <w:ind w:firstLine="420" w:firstLineChars="200"/>
        <w:rPr>
          <w:rFonts w:hint="eastAsia"/>
        </w:rPr>
      </w:pPr>
      <w:r>
        <w:rPr>
          <w:rFonts w:hint="eastAsia"/>
        </w:rPr>
        <w:t>4.1.2投标人递交投标文件的地点：见投标人须知前附表。</w:t>
      </w:r>
    </w:p>
    <w:p>
      <w:pPr>
        <w:ind w:firstLine="420" w:firstLineChars="200"/>
        <w:rPr>
          <w:rFonts w:hint="eastAsia"/>
        </w:rPr>
      </w:pPr>
      <w:r>
        <w:rPr>
          <w:rFonts w:hint="eastAsia"/>
        </w:rPr>
        <w:t>4.1.3 除投标人须知前附表另有规定外，投标人所递交的投标文件不予退还。</w:t>
      </w:r>
    </w:p>
    <w:p>
      <w:pPr>
        <w:ind w:firstLine="420" w:firstLineChars="200"/>
        <w:rPr>
          <w:rFonts w:hint="eastAsia"/>
        </w:rPr>
      </w:pPr>
      <w:r>
        <w:rPr>
          <w:rFonts w:hint="eastAsia"/>
        </w:rPr>
        <w:t>4.1.4 逾期送达的投标文件，招标人将予以拒收。</w:t>
      </w:r>
    </w:p>
    <w:p>
      <w:pPr>
        <w:ind w:firstLine="420" w:firstLineChars="200"/>
        <w:rPr>
          <w:rFonts w:hint="eastAsia"/>
        </w:rPr>
      </w:pPr>
      <w:r>
        <w:rPr>
          <w:rFonts w:hint="eastAsia"/>
        </w:rPr>
        <w:t>4.1.5</w:t>
      </w:r>
      <w:r>
        <w:rPr>
          <w:rFonts w:hint="eastAsia"/>
          <w:b/>
          <w:bCs/>
          <w:spacing w:val="-4"/>
          <w:szCs w:val="21"/>
        </w:rPr>
        <w:t>不同投标人的电子投标文件编制时的计算机硬件信息中网卡MAC地址（如有）、硬盘（含移动存储介质）序列号（Optane_0000或0100_0000_0000_0000序列号除外）、互联网接入IP地址相同的，投标文件为无效标。</w:t>
      </w:r>
    </w:p>
    <w:p>
      <w:pPr>
        <w:pStyle w:val="57"/>
        <w:rPr>
          <w:rFonts w:hint="eastAsia" w:ascii="宋体" w:hAnsi="宋体"/>
          <w:sz w:val="24"/>
        </w:rPr>
      </w:pPr>
      <w:r>
        <w:rPr>
          <w:rFonts w:ascii="宋体" w:hAnsi="宋体"/>
          <w:sz w:val="24"/>
        </w:rPr>
        <w:t>4.2</w:t>
      </w:r>
      <w:r>
        <w:rPr>
          <w:rFonts w:hint="eastAsia" w:ascii="宋体" w:hAnsi="宋体"/>
          <w:sz w:val="24"/>
        </w:rPr>
        <w:t>电子投标文件的拒收情形</w:t>
      </w:r>
    </w:p>
    <w:p>
      <w:pPr>
        <w:ind w:firstLine="420" w:firstLineChars="200"/>
        <w:rPr>
          <w:rFonts w:hint="eastAsia"/>
        </w:rPr>
      </w:pPr>
      <w:r>
        <w:rPr>
          <w:rFonts w:hint="eastAsia"/>
        </w:rPr>
        <w:t>4.2.1.投标截止时间后送达（上传）的投标文件、未按招标文件要求上传的；</w:t>
      </w:r>
    </w:p>
    <w:p>
      <w:pPr>
        <w:ind w:firstLine="420" w:firstLineChars="200"/>
        <w:rPr>
          <w:rFonts w:hint="eastAsia"/>
        </w:rPr>
      </w:pPr>
      <w:r>
        <w:rPr>
          <w:rFonts w:hint="eastAsia"/>
        </w:rPr>
        <w:t>4.2.2.投标人未按规定加密的投标文件，应当拒收并提示。</w:t>
      </w:r>
    </w:p>
    <w:p>
      <w:pPr>
        <w:ind w:firstLine="420" w:firstLineChars="200"/>
        <w:rPr>
          <w:rFonts w:hint="eastAsia"/>
        </w:rPr>
      </w:pPr>
      <w:r>
        <w:rPr>
          <w:rFonts w:hint="eastAsia"/>
        </w:rPr>
        <w:t>4.2.3.存在下列情况之一的，视为拒收（因招标人或系统原因导致的，另见招标文件约定）：</w:t>
      </w:r>
    </w:p>
    <w:p>
      <w:pPr>
        <w:ind w:firstLine="420" w:firstLineChars="200"/>
        <w:rPr>
          <w:rFonts w:hint="eastAsia"/>
        </w:rPr>
      </w:pPr>
      <w:r>
        <w:rPr>
          <w:rFonts w:hint="eastAsia"/>
        </w:rPr>
        <w:t>（1）电子投标文件无法解密的；</w:t>
      </w:r>
    </w:p>
    <w:p>
      <w:pPr>
        <w:ind w:firstLine="420" w:firstLineChars="200"/>
        <w:rPr>
          <w:rFonts w:hint="eastAsia"/>
        </w:rPr>
      </w:pPr>
      <w:r>
        <w:rPr>
          <w:rFonts w:hint="eastAsia"/>
        </w:rPr>
        <w:t>（2）电子投标文件解密后无法正确读取的；</w:t>
      </w:r>
    </w:p>
    <w:p>
      <w:pPr>
        <w:ind w:firstLine="420" w:firstLineChars="200"/>
        <w:rPr>
          <w:rFonts w:hint="eastAsia"/>
        </w:rPr>
      </w:pPr>
      <w:r>
        <w:rPr>
          <w:rFonts w:hint="eastAsia"/>
        </w:rPr>
        <w:t>（3）电子投标文件无法导入成功的。</w:t>
      </w:r>
    </w:p>
    <w:p>
      <w:pPr>
        <w:pStyle w:val="56"/>
        <w:rPr>
          <w:rFonts w:hint="eastAsia"/>
        </w:rPr>
      </w:pPr>
      <w:r>
        <w:rPr>
          <w:rFonts w:hint="eastAsia"/>
        </w:rPr>
        <w:t>4.3 投标文件的修改与撤回</w:t>
      </w:r>
    </w:p>
    <w:p>
      <w:pPr>
        <w:ind w:firstLine="420" w:firstLineChars="200"/>
        <w:rPr>
          <w:rFonts w:hint="eastAsia"/>
        </w:rPr>
      </w:pPr>
      <w:r>
        <w:rPr>
          <w:rFonts w:hint="eastAsia"/>
        </w:rPr>
        <w:t>4.3.1 在本章第2.2.2项规定的投标截止时间前，投标人可以修改或撤回已递交的投标文件，但应通过电子招标投标交易平台发送通知”。</w:t>
      </w:r>
    </w:p>
    <w:p>
      <w:pPr>
        <w:ind w:firstLine="420" w:firstLineChars="200"/>
        <w:rPr>
          <w:rFonts w:hint="eastAsia"/>
        </w:rPr>
      </w:pPr>
      <w:r>
        <w:rPr>
          <w:rFonts w:hint="eastAsia"/>
        </w:rPr>
        <w:t>4.3.2 “投标人修改或撤回已递交投标文件的通知，应按要求加盖单位公章。电子招标投标交易平台收到通知后，即时向投标人发出确认回执通知。</w:t>
      </w:r>
    </w:p>
    <w:p>
      <w:pPr>
        <w:ind w:firstLine="420" w:firstLineChars="200"/>
        <w:rPr>
          <w:rFonts w:hint="eastAsia"/>
        </w:rPr>
      </w:pPr>
      <w:r>
        <w:rPr>
          <w:rFonts w:hint="eastAsia"/>
        </w:rPr>
        <w:t>4.3.3 修改的内容为投标文件的组成部分。修改的投标文件应按照本章第3条、第4条规定进行编制、标记和递交，并标明“修改”字样。</w:t>
      </w:r>
    </w:p>
    <w:p>
      <w:pPr>
        <w:pStyle w:val="57"/>
      </w:pPr>
      <w:r>
        <w:rPr>
          <w:rFonts w:hint="eastAsia"/>
        </w:rPr>
        <w:t>5. 开标</w:t>
      </w:r>
    </w:p>
    <w:p>
      <w:pPr>
        <w:pStyle w:val="56"/>
        <w:rPr>
          <w:rFonts w:hint="eastAsia"/>
        </w:rPr>
      </w:pPr>
      <w:r>
        <w:rPr>
          <w:rFonts w:hint="eastAsia"/>
        </w:rPr>
        <w:t>5.1 开标时间和地点</w:t>
      </w:r>
    </w:p>
    <w:p>
      <w:pPr>
        <w:ind w:firstLine="420" w:firstLineChars="200"/>
        <w:rPr>
          <w:rFonts w:hint="eastAsia"/>
        </w:rPr>
      </w:pPr>
      <w:r>
        <w:rPr>
          <w:rFonts w:hint="eastAsia"/>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pPr>
        <w:pStyle w:val="56"/>
        <w:rPr>
          <w:rFonts w:hint="eastAsia"/>
        </w:rPr>
      </w:pPr>
      <w:r>
        <w:rPr>
          <w:rFonts w:hint="eastAsia"/>
        </w:rPr>
        <w:t>5.2 开标程序</w:t>
      </w:r>
    </w:p>
    <w:p>
      <w:pPr>
        <w:ind w:firstLine="420" w:firstLineChars="200"/>
        <w:rPr>
          <w:rFonts w:hint="eastAsia"/>
        </w:rPr>
      </w:pPr>
      <w:r>
        <w:rPr>
          <w:rFonts w:hint="eastAsia"/>
        </w:rPr>
        <w:t>主持人按下列程序进行开标：</w:t>
      </w:r>
    </w:p>
    <w:p>
      <w:pPr>
        <w:ind w:firstLine="420" w:firstLineChars="200"/>
        <w:rPr>
          <w:rFonts w:hint="eastAsia"/>
        </w:rPr>
      </w:pPr>
      <w:r>
        <w:rPr>
          <w:rFonts w:hint="eastAsia"/>
        </w:rPr>
        <w:t>（1）开标会由招标人或代理机构主持，主持人宣布开标会议开始；</w:t>
      </w:r>
    </w:p>
    <w:p>
      <w:pPr>
        <w:ind w:firstLine="420" w:firstLineChars="200"/>
        <w:rPr>
          <w:rFonts w:hint="eastAsia"/>
        </w:rPr>
      </w:pPr>
      <w:r>
        <w:rPr>
          <w:rFonts w:hint="eastAsia"/>
        </w:rPr>
        <w:t>（2）主持人介绍参加开标会的人员名单；</w:t>
      </w:r>
    </w:p>
    <w:p>
      <w:pPr>
        <w:ind w:firstLine="420" w:firstLineChars="200"/>
        <w:rPr>
          <w:rFonts w:hint="eastAsia"/>
        </w:rPr>
      </w:pPr>
      <w:r>
        <w:rPr>
          <w:rFonts w:hint="eastAsia"/>
        </w:rPr>
        <w:t>（3）主持人发起投标文件解密；</w:t>
      </w:r>
    </w:p>
    <w:p>
      <w:pPr>
        <w:ind w:firstLine="420" w:firstLineChars="200"/>
        <w:rPr>
          <w:rFonts w:hint="eastAsia"/>
        </w:rPr>
      </w:pPr>
      <w:r>
        <w:rPr>
          <w:rFonts w:hint="eastAsia"/>
        </w:rPr>
        <w:t>（4）所有投标解密后开启电子投标文件；</w:t>
      </w:r>
    </w:p>
    <w:p>
      <w:pPr>
        <w:ind w:firstLine="420" w:firstLineChars="200"/>
        <w:rPr>
          <w:rFonts w:hint="eastAsia"/>
        </w:rPr>
      </w:pPr>
      <w:r>
        <w:rPr>
          <w:rFonts w:hint="eastAsia"/>
        </w:rPr>
        <w:t>（5）开启电子投标文件后公布开标结果。</w:t>
      </w:r>
    </w:p>
    <w:p>
      <w:pPr>
        <w:ind w:firstLine="420" w:firstLineChars="200"/>
        <w:rPr>
          <w:rFonts w:hint="eastAsia"/>
        </w:rPr>
      </w:pPr>
      <w:r>
        <w:rPr>
          <w:rFonts w:hint="eastAsia"/>
        </w:rPr>
        <w:t>（6）开标结束。</w:t>
      </w:r>
    </w:p>
    <w:p>
      <w:pPr>
        <w:pStyle w:val="57"/>
      </w:pPr>
      <w:r>
        <w:rPr>
          <w:rFonts w:hint="eastAsia"/>
        </w:rPr>
        <w:t>6. 评标</w:t>
      </w:r>
    </w:p>
    <w:p>
      <w:pPr>
        <w:pStyle w:val="56"/>
        <w:rPr>
          <w:rFonts w:hint="eastAsia"/>
        </w:rPr>
      </w:pPr>
      <w:r>
        <w:rPr>
          <w:rFonts w:hint="eastAsia"/>
        </w:rPr>
        <w:t>6.1 评标委员会</w:t>
      </w:r>
    </w:p>
    <w:p>
      <w:pPr>
        <w:ind w:firstLine="420" w:firstLineChars="200"/>
        <w:rPr>
          <w:rFonts w:hint="eastAsia"/>
        </w:rPr>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20" w:firstLineChars="200"/>
        <w:rPr>
          <w:rFonts w:hint="eastAsia"/>
        </w:rPr>
      </w:pPr>
      <w:r>
        <w:rPr>
          <w:rFonts w:hint="eastAsia"/>
        </w:rPr>
        <w:t>6.1.2 评标委员会成员有下列情形之一的，应当回避：</w:t>
      </w:r>
    </w:p>
    <w:p>
      <w:pPr>
        <w:ind w:firstLine="420" w:firstLineChars="200"/>
        <w:rPr>
          <w:rFonts w:hint="eastAsia"/>
        </w:rPr>
      </w:pPr>
      <w:r>
        <w:rPr>
          <w:rFonts w:hint="eastAsia"/>
        </w:rPr>
        <w:t>（1）招标人或投标人的主要负责人的近亲属；</w:t>
      </w:r>
    </w:p>
    <w:p>
      <w:pPr>
        <w:ind w:firstLine="420" w:firstLineChars="200"/>
        <w:rPr>
          <w:rFonts w:hint="eastAsia"/>
        </w:rPr>
      </w:pPr>
      <w:r>
        <w:rPr>
          <w:rFonts w:hint="eastAsia"/>
        </w:rPr>
        <w:t>（2）项目主管部门或者行政监督部门的人员；</w:t>
      </w:r>
    </w:p>
    <w:p>
      <w:pPr>
        <w:ind w:firstLine="420" w:firstLineChars="200"/>
        <w:rPr>
          <w:rFonts w:hint="eastAsia"/>
        </w:rPr>
      </w:pPr>
      <w:r>
        <w:rPr>
          <w:rFonts w:hint="eastAsia"/>
        </w:rPr>
        <w:t>（3）与投标人有经济利益关系，可能影响对投标公正评审的；</w:t>
      </w:r>
    </w:p>
    <w:p>
      <w:pPr>
        <w:ind w:firstLine="420" w:firstLineChars="200"/>
        <w:rPr>
          <w:rFonts w:hint="eastAsia"/>
        </w:rPr>
      </w:pPr>
      <w:r>
        <w:rPr>
          <w:rFonts w:hint="eastAsia"/>
        </w:rPr>
        <w:t>（4）曾因在招标、评标以及其他与招标投标有关活动中从事违法行为而受过行政处罚或刑事处罚的。</w:t>
      </w:r>
    </w:p>
    <w:p>
      <w:pPr>
        <w:ind w:firstLine="420" w:firstLineChars="200"/>
        <w:rPr>
          <w:rFonts w:hint="eastAsia"/>
        </w:rPr>
      </w:pPr>
      <w:r>
        <w:rPr>
          <w:rFonts w:hint="eastAsia"/>
        </w:rPr>
        <w:t>（5）与投标人有其他利害关系。</w:t>
      </w:r>
    </w:p>
    <w:p>
      <w:pPr>
        <w:pStyle w:val="56"/>
        <w:rPr>
          <w:rFonts w:hint="eastAsia"/>
        </w:rPr>
      </w:pPr>
      <w:r>
        <w:rPr>
          <w:rFonts w:hint="eastAsia"/>
        </w:rPr>
        <w:t>6.2 评标原则</w:t>
      </w:r>
      <w:r>
        <w:rPr>
          <w:rFonts w:hint="eastAsia"/>
        </w:rPr>
        <w:tab/>
      </w:r>
    </w:p>
    <w:p>
      <w:pPr>
        <w:ind w:firstLine="420" w:firstLineChars="200"/>
        <w:rPr>
          <w:rFonts w:hint="eastAsia"/>
        </w:rPr>
      </w:pPr>
      <w:r>
        <w:rPr>
          <w:rFonts w:hint="eastAsia"/>
        </w:rPr>
        <w:t>评标活动遵循公平、公正、科学和择优的原则。</w:t>
      </w:r>
    </w:p>
    <w:p>
      <w:pPr>
        <w:pStyle w:val="56"/>
        <w:rPr>
          <w:rFonts w:hint="eastAsia"/>
        </w:rPr>
      </w:pPr>
      <w:r>
        <w:rPr>
          <w:rFonts w:hint="eastAsia"/>
        </w:rPr>
        <w:t>6.3 评标</w:t>
      </w:r>
    </w:p>
    <w:p>
      <w:pPr>
        <w:ind w:firstLine="420" w:firstLineChars="200"/>
        <w:rPr>
          <w:rFonts w:hint="eastAsia"/>
        </w:rPr>
      </w:pPr>
      <w:r>
        <w:rPr>
          <w:rFonts w:hint="eastAsia"/>
        </w:rPr>
        <w:t>评标委员会按照第三章“评标办法”规定的方法、评审因素、标准和程序对投标文件进行评审。第三章“评标办法”没有规定的方法、评审因素和标准，不作为评标依据。</w:t>
      </w:r>
    </w:p>
    <w:p>
      <w:pPr>
        <w:pStyle w:val="57"/>
      </w:pPr>
      <w:r>
        <w:rPr>
          <w:rFonts w:hint="eastAsia"/>
        </w:rPr>
        <w:t>7. 合同授予</w:t>
      </w:r>
    </w:p>
    <w:p>
      <w:pPr>
        <w:pStyle w:val="56"/>
        <w:rPr>
          <w:rFonts w:hint="eastAsia"/>
        </w:rPr>
      </w:pPr>
      <w:r>
        <w:rPr>
          <w:rFonts w:hint="eastAsia"/>
        </w:rPr>
        <w:t>7.1 定标方式</w:t>
      </w:r>
    </w:p>
    <w:p>
      <w:pPr>
        <w:ind w:firstLine="420" w:firstLineChars="200"/>
        <w:rPr>
          <w:rFonts w:hint="eastAsia"/>
        </w:rPr>
      </w:pPr>
      <w:r>
        <w:rPr>
          <w:rFonts w:hint="eastAsia"/>
        </w:rPr>
        <w:t>除投标人须知前附表规定评标委员会直接确定中标人外，招标人依据评标委员会推荐的中标候选人确定中标人，评标委员会推荐中标候选人的人数见投标人须知前附表。</w:t>
      </w:r>
    </w:p>
    <w:p>
      <w:pPr>
        <w:ind w:firstLine="420" w:firstLineChars="200"/>
        <w:rPr>
          <w:rFonts w:hint="eastAsia"/>
        </w:rPr>
      </w:pPr>
      <w:r>
        <w:rPr>
          <w:rFonts w:hint="eastAsia"/>
        </w:rPr>
        <w:t>国有资金占控股或者主导地位的依法必须进行招标的项目，招标人应当确定推荐的中标候选人为中标人。推荐的中标候选人放弃中标、因不可抗力不能履行合同、不按照招标文件要求提交履约保证金，或者被查实存在影响中标结果的违法行为等情形，不符合中标条件的，招标人重新招标。</w:t>
      </w:r>
    </w:p>
    <w:p>
      <w:pPr>
        <w:pStyle w:val="56"/>
        <w:rPr>
          <w:rFonts w:hint="eastAsia"/>
        </w:rPr>
      </w:pPr>
      <w:r>
        <w:rPr>
          <w:rFonts w:hint="eastAsia"/>
        </w:rPr>
        <w:t>7.2 中标通知</w:t>
      </w:r>
    </w:p>
    <w:p>
      <w:pPr>
        <w:ind w:firstLine="420" w:firstLineChars="200"/>
        <w:rPr>
          <w:rFonts w:hint="eastAsia"/>
        </w:rPr>
      </w:pPr>
      <w:r>
        <w:rPr>
          <w:rFonts w:hint="eastAsia"/>
        </w:rPr>
        <w:t>在中标通知书发出前，招标人将中标候选人的情况在浙江海港电子招标采购平台（http://hgdzzb.nbport.com.cn/）等网站予以公示，公示期不少于3个工作日。</w:t>
      </w:r>
    </w:p>
    <w:p>
      <w:pPr>
        <w:ind w:firstLine="420" w:firstLineChars="200"/>
        <w:rPr>
          <w:rFonts w:hint="eastAsia"/>
        </w:rPr>
      </w:pPr>
      <w:r>
        <w:rPr>
          <w:rFonts w:hint="eastAsia"/>
        </w:rPr>
        <w:t>在本章第3.3款规定的投标有效期内，招标人以书面形式向中标人发出中标通知书，同时将中标结果通知未中标的投标人。</w:t>
      </w:r>
    </w:p>
    <w:p>
      <w:pPr>
        <w:pStyle w:val="56"/>
        <w:rPr>
          <w:rFonts w:hint="eastAsia"/>
        </w:rPr>
      </w:pPr>
      <w:r>
        <w:rPr>
          <w:rFonts w:hint="eastAsia"/>
        </w:rPr>
        <w:t>7.3 履约担保</w:t>
      </w:r>
    </w:p>
    <w:p>
      <w:pPr>
        <w:ind w:firstLine="420" w:firstLineChars="200"/>
        <w:rPr>
          <w:rFonts w:hint="eastAsia"/>
        </w:rPr>
      </w:pPr>
      <w:r>
        <w:rPr>
          <w:rFonts w:hint="eastAsia"/>
        </w:rPr>
        <w:t>7.3.1在签订合同前，中标人应按投标人须知前附表规定的金额、担保形式和招标文件第四章“合同条款及格式”规定的履约担保格式向招标人提交履约担保。</w:t>
      </w:r>
    </w:p>
    <w:p>
      <w:pPr>
        <w:ind w:firstLine="420" w:firstLineChars="200"/>
        <w:rPr>
          <w:rFonts w:hint="eastAsia"/>
        </w:rPr>
      </w:pPr>
      <w:r>
        <w:rPr>
          <w:rFonts w:hint="eastAsia"/>
        </w:rPr>
        <w:t>7.3.2 中标人不能按本章第7.3.1项要求提交履约担保的，视为放弃中标，其投标保证金不予退还，给招标人造成的损失超过投标保证金数额的，中标人还应当对超过部分予以赔偿。</w:t>
      </w:r>
    </w:p>
    <w:p>
      <w:pPr>
        <w:pStyle w:val="56"/>
        <w:rPr>
          <w:rFonts w:hint="eastAsia"/>
        </w:rPr>
      </w:pPr>
      <w:r>
        <w:rPr>
          <w:rFonts w:hint="eastAsia"/>
        </w:rPr>
        <w:t>7.4 签订合同</w:t>
      </w:r>
    </w:p>
    <w:p>
      <w:pPr>
        <w:ind w:firstLine="420" w:firstLineChars="200"/>
        <w:rPr>
          <w:rFonts w:hint="eastAsia"/>
        </w:rPr>
      </w:pPr>
      <w:r>
        <w:rPr>
          <w:rFonts w:hint="eastAsia"/>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ind w:firstLine="420" w:firstLineChars="200"/>
        <w:rPr>
          <w:rFonts w:hint="eastAsia"/>
        </w:rPr>
      </w:pPr>
      <w:r>
        <w:rPr>
          <w:rFonts w:hint="eastAsia"/>
        </w:rPr>
        <w:t xml:space="preserve">7.4.2 发出中标通知书后，招标人无正当理由拒签合同的，招标人向中标人退还投标保证金；给中标人造成损失的，还应当赔偿损失。 </w:t>
      </w:r>
    </w:p>
    <w:p>
      <w:pPr>
        <w:pStyle w:val="57"/>
      </w:pPr>
      <w:r>
        <w:rPr>
          <w:rFonts w:hint="eastAsia"/>
        </w:rPr>
        <w:t>8. 重新招标和不再招标</w:t>
      </w:r>
    </w:p>
    <w:p>
      <w:pPr>
        <w:pStyle w:val="56"/>
        <w:rPr>
          <w:rFonts w:hint="eastAsia"/>
        </w:rPr>
      </w:pPr>
      <w:r>
        <w:rPr>
          <w:rFonts w:hint="eastAsia"/>
        </w:rPr>
        <w:t>8.1 重新招标</w:t>
      </w:r>
    </w:p>
    <w:p>
      <w:pPr>
        <w:ind w:firstLine="420" w:firstLineChars="200"/>
        <w:rPr>
          <w:rFonts w:hint="eastAsia"/>
        </w:rPr>
      </w:pPr>
      <w:r>
        <w:rPr>
          <w:rFonts w:hint="eastAsia"/>
        </w:rPr>
        <w:t>有下列情形之一的，招标人将重新招标：</w:t>
      </w:r>
    </w:p>
    <w:p>
      <w:pPr>
        <w:ind w:firstLine="420" w:firstLineChars="200"/>
        <w:rPr>
          <w:rFonts w:hint="eastAsia"/>
        </w:rPr>
      </w:pPr>
      <w:r>
        <w:rPr>
          <w:rFonts w:hint="eastAsia"/>
        </w:rPr>
        <w:t>（1）投标截止时间止，投标人少于3个的，本项目无法开标，重新组织招标。</w:t>
      </w:r>
    </w:p>
    <w:p>
      <w:pPr>
        <w:ind w:firstLine="420" w:firstLineChars="200"/>
        <w:rPr>
          <w:rFonts w:hint="eastAsia"/>
        </w:rPr>
      </w:pPr>
      <w:r>
        <w:rPr>
          <w:rFonts w:hint="eastAsia"/>
        </w:rPr>
        <w:t>（2）开标后经评审，当有效标不足3家时，评标委员会应否决全部投标，重新组织招标。</w:t>
      </w:r>
    </w:p>
    <w:p>
      <w:pPr>
        <w:spacing w:line="360" w:lineRule="auto"/>
        <w:ind w:firstLine="420" w:firstLineChars="200"/>
        <w:contextualSpacing/>
        <w:rPr>
          <w:rFonts w:hint="eastAsia"/>
        </w:rPr>
      </w:pPr>
      <w:r>
        <w:rPr>
          <w:rFonts w:hint="eastAsia"/>
        </w:rPr>
        <w:t>（3）中标候选人未与招标人签订合同的，重新组织招标。</w:t>
      </w:r>
    </w:p>
    <w:p>
      <w:pPr>
        <w:pStyle w:val="56"/>
        <w:rPr>
          <w:rFonts w:hint="eastAsia"/>
        </w:rPr>
      </w:pPr>
      <w:r>
        <w:rPr>
          <w:rFonts w:hint="eastAsia"/>
        </w:rPr>
        <w:t>8.2 不再招标</w:t>
      </w:r>
    </w:p>
    <w:p>
      <w:pPr>
        <w:ind w:firstLine="420" w:firstLineChars="200"/>
        <w:rPr>
          <w:rFonts w:hint="eastAsia"/>
        </w:rPr>
      </w:pPr>
      <w:r>
        <w:rPr>
          <w:rFonts w:hint="eastAsia"/>
        </w:rPr>
        <w:t>重新招标后投标人仍少于3个，属于必须审批或核准的工程建设项目，经原审批或核准部门批准后不再进行招标。</w:t>
      </w:r>
    </w:p>
    <w:p>
      <w:pPr>
        <w:pStyle w:val="57"/>
      </w:pPr>
      <w:r>
        <w:rPr>
          <w:rFonts w:hint="eastAsia"/>
        </w:rPr>
        <w:t>9. 纪律和监督</w:t>
      </w:r>
    </w:p>
    <w:p>
      <w:pPr>
        <w:pStyle w:val="56"/>
        <w:rPr>
          <w:rFonts w:hint="eastAsia"/>
        </w:rPr>
      </w:pPr>
      <w:r>
        <w:rPr>
          <w:rFonts w:hint="eastAsia"/>
        </w:rPr>
        <w:t>9.1 对招标人的纪律要求</w:t>
      </w:r>
    </w:p>
    <w:p>
      <w:pPr>
        <w:ind w:firstLine="420" w:firstLineChars="200"/>
        <w:rPr>
          <w:rFonts w:hint="eastAsia"/>
        </w:rPr>
      </w:pPr>
      <w:r>
        <w:rPr>
          <w:rFonts w:hint="eastAsia"/>
        </w:rPr>
        <w:t>招标人不得泄漏招标投标活动中应当保密的情况和资料，不得与投标人串通损害国家利益、社会公共利益或者他人合法权益。</w:t>
      </w:r>
    </w:p>
    <w:p>
      <w:pPr>
        <w:pStyle w:val="56"/>
        <w:rPr>
          <w:rFonts w:hint="eastAsia"/>
        </w:rPr>
      </w:pPr>
      <w:r>
        <w:rPr>
          <w:rFonts w:hint="eastAsia"/>
        </w:rPr>
        <w:t>9.2 对投标人的纪律要求</w:t>
      </w:r>
    </w:p>
    <w:p>
      <w:pPr>
        <w:ind w:firstLine="420" w:firstLineChars="200"/>
        <w:rPr>
          <w:rFonts w:hint="eastAsia"/>
        </w:rPr>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6"/>
        <w:rPr>
          <w:rFonts w:hint="eastAsia"/>
        </w:rPr>
      </w:pPr>
      <w:r>
        <w:rPr>
          <w:rFonts w:hint="eastAsia"/>
        </w:rPr>
        <w:t>9.3 对评标委员会成员的纪律要求</w:t>
      </w:r>
    </w:p>
    <w:p>
      <w:pPr>
        <w:ind w:firstLine="420" w:firstLineChars="200"/>
        <w:rPr>
          <w:rFonts w:hint="eastAsia"/>
        </w:rPr>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6"/>
        <w:rPr>
          <w:rFonts w:hint="eastAsia"/>
        </w:rPr>
      </w:pPr>
      <w:r>
        <w:rPr>
          <w:rFonts w:hint="eastAsia"/>
        </w:rPr>
        <w:t>9.4 对与评标活动有关的工作人员的纪律要求</w:t>
      </w:r>
    </w:p>
    <w:p>
      <w:pPr>
        <w:ind w:firstLine="420" w:firstLineChars="200"/>
        <w:rPr>
          <w:rFonts w:hint="eastAsia"/>
        </w:rPr>
      </w:pPr>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6"/>
        <w:rPr>
          <w:rFonts w:hint="eastAsia"/>
        </w:rPr>
      </w:pPr>
      <w:r>
        <w:rPr>
          <w:rFonts w:hint="eastAsia"/>
        </w:rPr>
        <w:t>9.5 投诉</w:t>
      </w:r>
    </w:p>
    <w:p>
      <w:pPr>
        <w:ind w:firstLine="420" w:firstLineChars="200"/>
        <w:rPr>
          <w:rFonts w:hint="eastAsia"/>
        </w:rPr>
      </w:pPr>
      <w:r>
        <w:rPr>
          <w:rFonts w:hint="eastAsia"/>
        </w:rPr>
        <w:t>投标人或者其他利害关系人认为招标投标活动不符合法律、行政法规规定的，可以自知道或者应当知道之日起10日内向有关行政监督部门投诉。投诉应当有明确的请求和必要的证明材料。</w:t>
      </w:r>
    </w:p>
    <w:p>
      <w:pPr>
        <w:ind w:firstLine="420" w:firstLineChars="200"/>
        <w:rPr>
          <w:rFonts w:hint="eastAsia"/>
        </w:rPr>
      </w:pPr>
      <w:r>
        <w:rPr>
          <w:rFonts w:hint="eastAsia"/>
        </w:rPr>
        <w:t>《中华人民共和国招标投标法实施条例》第二十二条、第四十四条、第五十四条规定事项投诉的，应当先向招标人提出异议，异议答复期间不计算在前款规定的期限内。</w:t>
      </w:r>
    </w:p>
    <w:p>
      <w:pPr>
        <w:pStyle w:val="57"/>
      </w:pPr>
      <w:r>
        <w:rPr>
          <w:rFonts w:hint="eastAsia"/>
        </w:rPr>
        <w:t>10. 需要补充的其他内容</w:t>
      </w:r>
    </w:p>
    <w:p>
      <w:pPr>
        <w:pStyle w:val="56"/>
        <w:rPr>
          <w:rFonts w:hint="eastAsia"/>
        </w:rPr>
      </w:pPr>
      <w:r>
        <w:rPr>
          <w:rFonts w:hint="eastAsia"/>
        </w:rPr>
        <w:t>10.1解释权</w:t>
      </w:r>
    </w:p>
    <w:p>
      <w:pPr>
        <w:ind w:firstLine="420" w:firstLineChars="200"/>
        <w:rPr>
          <w:rFonts w:hint="eastAsia"/>
        </w:rPr>
      </w:pPr>
      <w:r>
        <w:rPr>
          <w:rFonts w:hint="eastAsia"/>
        </w:rPr>
        <w:t>构成招标文件组成部分的“通用合同条款”、“专用合同条款”、“技术标准和要求”和“工程量清单”等章节中出现的措辞“招标人”和“投标人”，在招标投标阶段应当分别按“招标人”和“投标人”进行理解。</w:t>
      </w:r>
    </w:p>
    <w:p>
      <w:pPr>
        <w:ind w:firstLine="420" w:firstLineChars="200"/>
        <w:rPr>
          <w:rFonts w:hint="eastAsia"/>
        </w:rPr>
      </w:pPr>
      <w:r>
        <w:rPr>
          <w:rFonts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pPr>
        <w:pStyle w:val="56"/>
        <w:rPr>
          <w:rFonts w:hint="eastAsia"/>
        </w:rPr>
      </w:pPr>
      <w:r>
        <w:rPr>
          <w:rFonts w:hint="eastAsia"/>
        </w:rPr>
        <w:t>10.2工程造价</w:t>
      </w:r>
    </w:p>
    <w:p>
      <w:pPr>
        <w:ind w:firstLine="420" w:firstLineChars="200"/>
        <w:rPr>
          <w:rFonts w:hint="eastAsia"/>
        </w:rPr>
      </w:pPr>
      <w:r>
        <w:rPr>
          <w:rFonts w:hint="eastAsia"/>
        </w:rPr>
        <w:t>本项目的招标控制价见投标人须知前附表。</w:t>
      </w:r>
    </w:p>
    <w:p>
      <w:pPr>
        <w:pStyle w:val="56"/>
        <w:rPr>
          <w:rFonts w:hint="eastAsia"/>
        </w:rPr>
      </w:pPr>
      <w:r>
        <w:rPr>
          <w:rFonts w:hint="eastAsia"/>
        </w:rPr>
        <w:t>10.3业绩证明材料提供的要求</w:t>
      </w:r>
    </w:p>
    <w:p>
      <w:pPr>
        <w:ind w:firstLine="420" w:firstLineChars="200"/>
        <w:rPr>
          <w:rFonts w:hint="eastAsia"/>
        </w:rPr>
      </w:pPr>
      <w:r>
        <w:rPr>
          <w:rFonts w:hint="eastAsia"/>
        </w:rPr>
        <w:t>不要求。</w:t>
      </w:r>
    </w:p>
    <w:p>
      <w:pPr>
        <w:pStyle w:val="56"/>
        <w:rPr>
          <w:rFonts w:hint="eastAsia"/>
        </w:rPr>
      </w:pPr>
      <w:r>
        <w:rPr>
          <w:rFonts w:hint="eastAsia"/>
        </w:rPr>
        <w:t>10.4投标人信誉要求</w:t>
      </w:r>
    </w:p>
    <w:p>
      <w:pPr>
        <w:ind w:firstLine="420" w:firstLineChars="200"/>
        <w:rPr>
          <w:rFonts w:hint="eastAsia"/>
        </w:rPr>
      </w:pPr>
      <w:r>
        <w:rPr>
          <w:rFonts w:hint="eastAsia"/>
        </w:rPr>
        <w:t>投标人发生合并、分立、破产等重大变化的，应当及时书面告知招标人。投标人不再具备招标文件规定的资格条件或者其投标影响招标公正性的，其投标无效。</w:t>
      </w:r>
    </w:p>
    <w:p>
      <w:pPr>
        <w:pStyle w:val="56"/>
        <w:rPr>
          <w:rFonts w:hint="eastAsia"/>
        </w:rPr>
      </w:pPr>
      <w:r>
        <w:rPr>
          <w:rFonts w:hint="eastAsia"/>
        </w:rPr>
        <w:t>10.5拟派人员要求</w:t>
      </w:r>
    </w:p>
    <w:p>
      <w:pPr>
        <w:ind w:firstLine="420" w:firstLineChars="200"/>
        <w:rPr>
          <w:rFonts w:hint="eastAsia"/>
        </w:rPr>
      </w:pPr>
      <w:r>
        <w:rPr>
          <w:rFonts w:hint="eastAsia"/>
        </w:rPr>
        <w:t>对拟派人员的其他要求如下：</w:t>
      </w:r>
    </w:p>
    <w:p>
      <w:pPr>
        <w:ind w:firstLine="420" w:firstLineChars="200"/>
        <w:rPr>
          <w:rFonts w:hint="eastAsia"/>
        </w:rPr>
      </w:pPr>
      <w:r>
        <w:rPr>
          <w:rFonts w:hint="eastAsia"/>
        </w:rPr>
        <w:t>项目经理具有有效的机电工程或通信与广电工程专业注册建造师二级及以上，并需配套安全生产考核合格证书（B 证）；专（兼）职安全员，具备安全生产考核合格证书（C类），并提供有效劳动合同及最近三个月在投标人单位缴纳的社保缴纳证明材料；</w:t>
      </w:r>
    </w:p>
    <w:p>
      <w:pPr>
        <w:pStyle w:val="56"/>
        <w:rPr>
          <w:rFonts w:hint="eastAsia"/>
        </w:rPr>
      </w:pPr>
      <w:r>
        <w:rPr>
          <w:rFonts w:hint="eastAsia"/>
        </w:rPr>
        <w:t>10.6</w:t>
      </w:r>
      <w:bookmarkStart w:id="78" w:name="_Toc527143505"/>
      <w:r>
        <w:rPr>
          <w:rFonts w:hint="eastAsia"/>
        </w:rPr>
        <w:t>投标人不得存在的其他情形</w:t>
      </w:r>
      <w:bookmarkEnd w:id="78"/>
      <w:r>
        <w:rPr>
          <w:rFonts w:hint="eastAsia"/>
        </w:rPr>
        <w:t>（补充）</w:t>
      </w:r>
    </w:p>
    <w:p>
      <w:pPr>
        <w:ind w:firstLine="420" w:firstLineChars="200"/>
        <w:rPr>
          <w:rFonts w:hint="eastAsia"/>
        </w:rPr>
      </w:pPr>
      <w:r>
        <w:rPr>
          <w:rFonts w:hint="eastAsia"/>
        </w:rPr>
        <w:t>（1）投标人之间协商投标报价等投标文件的实质性内容；</w:t>
      </w:r>
    </w:p>
    <w:p>
      <w:pPr>
        <w:ind w:firstLine="420" w:firstLineChars="200"/>
        <w:rPr>
          <w:rFonts w:hint="eastAsia"/>
        </w:rPr>
      </w:pPr>
      <w:r>
        <w:rPr>
          <w:rFonts w:hint="eastAsia"/>
        </w:rPr>
        <w:t>（2）投标人之间约定中标人；</w:t>
      </w:r>
    </w:p>
    <w:p>
      <w:pPr>
        <w:ind w:firstLine="420" w:firstLineChars="200"/>
        <w:rPr>
          <w:rFonts w:hint="eastAsia"/>
        </w:rPr>
      </w:pPr>
      <w:r>
        <w:rPr>
          <w:rFonts w:hint="eastAsia"/>
        </w:rPr>
        <w:t>（3）投标人之间约定部分投标人放弃投标或者中标；</w:t>
      </w:r>
    </w:p>
    <w:p>
      <w:pPr>
        <w:ind w:firstLine="420" w:firstLineChars="200"/>
        <w:rPr>
          <w:rFonts w:hint="eastAsia"/>
        </w:rPr>
      </w:pPr>
      <w:r>
        <w:rPr>
          <w:rFonts w:hint="eastAsia"/>
        </w:rPr>
        <w:t>（4）属于同一集团、协会、商会等组织成员的投标人按照该组织要求协同投标；</w:t>
      </w:r>
    </w:p>
    <w:p>
      <w:pPr>
        <w:ind w:firstLine="420" w:firstLineChars="200"/>
        <w:rPr>
          <w:rFonts w:hint="eastAsia"/>
        </w:rPr>
      </w:pPr>
      <w:r>
        <w:rPr>
          <w:rFonts w:hint="eastAsia"/>
        </w:rPr>
        <w:t>（5）投标人之间为谋取中标或者排斥特定投标人而采取的其他联合行动；</w:t>
      </w:r>
    </w:p>
    <w:p>
      <w:pPr>
        <w:ind w:firstLine="420" w:firstLineChars="200"/>
        <w:rPr>
          <w:rFonts w:hint="eastAsia"/>
        </w:rPr>
      </w:pPr>
      <w:r>
        <w:rPr>
          <w:rFonts w:hint="eastAsia"/>
        </w:rPr>
        <w:t>（6）</w:t>
      </w:r>
      <w:r>
        <w:rPr>
          <w:rFonts w:hint="eastAsia"/>
          <w:b/>
          <w:bCs/>
          <w:spacing w:val="-4"/>
          <w:szCs w:val="21"/>
        </w:rPr>
        <w:t>不同投标人的电子投标文件编制时的计算机硬件信息中网卡MAC地址（如有）、硬盘（含移动存储介质）序列号（Optane_0000或0100_0000_0000_0000序列号除外）、互联网接入IP地址相同的，投标文件为无效标</w:t>
      </w:r>
      <w:r>
        <w:rPr>
          <w:rFonts w:hint="eastAsia"/>
        </w:rPr>
        <w:t>；</w:t>
      </w:r>
    </w:p>
    <w:p>
      <w:pPr>
        <w:ind w:firstLine="420" w:firstLineChars="200"/>
        <w:rPr>
          <w:rFonts w:hint="eastAsia"/>
        </w:rPr>
      </w:pPr>
      <w:r>
        <w:rPr>
          <w:rFonts w:hint="eastAsia"/>
        </w:rPr>
        <w:t>（7）不同投标人委托同一单位或者个人办理投标事宜（采用电子招投标的，从一个投标单位或同一个自然人的IP地址下载招标文件或者上传投标文件的，也属于该情形）；</w:t>
      </w:r>
    </w:p>
    <w:p>
      <w:pPr>
        <w:ind w:firstLine="420" w:firstLineChars="200"/>
        <w:rPr>
          <w:rFonts w:hint="eastAsia"/>
        </w:rPr>
      </w:pPr>
      <w:r>
        <w:rPr>
          <w:rFonts w:hint="eastAsia"/>
        </w:rPr>
        <w:t>（8）不同投标人的投标文件载明的项目管理成员为同一人；</w:t>
      </w:r>
    </w:p>
    <w:p>
      <w:pPr>
        <w:ind w:firstLine="420" w:firstLineChars="200"/>
        <w:rPr>
          <w:rFonts w:hint="eastAsia"/>
        </w:rPr>
      </w:pPr>
      <w:r>
        <w:rPr>
          <w:rFonts w:hint="eastAsia"/>
        </w:rPr>
        <w:t>（9）不同投标人的投标文件异常一致或者投标报价呈规律性差异（投标文件雷同性部分达80%以上的）；</w:t>
      </w:r>
    </w:p>
    <w:p>
      <w:pPr>
        <w:ind w:firstLine="420" w:firstLineChars="200"/>
        <w:rPr>
          <w:rFonts w:hint="eastAsia"/>
        </w:rPr>
      </w:pPr>
      <w:r>
        <w:rPr>
          <w:rFonts w:hint="eastAsia"/>
        </w:rPr>
        <w:t>（10）不同投标人的投标文件相互混装；</w:t>
      </w:r>
    </w:p>
    <w:p>
      <w:pPr>
        <w:ind w:firstLine="420" w:firstLineChars="200"/>
        <w:rPr>
          <w:rFonts w:hint="eastAsia"/>
        </w:rPr>
      </w:pPr>
      <w:r>
        <w:rPr>
          <w:rFonts w:hint="eastAsia"/>
        </w:rPr>
        <w:t>（11）不同投标人的投标保证金从同一单位或者个人的账户转出；</w:t>
      </w:r>
    </w:p>
    <w:p>
      <w:pPr>
        <w:ind w:firstLine="420" w:firstLineChars="200"/>
        <w:rPr>
          <w:rFonts w:hint="eastAsia"/>
        </w:rPr>
      </w:pPr>
      <w:r>
        <w:rPr>
          <w:rFonts w:hint="eastAsia"/>
        </w:rPr>
        <w:t>（12）招标人在开标前开启投标文件并将有关信息泄露给其他投标人；</w:t>
      </w:r>
    </w:p>
    <w:p>
      <w:pPr>
        <w:ind w:firstLine="420" w:firstLineChars="200"/>
        <w:rPr>
          <w:rFonts w:hint="eastAsia"/>
        </w:rPr>
      </w:pPr>
      <w:r>
        <w:rPr>
          <w:rFonts w:hint="eastAsia"/>
        </w:rPr>
        <w:t>（13）招标人直接或者间接向投标人泄露标底、评标委员会成员等信息；</w:t>
      </w:r>
    </w:p>
    <w:p>
      <w:pPr>
        <w:ind w:firstLine="420" w:firstLineChars="200"/>
        <w:rPr>
          <w:rFonts w:hint="eastAsia"/>
        </w:rPr>
      </w:pPr>
      <w:r>
        <w:rPr>
          <w:rFonts w:hint="eastAsia"/>
        </w:rPr>
        <w:t>（14）招标人明示或者暗示投标人压低或者抬高投标报价；</w:t>
      </w:r>
    </w:p>
    <w:p>
      <w:pPr>
        <w:ind w:firstLine="420" w:firstLineChars="200"/>
        <w:rPr>
          <w:rFonts w:hint="eastAsia"/>
        </w:rPr>
      </w:pPr>
      <w:r>
        <w:rPr>
          <w:rFonts w:hint="eastAsia"/>
        </w:rPr>
        <w:t>（15）招标人授意投标人撤换、修改投标文件；</w:t>
      </w:r>
    </w:p>
    <w:p>
      <w:pPr>
        <w:ind w:firstLine="420" w:firstLineChars="200"/>
        <w:rPr>
          <w:rFonts w:hint="eastAsia"/>
        </w:rPr>
      </w:pPr>
      <w:r>
        <w:rPr>
          <w:rFonts w:hint="eastAsia"/>
        </w:rPr>
        <w:t>（16）招标人明示或者暗示投标人为特定投标人中标提供方便；</w:t>
      </w:r>
    </w:p>
    <w:p>
      <w:pPr>
        <w:ind w:firstLine="420" w:firstLineChars="200"/>
        <w:rPr>
          <w:rFonts w:hint="eastAsia"/>
        </w:rPr>
      </w:pPr>
      <w:r>
        <w:rPr>
          <w:rFonts w:hint="eastAsia"/>
        </w:rPr>
        <w:t>（17）招标人与投标人为谋求特定投标人中标而采取的其他串通行为；</w:t>
      </w:r>
    </w:p>
    <w:p>
      <w:pPr>
        <w:ind w:firstLine="420" w:firstLineChars="200"/>
        <w:rPr>
          <w:rFonts w:hint="eastAsia"/>
        </w:rPr>
      </w:pPr>
      <w:r>
        <w:rPr>
          <w:rFonts w:hint="eastAsia"/>
        </w:rPr>
        <w:t>（18）使用通过受让或者租借等方式获取的资格、资质证书投标的，属于招标投标法第三十三条规定的以他人名义投标；</w:t>
      </w:r>
    </w:p>
    <w:p>
      <w:pPr>
        <w:ind w:firstLine="420" w:firstLineChars="200"/>
        <w:rPr>
          <w:rFonts w:hint="eastAsia"/>
        </w:rPr>
      </w:pPr>
      <w:r>
        <w:rPr>
          <w:rFonts w:hint="eastAsia"/>
        </w:rPr>
        <w:t>（19）投标人有下列情形之一的，属于招标投标法第三十三条规定的以其他方式弄虚作假的行为：</w:t>
      </w:r>
    </w:p>
    <w:p>
      <w:pPr>
        <w:ind w:firstLine="420" w:firstLineChars="200"/>
        <w:rPr>
          <w:rFonts w:hint="eastAsia"/>
        </w:rPr>
      </w:pPr>
      <w:r>
        <w:rPr>
          <w:rFonts w:hint="eastAsia"/>
        </w:rPr>
        <w:t>①使用伪造、变造的许可证件；</w:t>
      </w:r>
    </w:p>
    <w:p>
      <w:pPr>
        <w:ind w:firstLine="420" w:firstLineChars="200"/>
        <w:rPr>
          <w:rFonts w:hint="eastAsia"/>
        </w:rPr>
      </w:pPr>
      <w:r>
        <w:rPr>
          <w:rFonts w:hint="eastAsia"/>
        </w:rPr>
        <w:t>②提供虚假的财务状况或者业绩；</w:t>
      </w:r>
    </w:p>
    <w:p>
      <w:pPr>
        <w:ind w:firstLine="420" w:firstLineChars="200"/>
        <w:rPr>
          <w:rFonts w:hint="eastAsia"/>
        </w:rPr>
      </w:pPr>
      <w:r>
        <w:rPr>
          <w:rFonts w:hint="eastAsia"/>
        </w:rPr>
        <w:t>③提供虚假的项目经理或者主要技术人员简历、劳动关系证明；</w:t>
      </w:r>
    </w:p>
    <w:p>
      <w:pPr>
        <w:ind w:firstLine="420" w:firstLineChars="200"/>
        <w:rPr>
          <w:rFonts w:hint="eastAsia"/>
        </w:rPr>
      </w:pPr>
      <w:r>
        <w:rPr>
          <w:rFonts w:hint="eastAsia"/>
        </w:rPr>
        <w:t>④提供虚假的信用状况；</w:t>
      </w:r>
    </w:p>
    <w:p>
      <w:pPr>
        <w:ind w:firstLine="420" w:firstLineChars="200"/>
        <w:rPr>
          <w:rFonts w:hint="eastAsia"/>
        </w:rPr>
      </w:pPr>
      <w:r>
        <w:rPr>
          <w:rFonts w:hint="eastAsia"/>
        </w:rPr>
        <w:t>⑤其他弄虚作假的行为。</w:t>
      </w:r>
    </w:p>
    <w:p>
      <w:pPr>
        <w:pStyle w:val="56"/>
        <w:rPr>
          <w:rFonts w:hint="eastAsia"/>
        </w:rPr>
      </w:pPr>
      <w:r>
        <w:rPr>
          <w:rFonts w:hint="eastAsia"/>
        </w:rPr>
        <w:t>10.7行贿犯罪档案及失信被执行人名单查询</w:t>
      </w:r>
    </w:p>
    <w:p>
      <w:pPr>
        <w:ind w:firstLine="420" w:firstLineChars="200"/>
        <w:rPr>
          <w:rFonts w:hint="eastAsia"/>
        </w:rPr>
      </w:pPr>
      <w:r>
        <w:rPr>
          <w:rFonts w:hint="eastAsia"/>
        </w:rPr>
        <w:t>（1）参加投标的单位、法定代表人及其拟派参加投标的项目经理不得有行贿犯罪档案记录，行贿犯罪档案的查询期限为3年</w:t>
      </w:r>
      <w:r>
        <w:rPr>
          <w:rFonts w:hint="eastAsia"/>
          <w:szCs w:val="21"/>
        </w:rPr>
        <w:t>（</w:t>
      </w:r>
      <w:r>
        <w:rPr>
          <w:rFonts w:hint="eastAsia" w:ascii="新宋体" w:hAnsi="新宋体" w:eastAsia="新宋体" w:cs="新宋体"/>
          <w:kern w:val="0"/>
          <w:szCs w:val="21"/>
          <w:lang w:bidi="ar"/>
        </w:rPr>
        <w:t>以信用中国网站（www.creditchina.gov.cn）、中国政府采购网（</w:t>
      </w:r>
      <w:r>
        <w:rPr>
          <w:rFonts w:hint="eastAsia" w:asciiTheme="minorEastAsia" w:hAnsiTheme="minorEastAsia" w:eastAsiaTheme="minorEastAsia"/>
          <w:szCs w:val="21"/>
        </w:rPr>
        <w:t>www.ccgp.gov.cn</w:t>
      </w:r>
      <w:r>
        <w:rPr>
          <w:rFonts w:hint="eastAsia" w:ascii="新宋体" w:hAnsi="新宋体" w:eastAsia="新宋体" w:cs="新宋体"/>
          <w:kern w:val="0"/>
          <w:szCs w:val="21"/>
          <w:lang w:bidi="ar"/>
        </w:rPr>
        <w:t>）公布为准）。</w:t>
      </w:r>
      <w:r>
        <w:rPr>
          <w:rFonts w:hint="eastAsia"/>
        </w:rPr>
        <w:t>），否则取消中标候选人资格，重新组织招标。</w:t>
      </w:r>
    </w:p>
    <w:p>
      <w:pPr>
        <w:ind w:firstLine="420" w:firstLineChars="200"/>
        <w:rPr>
          <w:rFonts w:hint="eastAsia"/>
        </w:rPr>
      </w:pPr>
      <w:r>
        <w:rPr>
          <w:rFonts w:hint="eastAsia"/>
        </w:rPr>
        <w:t>（2）要求投标人在中标公示结束前没有被人民法院列入失信被执行人（法人或其他组织）名单，若投标人在中标公示结束前已执行完结需提供法院结案的有关法律文书，否则取消中标候选人资格。若第一中标候选人被取消中标资格的，重新组织招标。</w:t>
      </w:r>
    </w:p>
    <w:p>
      <w:pPr>
        <w:rPr>
          <w:rFonts w:hint="eastAsia" w:eastAsia="黑体" w:cs="宋体"/>
          <w:sz w:val="24"/>
          <w:szCs w:val="20"/>
        </w:rPr>
      </w:pPr>
      <w:r>
        <w:rPr>
          <w:rFonts w:hint="eastAsia" w:eastAsia="黑体" w:cs="宋体"/>
          <w:sz w:val="24"/>
          <w:szCs w:val="20"/>
        </w:rPr>
        <w:t>10.8弄虚作假投标行为的认定</w:t>
      </w:r>
    </w:p>
    <w:p>
      <w:pPr>
        <w:ind w:firstLine="630" w:firstLineChars="300"/>
        <w:rPr>
          <w:rFonts w:hint="eastAsia"/>
        </w:rPr>
      </w:pPr>
      <w:r>
        <w:rPr>
          <w:rFonts w:hint="eastAsia"/>
        </w:rPr>
        <w:t>（1）使用通过受让或者租借等方式获取的资格、资质证书投标的，属于招标投标法第三十三条规定的以他人名义投标。</w:t>
      </w:r>
    </w:p>
    <w:p>
      <w:pPr>
        <w:ind w:firstLine="630" w:firstLineChars="300"/>
        <w:rPr>
          <w:rFonts w:hint="eastAsia"/>
        </w:rPr>
      </w:pPr>
      <w:r>
        <w:rPr>
          <w:rFonts w:hint="eastAsia"/>
        </w:rPr>
        <w:t>（2）投标人有下列情形之一的，属于招标投标法第三十三条规定的以其他方式弄虚作假的行为：</w:t>
      </w:r>
    </w:p>
    <w:p>
      <w:pPr>
        <w:ind w:firstLine="420" w:firstLineChars="200"/>
        <w:rPr>
          <w:rFonts w:hint="eastAsia"/>
        </w:rPr>
      </w:pPr>
      <w:r>
        <w:rPr>
          <w:rFonts w:hint="eastAsia"/>
        </w:rPr>
        <w:t>①使用伪造、变造的许可证件；</w:t>
      </w:r>
    </w:p>
    <w:p>
      <w:pPr>
        <w:ind w:firstLine="420" w:firstLineChars="200"/>
        <w:rPr>
          <w:rFonts w:hint="eastAsia"/>
        </w:rPr>
      </w:pPr>
      <w:r>
        <w:rPr>
          <w:rFonts w:hint="eastAsia"/>
        </w:rPr>
        <w:t>②提供虚假的财务状况或者业绩；</w:t>
      </w:r>
    </w:p>
    <w:p>
      <w:pPr>
        <w:ind w:firstLine="420" w:firstLineChars="200"/>
        <w:rPr>
          <w:rFonts w:hint="eastAsia"/>
        </w:rPr>
      </w:pPr>
      <w:r>
        <w:rPr>
          <w:rFonts w:hint="eastAsia"/>
        </w:rPr>
        <w:t>③提供虚假的项目经理或者主要技术人员简历、劳动关系证明；</w:t>
      </w:r>
    </w:p>
    <w:p>
      <w:pPr>
        <w:ind w:firstLine="420" w:firstLineChars="200"/>
        <w:rPr>
          <w:rFonts w:hint="eastAsia"/>
        </w:rPr>
      </w:pPr>
      <w:r>
        <w:rPr>
          <w:rFonts w:hint="eastAsia"/>
        </w:rPr>
        <w:t>④提供虚假的信用状况；</w:t>
      </w:r>
    </w:p>
    <w:p>
      <w:pPr>
        <w:ind w:firstLine="420" w:firstLineChars="200"/>
        <w:rPr>
          <w:rFonts w:hint="eastAsia"/>
        </w:rPr>
      </w:pPr>
      <w:r>
        <w:rPr>
          <w:rFonts w:hint="eastAsia"/>
        </w:rPr>
        <w:t>⑤其他弄虚作假的行为。</w:t>
      </w:r>
    </w:p>
    <w:p>
      <w:pPr>
        <w:pStyle w:val="56"/>
        <w:rPr>
          <w:rFonts w:hint="eastAsia"/>
        </w:rPr>
      </w:pPr>
      <w:r>
        <w:rPr>
          <w:rFonts w:hint="eastAsia"/>
        </w:rPr>
        <w:t>10.9串通投标行为的认定</w:t>
      </w:r>
    </w:p>
    <w:p>
      <w:pPr>
        <w:ind w:firstLine="420" w:firstLineChars="200"/>
        <w:rPr>
          <w:rFonts w:hint="eastAsia"/>
          <w:szCs w:val="21"/>
        </w:rPr>
      </w:pPr>
      <w:r>
        <w:rPr>
          <w:rFonts w:hint="eastAsia"/>
        </w:rPr>
        <w:t>根据《中华人民共和国招标投标法实施条例》有下列情形之一的，属于串通投标行为：</w:t>
      </w:r>
    </w:p>
    <w:p>
      <w:pPr>
        <w:pStyle w:val="52"/>
        <w:numPr>
          <w:ilvl w:val="0"/>
          <w:numId w:val="1"/>
        </w:numPr>
        <w:ind w:firstLineChars="0"/>
      </w:pPr>
      <w:r>
        <w:rPr>
          <w:rFonts w:hint="eastAsia"/>
        </w:rPr>
        <w:t>投标人之间协商投标报价等投标文件的实质性内容；</w:t>
      </w:r>
    </w:p>
    <w:p>
      <w:pPr>
        <w:pStyle w:val="52"/>
        <w:numPr>
          <w:ilvl w:val="0"/>
          <w:numId w:val="1"/>
        </w:numPr>
        <w:ind w:firstLineChars="0"/>
      </w:pPr>
      <w:r>
        <w:rPr>
          <w:rFonts w:hint="eastAsia"/>
        </w:rPr>
        <w:t>投标人之间约定中标人；</w:t>
      </w:r>
    </w:p>
    <w:p>
      <w:pPr>
        <w:pStyle w:val="52"/>
        <w:numPr>
          <w:ilvl w:val="0"/>
          <w:numId w:val="1"/>
        </w:numPr>
        <w:ind w:firstLineChars="0"/>
      </w:pPr>
      <w:r>
        <w:rPr>
          <w:rFonts w:hint="eastAsia"/>
        </w:rPr>
        <w:t>投标人之间约定部分投标人放弃投标或者中标；</w:t>
      </w:r>
    </w:p>
    <w:p>
      <w:pPr>
        <w:pStyle w:val="52"/>
        <w:numPr>
          <w:ilvl w:val="0"/>
          <w:numId w:val="1"/>
        </w:numPr>
        <w:ind w:firstLineChars="0"/>
      </w:pPr>
      <w:r>
        <w:rPr>
          <w:rFonts w:hint="eastAsia"/>
        </w:rPr>
        <w:t>属于同一集团、协会、商会等组织成员的投标人按照该组织要求协同投标；</w:t>
      </w:r>
    </w:p>
    <w:p>
      <w:pPr>
        <w:pStyle w:val="52"/>
        <w:numPr>
          <w:ilvl w:val="0"/>
          <w:numId w:val="1"/>
        </w:numPr>
        <w:ind w:firstLineChars="0"/>
      </w:pPr>
      <w:r>
        <w:rPr>
          <w:rFonts w:hint="eastAsia"/>
        </w:rPr>
        <w:t>投标人之间为谋取中标或者排斥特定投标人而采取的其他联合行动。</w:t>
      </w:r>
    </w:p>
    <w:p>
      <w:pPr>
        <w:pStyle w:val="52"/>
        <w:numPr>
          <w:ilvl w:val="0"/>
          <w:numId w:val="1"/>
        </w:numPr>
        <w:ind w:firstLineChars="0"/>
      </w:pPr>
      <w:r>
        <w:rPr>
          <w:rFonts w:hint="eastAsia"/>
        </w:rPr>
        <w:t>不同投标人的投标文件由同一单位或者个人编制；</w:t>
      </w:r>
    </w:p>
    <w:p>
      <w:pPr>
        <w:pStyle w:val="52"/>
        <w:numPr>
          <w:ilvl w:val="0"/>
          <w:numId w:val="1"/>
        </w:numPr>
        <w:ind w:firstLineChars="0"/>
      </w:pPr>
      <w:r>
        <w:rPr>
          <w:rFonts w:hint="eastAsia"/>
        </w:rPr>
        <w:t>不同投标人委托同一单位或者个人办理投标事宜；</w:t>
      </w:r>
    </w:p>
    <w:p>
      <w:pPr>
        <w:pStyle w:val="52"/>
        <w:numPr>
          <w:ilvl w:val="0"/>
          <w:numId w:val="1"/>
        </w:numPr>
        <w:ind w:firstLineChars="0"/>
      </w:pPr>
      <w:r>
        <w:rPr>
          <w:rFonts w:hint="eastAsia"/>
        </w:rPr>
        <w:t>不同投标人的投标文件载明的项目管理成员为同一人；</w:t>
      </w:r>
    </w:p>
    <w:p>
      <w:pPr>
        <w:pStyle w:val="52"/>
        <w:numPr>
          <w:ilvl w:val="0"/>
          <w:numId w:val="1"/>
        </w:numPr>
        <w:ind w:firstLineChars="0"/>
      </w:pPr>
      <w:r>
        <w:rPr>
          <w:rFonts w:hint="eastAsia"/>
        </w:rPr>
        <w:t>不同投标人的投标文件异常一致或者投标报价呈规律性差异；</w:t>
      </w:r>
    </w:p>
    <w:p>
      <w:pPr>
        <w:pStyle w:val="52"/>
        <w:numPr>
          <w:ilvl w:val="0"/>
          <w:numId w:val="1"/>
        </w:numPr>
        <w:ind w:firstLineChars="0"/>
      </w:pPr>
      <w:r>
        <w:rPr>
          <w:rFonts w:hint="eastAsia"/>
        </w:rPr>
        <w:t>不同投标人的投标文件相互混装；</w:t>
      </w:r>
    </w:p>
    <w:p>
      <w:pPr>
        <w:pStyle w:val="52"/>
        <w:numPr>
          <w:ilvl w:val="0"/>
          <w:numId w:val="1"/>
        </w:numPr>
        <w:ind w:firstLineChars="0"/>
      </w:pPr>
      <w:r>
        <w:rPr>
          <w:rFonts w:hint="eastAsia"/>
        </w:rPr>
        <w:t>不同投标人的投标金从同一单位或者个人的账户转出；</w:t>
      </w:r>
    </w:p>
    <w:p>
      <w:pPr>
        <w:pStyle w:val="52"/>
        <w:numPr>
          <w:ilvl w:val="0"/>
          <w:numId w:val="1"/>
        </w:numPr>
        <w:ind w:firstLineChars="0"/>
      </w:pPr>
      <w:r>
        <w:rPr>
          <w:rFonts w:hint="eastAsia"/>
        </w:rPr>
        <w:t>招标人在开标前开启投标文件并将有关信息泄露给其他投标人；</w:t>
      </w:r>
    </w:p>
    <w:p>
      <w:pPr>
        <w:pStyle w:val="52"/>
        <w:numPr>
          <w:ilvl w:val="0"/>
          <w:numId w:val="1"/>
        </w:numPr>
        <w:ind w:firstLineChars="0"/>
      </w:pPr>
      <w:r>
        <w:rPr>
          <w:rFonts w:hint="eastAsia"/>
        </w:rPr>
        <w:t>招标人直接或者间接向投标人泄露标底、评标委员会成员等信息；</w:t>
      </w:r>
    </w:p>
    <w:p>
      <w:pPr>
        <w:pStyle w:val="52"/>
        <w:numPr>
          <w:ilvl w:val="0"/>
          <w:numId w:val="1"/>
        </w:numPr>
        <w:ind w:firstLineChars="0"/>
      </w:pPr>
      <w:r>
        <w:rPr>
          <w:rFonts w:hint="eastAsia"/>
        </w:rPr>
        <w:t>招标人明示或者暗示投标人压低或者抬高投标报价；</w:t>
      </w:r>
    </w:p>
    <w:p>
      <w:pPr>
        <w:pStyle w:val="52"/>
        <w:numPr>
          <w:ilvl w:val="0"/>
          <w:numId w:val="1"/>
        </w:numPr>
        <w:ind w:firstLineChars="0"/>
      </w:pPr>
      <w:r>
        <w:rPr>
          <w:rFonts w:hint="eastAsia"/>
        </w:rPr>
        <w:t>招标人授意投标人撤换、修改投标文件；</w:t>
      </w:r>
    </w:p>
    <w:p>
      <w:pPr>
        <w:pStyle w:val="52"/>
        <w:numPr>
          <w:ilvl w:val="0"/>
          <w:numId w:val="1"/>
        </w:numPr>
        <w:ind w:firstLineChars="0"/>
      </w:pPr>
      <w:r>
        <w:rPr>
          <w:rFonts w:hint="eastAsia"/>
        </w:rPr>
        <w:t>招标人明示或者暗示投标人为特定投标人中标提供方便；</w:t>
      </w:r>
    </w:p>
    <w:p>
      <w:pPr>
        <w:pStyle w:val="52"/>
        <w:numPr>
          <w:ilvl w:val="0"/>
          <w:numId w:val="1"/>
        </w:numPr>
        <w:ind w:firstLineChars="0"/>
      </w:pPr>
      <w:r>
        <w:rPr>
          <w:rFonts w:hint="eastAsia"/>
        </w:rPr>
        <w:t>招标人与投标人为谋求特定投标人中标而采取的其他串通行为。</w:t>
      </w:r>
    </w:p>
    <w:p>
      <w:pPr>
        <w:pStyle w:val="56"/>
        <w:rPr>
          <w:rFonts w:hint="eastAsia"/>
        </w:rPr>
      </w:pPr>
      <w:r>
        <w:rPr>
          <w:rFonts w:hint="eastAsia"/>
        </w:rPr>
        <w:t>10.10招标、评标、中标无效</w:t>
      </w:r>
    </w:p>
    <w:p>
      <w:pPr>
        <w:ind w:firstLine="420" w:firstLineChars="200"/>
        <w:rPr>
          <w:rFonts w:hint="eastAsia"/>
        </w:rPr>
      </w:pPr>
      <w:r>
        <w:rPr>
          <w:rFonts w:hint="eastAsia"/>
        </w:rPr>
        <w:t>依法必须进行招标的项目的招标投标活动违反招标投标法和招标投标法实施条例的规定，对中标结果造成实质性影响，且不能采取补救措施予以纠正的，招标、投标、中标无效，应当依法重新招标或者评标。</w:t>
      </w:r>
    </w:p>
    <w:p>
      <w:pPr>
        <w:pStyle w:val="56"/>
        <w:rPr>
          <w:rFonts w:hint="eastAsia"/>
        </w:rPr>
      </w:pPr>
      <w:r>
        <w:rPr>
          <w:rFonts w:hint="eastAsia"/>
        </w:rPr>
        <w:t>10.11创文明施工标准化工地要求</w:t>
      </w:r>
    </w:p>
    <w:p>
      <w:pPr>
        <w:ind w:firstLine="420" w:firstLineChars="200"/>
        <w:rPr>
          <w:rFonts w:hint="eastAsia"/>
        </w:rPr>
      </w:pPr>
      <w:r>
        <w:rPr>
          <w:rFonts w:hint="eastAsia"/>
        </w:rPr>
        <w:t>创文明标化工地要求见投标须知前附表。</w:t>
      </w:r>
    </w:p>
    <w:p>
      <w:pPr>
        <w:pStyle w:val="56"/>
        <w:rPr>
          <w:rFonts w:hint="eastAsia"/>
        </w:rPr>
      </w:pPr>
      <w:r>
        <w:rPr>
          <w:rFonts w:hint="eastAsia"/>
        </w:rPr>
        <w:t>10.12招标人补充的其他内容见投标须知前附表。</w:t>
      </w:r>
      <w:bookmarkStart w:id="79" w:name="_Toc144974554"/>
      <w:bookmarkStart w:id="80" w:name="_Toc152045587"/>
      <w:bookmarkStart w:id="81" w:name="_Toc179632605"/>
      <w:bookmarkStart w:id="82" w:name="_Toc152042364"/>
    </w:p>
    <w:p>
      <w:pPr>
        <w:pStyle w:val="2"/>
        <w:spacing w:before="120" w:beforeLines="50" w:after="120" w:afterLines="50" w:line="276" w:lineRule="auto"/>
        <w:jc w:val="center"/>
        <w:rPr>
          <w:rFonts w:hint="eastAsia"/>
        </w:rPr>
      </w:pPr>
      <w:r>
        <w:rPr>
          <w:rFonts w:hint="eastAsia"/>
        </w:rPr>
        <w:br w:type="page"/>
      </w:r>
      <w:bookmarkStart w:id="83" w:name="_Toc32302"/>
      <w:r>
        <w:rPr>
          <w:rFonts w:hint="eastAsia"/>
        </w:rPr>
        <w:t>第三章  评标办法</w:t>
      </w:r>
      <w:bookmarkEnd w:id="79"/>
      <w:bookmarkEnd w:id="80"/>
      <w:bookmarkEnd w:id="81"/>
      <w:bookmarkEnd w:id="82"/>
      <w:bookmarkEnd w:id="83"/>
      <w:r>
        <w:rPr>
          <w:rFonts w:hint="eastAsia"/>
        </w:rPr>
        <w:t xml:space="preserve">（综合评估法）        </w:t>
      </w:r>
      <w:bookmarkStart w:id="84" w:name="_Toc154675072"/>
      <w:bookmarkStart w:id="85" w:name="_Toc415561144"/>
      <w:r>
        <w:rPr>
          <w:rFonts w:hint="eastAsia"/>
        </w:rPr>
        <w:t xml:space="preserve">  评标办法前附表</w:t>
      </w:r>
    </w:p>
    <w:tbl>
      <w:tblPr>
        <w:tblStyle w:val="25"/>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70"/>
        <w:gridCol w:w="2252"/>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37" w:type="dxa"/>
            <w:gridSpan w:val="2"/>
            <w:tcBorders>
              <w:top w:val="single" w:color="auto" w:sz="4" w:space="0"/>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szCs w:val="21"/>
              </w:rPr>
            </w:pPr>
            <w:r>
              <w:rPr>
                <w:rFonts w:hint="eastAsia"/>
                <w:b/>
              </w:rPr>
              <w:t>条款号</w:t>
            </w: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评审因素</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37" w:type="dxa"/>
            <w:gridSpan w:val="2"/>
            <w:tcBorders>
              <w:top w:val="single" w:color="auto" w:sz="4" w:space="0"/>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1</w:t>
            </w:r>
          </w:p>
        </w:tc>
        <w:tc>
          <w:tcPr>
            <w:tcW w:w="2252"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jc w:val="center"/>
              <w:rPr>
                <w:rFonts w:hint="eastAsia" w:ascii="宋体" w:hAnsi="宋体"/>
              </w:rPr>
            </w:pPr>
            <w:r>
              <w:rPr>
                <w:rFonts w:hint="eastAsia" w:ascii="宋体" w:hAnsi="宋体"/>
              </w:rPr>
              <w:t>评标办法</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jc w:val="center"/>
              <w:rPr>
                <w:rFonts w:hint="eastAsia" w:ascii="宋体" w:hAnsi="宋体"/>
              </w:rPr>
            </w:pPr>
            <w:r>
              <w:rPr>
                <w:rFonts w:hint="eastAsia" w:ascii="宋体" w:hAnsi="宋体"/>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1</w:t>
            </w:r>
          </w:p>
        </w:tc>
        <w:tc>
          <w:tcPr>
            <w:tcW w:w="1470"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资格、商务技术标初步评审标准</w:t>
            </w: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评审因素</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restart"/>
            <w:tcBorders>
              <w:top w:val="nil"/>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spacing w:val="-20"/>
              </w:rPr>
            </w:pPr>
            <w:r>
              <w:rPr>
                <w:rFonts w:hint="eastAsia"/>
                <w:spacing w:val="-20"/>
              </w:rPr>
              <w:t>2</w:t>
            </w:r>
          </w:p>
        </w:tc>
        <w:tc>
          <w:tcPr>
            <w:tcW w:w="1470" w:type="dxa"/>
            <w:vMerge w:val="restart"/>
            <w:tcBorders>
              <w:top w:val="nil"/>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形式评</w:t>
            </w:r>
          </w:p>
          <w:p>
            <w:pPr>
              <w:tabs>
                <w:tab w:val="left" w:pos="3234"/>
              </w:tabs>
              <w:autoSpaceDE w:val="0"/>
              <w:snapToGrid w:val="0"/>
              <w:spacing w:line="400" w:lineRule="exact"/>
              <w:jc w:val="center"/>
              <w:rPr>
                <w:rFonts w:hint="eastAsia"/>
              </w:rPr>
            </w:pPr>
            <w:r>
              <w:rPr>
                <w:rFonts w:hint="eastAsia"/>
              </w:rPr>
              <w:t>审标准</w:t>
            </w:r>
          </w:p>
        </w:tc>
        <w:tc>
          <w:tcPr>
            <w:tcW w:w="2252" w:type="dxa"/>
            <w:tcBorders>
              <w:top w:val="single" w:color="auto" w:sz="4" w:space="0"/>
              <w:left w:val="nil"/>
              <w:bottom w:val="single" w:color="auto" w:sz="4" w:space="0"/>
              <w:right w:val="single" w:color="auto" w:sz="4" w:space="0"/>
            </w:tcBorders>
            <w:vAlign w:val="center"/>
          </w:tcPr>
          <w:p>
            <w:pPr>
              <w:pStyle w:val="71"/>
              <w:kinsoku w:val="0"/>
              <w:wordWrap w:val="0"/>
              <w:autoSpaceDE w:val="0"/>
              <w:adjustRightInd w:val="0"/>
              <w:snapToGrid w:val="0"/>
              <w:spacing w:line="400" w:lineRule="exact"/>
              <w:jc w:val="center"/>
              <w:rPr>
                <w:rFonts w:hint="eastAsia" w:ascii="宋体" w:hAnsi="宋体"/>
              </w:rPr>
            </w:pPr>
            <w:r>
              <w:rPr>
                <w:rFonts w:hint="eastAsia" w:ascii="宋体" w:hAnsi="宋体"/>
              </w:rPr>
              <w:t>投标人名称</w:t>
            </w:r>
          </w:p>
        </w:tc>
        <w:tc>
          <w:tcPr>
            <w:tcW w:w="6148" w:type="dxa"/>
            <w:tcBorders>
              <w:top w:val="single" w:color="auto" w:sz="4" w:space="0"/>
              <w:left w:val="nil"/>
              <w:bottom w:val="single" w:color="auto" w:sz="4" w:space="0"/>
              <w:right w:val="single" w:color="auto" w:sz="4" w:space="0"/>
            </w:tcBorders>
            <w:vAlign w:val="center"/>
          </w:tcPr>
          <w:p>
            <w:pPr>
              <w:pStyle w:val="71"/>
              <w:kinsoku w:val="0"/>
              <w:wordWrap w:val="0"/>
              <w:autoSpaceDE w:val="0"/>
              <w:adjustRightInd w:val="0"/>
              <w:snapToGrid w:val="0"/>
              <w:spacing w:line="400" w:lineRule="exact"/>
              <w:rPr>
                <w:rFonts w:hint="eastAsia" w:ascii="宋体" w:hAnsi="宋体"/>
              </w:rPr>
            </w:pPr>
            <w:r>
              <w:rPr>
                <w:rFonts w:hint="eastAsia" w:ascii="宋体" w:hAnsi="宋体"/>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pacing w:val="-20"/>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kinsoku w:val="0"/>
              <w:wordWrap w:val="0"/>
              <w:autoSpaceDE w:val="0"/>
              <w:snapToGrid w:val="0"/>
              <w:spacing w:line="400" w:lineRule="exact"/>
              <w:ind w:left="0" w:leftChars="0" w:firstLine="210" w:firstLineChars="100"/>
              <w:jc w:val="center"/>
              <w:rPr>
                <w:rFonts w:hint="eastAsia"/>
                <w:szCs w:val="21"/>
              </w:rPr>
            </w:pPr>
            <w:r>
              <w:rPr>
                <w:rFonts w:hint="eastAsia"/>
                <w:szCs w:val="21"/>
              </w:rPr>
              <w:t>投标文件签字盖章</w:t>
            </w:r>
          </w:p>
        </w:tc>
        <w:tc>
          <w:tcPr>
            <w:tcW w:w="6148" w:type="dxa"/>
            <w:tcBorders>
              <w:top w:val="single" w:color="auto" w:sz="4" w:space="0"/>
              <w:left w:val="nil"/>
              <w:bottom w:val="single" w:color="auto" w:sz="4" w:space="0"/>
              <w:right w:val="single" w:color="auto" w:sz="4" w:space="0"/>
            </w:tcBorders>
            <w:vAlign w:val="center"/>
          </w:tcPr>
          <w:p>
            <w:pPr>
              <w:pStyle w:val="71"/>
              <w:kinsoku w:val="0"/>
              <w:wordWrap w:val="0"/>
              <w:autoSpaceDE w:val="0"/>
              <w:adjustRightInd w:val="0"/>
              <w:snapToGrid w:val="0"/>
              <w:spacing w:line="400" w:lineRule="exact"/>
              <w:rPr>
                <w:rFonts w:hint="eastAsia" w:ascii="宋体" w:hAnsi="宋体"/>
              </w:rPr>
            </w:pPr>
            <w:r>
              <w:rPr>
                <w:rFonts w:hint="eastAsia" w:ascii="宋体" w:hAnsi="宋体"/>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pacing w:val="-20"/>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kinsoku w:val="0"/>
              <w:wordWrap w:val="0"/>
              <w:autoSpaceDE w:val="0"/>
              <w:snapToGrid w:val="0"/>
              <w:spacing w:line="400" w:lineRule="exact"/>
              <w:ind w:left="0" w:leftChars="0"/>
              <w:jc w:val="center"/>
              <w:rPr>
                <w:rFonts w:hint="eastAsia"/>
                <w:szCs w:val="21"/>
              </w:rPr>
            </w:pPr>
            <w:r>
              <w:rPr>
                <w:rFonts w:hint="eastAsia"/>
                <w:szCs w:val="21"/>
              </w:rPr>
              <w:t>投标文件格式</w:t>
            </w:r>
          </w:p>
        </w:tc>
        <w:tc>
          <w:tcPr>
            <w:tcW w:w="6148" w:type="dxa"/>
            <w:tcBorders>
              <w:top w:val="single" w:color="auto" w:sz="4" w:space="0"/>
              <w:left w:val="nil"/>
              <w:bottom w:val="single" w:color="auto" w:sz="4" w:space="0"/>
              <w:right w:val="single" w:color="auto" w:sz="4" w:space="0"/>
            </w:tcBorders>
            <w:vAlign w:val="center"/>
          </w:tcPr>
          <w:p>
            <w:pPr>
              <w:pStyle w:val="71"/>
              <w:kinsoku w:val="0"/>
              <w:wordWrap w:val="0"/>
              <w:autoSpaceDE w:val="0"/>
              <w:adjustRightInd w:val="0"/>
              <w:snapToGrid w:val="0"/>
              <w:spacing w:line="400" w:lineRule="exact"/>
              <w:rPr>
                <w:rFonts w:hint="eastAsia" w:ascii="宋体" w:hAnsi="宋体"/>
              </w:rPr>
            </w:pPr>
            <w:r>
              <w:rPr>
                <w:rFonts w:hint="eastAsia" w:ascii="宋体" w:hAnsi="宋体"/>
              </w:rPr>
              <w:t>符合第八章“投标文件格式”的要求或格式略有改变但不影响投标文件的评审。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pacing w:val="-20"/>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kinsoku w:val="0"/>
              <w:wordWrap w:val="0"/>
              <w:autoSpaceDE w:val="0"/>
              <w:snapToGrid w:val="0"/>
              <w:spacing w:line="400" w:lineRule="exact"/>
              <w:ind w:left="0" w:leftChars="0"/>
              <w:jc w:val="center"/>
              <w:rPr>
                <w:rFonts w:hint="eastAsia"/>
                <w:szCs w:val="21"/>
              </w:rPr>
            </w:pPr>
            <w:r>
              <w:rPr>
                <w:rFonts w:hint="eastAsia"/>
                <w:szCs w:val="21"/>
              </w:rPr>
              <w:t>其他</w:t>
            </w:r>
          </w:p>
        </w:tc>
        <w:tc>
          <w:tcPr>
            <w:tcW w:w="6148" w:type="dxa"/>
            <w:tcBorders>
              <w:top w:val="single" w:color="auto" w:sz="4" w:space="0"/>
              <w:left w:val="nil"/>
              <w:bottom w:val="single" w:color="auto" w:sz="4" w:space="0"/>
              <w:right w:val="single" w:color="auto" w:sz="4" w:space="0"/>
            </w:tcBorders>
            <w:vAlign w:val="center"/>
          </w:tcPr>
          <w:p>
            <w:pPr>
              <w:pStyle w:val="71"/>
              <w:kinsoku w:val="0"/>
              <w:wordWrap w:val="0"/>
              <w:autoSpaceDE w:val="0"/>
              <w:adjustRightInd w:val="0"/>
              <w:snapToGrid w:val="0"/>
              <w:spacing w:line="400" w:lineRule="exact"/>
              <w:rPr>
                <w:rFonts w:hint="eastAsia" w:ascii="宋体" w:hAnsi="宋体"/>
              </w:rPr>
            </w:pPr>
            <w:r>
              <w:rPr>
                <w:rFonts w:hint="eastAsia" w:ascii="宋体" w:hAnsi="宋体"/>
              </w:rPr>
              <w:t>不同投标人的电子投标文件编制时的计算机硬件信息中网卡MAC地址（如有）、硬盘（含移动存储介质）序列号（0ptane_0000、0100_0000_0000_0000序列号除外）、互联网接入IP地址相同。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restart"/>
            <w:tcBorders>
              <w:top w:val="nil"/>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spacing w:val="-20"/>
              </w:rPr>
              <w:t>3</w:t>
            </w:r>
          </w:p>
        </w:tc>
        <w:tc>
          <w:tcPr>
            <w:tcW w:w="1470" w:type="dxa"/>
            <w:vMerge w:val="restart"/>
            <w:tcBorders>
              <w:top w:val="nil"/>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资格评审标准</w:t>
            </w: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szCs w:val="21"/>
              </w:rPr>
            </w:pPr>
            <w:r>
              <w:rPr>
                <w:rFonts w:hint="eastAsia"/>
                <w:szCs w:val="21"/>
              </w:rPr>
              <w:t>资审文件编制内容</w:t>
            </w:r>
          </w:p>
        </w:tc>
        <w:tc>
          <w:tcPr>
            <w:tcW w:w="6148"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left"/>
              <w:rPr>
                <w:rFonts w:hint="eastAsia"/>
                <w:szCs w:val="21"/>
              </w:rPr>
            </w:pPr>
            <w:r>
              <w:rPr>
                <w:rFonts w:hint="eastAsia"/>
                <w:szCs w:val="21"/>
              </w:rPr>
              <w:t>符合第二章“投标人须知前附表一”规定，内容齐全。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szCs w:val="21"/>
              </w:rPr>
            </w:pPr>
            <w:r>
              <w:rPr>
                <w:rFonts w:hint="eastAsia"/>
                <w:szCs w:val="21"/>
              </w:rPr>
              <w:t>营业执照</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jc w:val="left"/>
              <w:rPr>
                <w:rFonts w:hint="eastAsia" w:ascii="宋体" w:hAnsi="宋体"/>
              </w:rPr>
            </w:pPr>
            <w:r>
              <w:rPr>
                <w:rFonts w:hint="eastAsia" w:ascii="宋体" w:hAnsi="宋体"/>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szCs w:val="21"/>
              </w:rPr>
            </w:pPr>
            <w:r>
              <w:rPr>
                <w:rFonts w:hint="eastAsia"/>
                <w:szCs w:val="21"/>
              </w:rPr>
              <w:t>安全生产许可证</w:t>
            </w:r>
          </w:p>
        </w:tc>
        <w:tc>
          <w:tcPr>
            <w:tcW w:w="6148"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rPr>
                <w:rFonts w:hint="eastAsia"/>
                <w:szCs w:val="21"/>
              </w:rPr>
            </w:pPr>
            <w:r>
              <w:rPr>
                <w:rFonts w:hint="eastAsia"/>
                <w:szCs w:val="21"/>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szCs w:val="21"/>
              </w:rPr>
            </w:pPr>
            <w:r>
              <w:rPr>
                <w:rFonts w:hint="eastAsia"/>
                <w:szCs w:val="21"/>
              </w:rPr>
              <w:t>投标保证金</w:t>
            </w:r>
          </w:p>
        </w:tc>
        <w:tc>
          <w:tcPr>
            <w:tcW w:w="6148"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rPr>
                <w:rFonts w:hint="eastAsia"/>
                <w:szCs w:val="21"/>
              </w:rPr>
            </w:pPr>
            <w:r>
              <w:rPr>
                <w:rFonts w:hint="eastAsia"/>
                <w:szCs w:val="21"/>
              </w:rPr>
              <w:t>符合第二章“投标人须知。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szCs w:val="21"/>
              </w:rPr>
            </w:pPr>
            <w:r>
              <w:rPr>
                <w:rFonts w:hint="eastAsia"/>
                <w:szCs w:val="21"/>
              </w:rPr>
              <w:t>资质等级</w:t>
            </w:r>
          </w:p>
        </w:tc>
        <w:tc>
          <w:tcPr>
            <w:tcW w:w="6148"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left"/>
              <w:rPr>
                <w:rFonts w:hint="eastAsia"/>
                <w:szCs w:val="21"/>
              </w:rPr>
            </w:pPr>
            <w:r>
              <w:rPr>
                <w:rFonts w:hint="eastAsia"/>
                <w:szCs w:val="21"/>
              </w:rPr>
              <w:t>符合第二章“投标人须知前附表”规定。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szCs w:val="21"/>
              </w:rPr>
            </w:pPr>
            <w:r>
              <w:rPr>
                <w:rFonts w:hint="eastAsia"/>
                <w:szCs w:val="21"/>
              </w:rPr>
              <w:t>项目经理</w:t>
            </w:r>
          </w:p>
        </w:tc>
        <w:tc>
          <w:tcPr>
            <w:tcW w:w="6148"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left"/>
              <w:rPr>
                <w:rFonts w:hint="eastAsia"/>
                <w:szCs w:val="21"/>
              </w:rPr>
            </w:pPr>
            <w:r>
              <w:rPr>
                <w:rFonts w:hint="eastAsia"/>
                <w:szCs w:val="21"/>
              </w:rPr>
              <w:t>符合第二章“投标人须知前附表”规定。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szCs w:val="21"/>
              </w:rPr>
            </w:pPr>
            <w:r>
              <w:rPr>
                <w:rFonts w:hint="eastAsia"/>
                <w:szCs w:val="21"/>
              </w:rPr>
              <w:t>安全员</w:t>
            </w:r>
          </w:p>
        </w:tc>
        <w:tc>
          <w:tcPr>
            <w:tcW w:w="6148"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left"/>
              <w:rPr>
                <w:rFonts w:hint="eastAsia"/>
                <w:szCs w:val="21"/>
              </w:rPr>
            </w:pPr>
            <w:r>
              <w:rPr>
                <w:rFonts w:hint="eastAsia"/>
                <w:szCs w:val="21"/>
              </w:rPr>
              <w:t>符合第二章“投标人须知前附表”规定。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szCs w:val="21"/>
              </w:rPr>
            </w:pPr>
            <w:r>
              <w:rPr>
                <w:rFonts w:hint="eastAsia"/>
              </w:rPr>
              <w:t>其他实质性要求响应</w:t>
            </w:r>
          </w:p>
        </w:tc>
        <w:tc>
          <w:tcPr>
            <w:tcW w:w="6148" w:type="dxa"/>
            <w:tcBorders>
              <w:top w:val="single" w:color="auto" w:sz="4" w:space="0"/>
              <w:left w:val="nil"/>
              <w:bottom w:val="single" w:color="auto" w:sz="4" w:space="0"/>
              <w:right w:val="single" w:color="auto" w:sz="4" w:space="0"/>
            </w:tcBorders>
            <w:vAlign w:val="center"/>
          </w:tcPr>
          <w:p>
            <w:pPr>
              <w:autoSpaceDE w:val="0"/>
              <w:snapToGrid w:val="0"/>
              <w:spacing w:line="400" w:lineRule="exact"/>
              <w:rPr>
                <w:rFonts w:hint="eastAsia"/>
              </w:rPr>
            </w:pPr>
            <w:r>
              <w:rPr>
                <w:rFonts w:hint="eastAsia"/>
              </w:rPr>
              <w:t>符合第三章“</w:t>
            </w:r>
            <w:bookmarkStart w:id="86" w:name="OLE_LINK70"/>
            <w:r>
              <w:rPr>
                <w:rFonts w:hint="eastAsia"/>
              </w:rPr>
              <w:t>初步评审</w:t>
            </w:r>
            <w:bookmarkEnd w:id="86"/>
            <w:r>
              <w:rPr>
                <w:rFonts w:hint="eastAsia"/>
              </w:rPr>
              <w:t>”条款所涉及的要求。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67" w:type="dxa"/>
            <w:vMerge w:val="restart"/>
            <w:tcBorders>
              <w:top w:val="nil"/>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spacing w:val="-20"/>
              </w:rPr>
              <w:t>4</w:t>
            </w:r>
          </w:p>
        </w:tc>
        <w:tc>
          <w:tcPr>
            <w:tcW w:w="1470" w:type="dxa"/>
            <w:vMerge w:val="restart"/>
            <w:tcBorders>
              <w:top w:val="nil"/>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商务技</w:t>
            </w:r>
          </w:p>
          <w:p>
            <w:pPr>
              <w:tabs>
                <w:tab w:val="left" w:pos="3234"/>
              </w:tabs>
              <w:autoSpaceDE w:val="0"/>
              <w:snapToGrid w:val="0"/>
              <w:spacing w:line="400" w:lineRule="exact"/>
              <w:jc w:val="center"/>
              <w:rPr>
                <w:rFonts w:hint="eastAsia"/>
              </w:rPr>
            </w:pPr>
            <w:r>
              <w:rPr>
                <w:rFonts w:hint="eastAsia"/>
              </w:rPr>
              <w:t>术标评</w:t>
            </w:r>
          </w:p>
          <w:p>
            <w:pPr>
              <w:tabs>
                <w:tab w:val="left" w:pos="3234"/>
              </w:tabs>
              <w:autoSpaceDE w:val="0"/>
              <w:snapToGrid w:val="0"/>
              <w:spacing w:line="400" w:lineRule="exact"/>
              <w:jc w:val="center"/>
              <w:rPr>
                <w:rFonts w:hint="eastAsia"/>
              </w:rPr>
            </w:pPr>
            <w:r>
              <w:rPr>
                <w:rFonts w:hint="eastAsia"/>
              </w:rPr>
              <w:t>审标准</w:t>
            </w: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商务技术标编制内容</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left"/>
              <w:rPr>
                <w:rFonts w:hint="eastAsia"/>
              </w:rPr>
            </w:pPr>
            <w:r>
              <w:rPr>
                <w:rFonts w:hint="eastAsia"/>
              </w:rPr>
              <w:t>符合第二章“投标人须知前附表”规定，内容齐全。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技术标准和要求</w:t>
            </w:r>
          </w:p>
        </w:tc>
        <w:tc>
          <w:tcPr>
            <w:tcW w:w="6148" w:type="dxa"/>
            <w:tcBorders>
              <w:top w:val="single" w:color="auto" w:sz="4" w:space="0"/>
              <w:left w:val="nil"/>
              <w:bottom w:val="single" w:color="auto" w:sz="4" w:space="0"/>
              <w:right w:val="single" w:color="auto" w:sz="4" w:space="0"/>
            </w:tcBorders>
            <w:vAlign w:val="center"/>
          </w:tcPr>
          <w:p>
            <w:pPr>
              <w:autoSpaceDE w:val="0"/>
              <w:snapToGrid w:val="0"/>
              <w:spacing w:line="400" w:lineRule="exact"/>
              <w:rPr>
                <w:rFonts w:hint="eastAsia"/>
              </w:rPr>
            </w:pPr>
            <w:r>
              <w:rPr>
                <w:rFonts w:hint="eastAsia"/>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其他实质性要求响应</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left"/>
              <w:rPr>
                <w:rFonts w:hint="eastAsia"/>
              </w:rPr>
            </w:pPr>
            <w:r>
              <w:rPr>
                <w:rFonts w:hint="eastAsia"/>
              </w:rPr>
              <w:t>商务技术标中无招标人不能接受的条件，且符合第三章 “初步评审”条款所涉及的要求。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5</w:t>
            </w:r>
          </w:p>
        </w:tc>
        <w:tc>
          <w:tcPr>
            <w:tcW w:w="1470"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商务技术标详细评审标准</w:t>
            </w: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b/>
              </w:rPr>
              <w:t>评审或量化因素</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rPr>
                <w:rFonts w:hint="eastAsia"/>
              </w:rPr>
            </w:pPr>
            <w:r>
              <w:rPr>
                <w:rFonts w:hint="eastAsia"/>
                <w:b/>
              </w:rPr>
              <w:t>评审或评分标准详见 “评标细则”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6</w:t>
            </w:r>
          </w:p>
        </w:tc>
        <w:tc>
          <w:tcPr>
            <w:tcW w:w="1470"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价格标初步评审标准</w:t>
            </w: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评审因素</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rPr>
                <w:rFonts w:hint="eastAsia"/>
                <w:b/>
              </w:rPr>
            </w:pPr>
            <w:r>
              <w:rPr>
                <w:rFonts w:hint="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7" w:type="dxa"/>
            <w:vMerge w:val="restart"/>
            <w:tcBorders>
              <w:top w:val="nil"/>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spacing w:val="-20"/>
              </w:rPr>
              <w:t>7</w:t>
            </w:r>
          </w:p>
        </w:tc>
        <w:tc>
          <w:tcPr>
            <w:tcW w:w="1470" w:type="dxa"/>
            <w:vMerge w:val="restart"/>
            <w:tcBorders>
              <w:top w:val="nil"/>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价格标评审标准</w:t>
            </w:r>
          </w:p>
        </w:tc>
        <w:tc>
          <w:tcPr>
            <w:tcW w:w="2252" w:type="dxa"/>
            <w:tcBorders>
              <w:top w:val="single" w:color="auto" w:sz="4" w:space="0"/>
              <w:left w:val="nil"/>
              <w:bottom w:val="single" w:color="auto" w:sz="4" w:space="0"/>
              <w:right w:val="single" w:color="auto" w:sz="4" w:space="0"/>
            </w:tcBorders>
            <w:vAlign w:val="center"/>
          </w:tcPr>
          <w:p>
            <w:pPr>
              <w:pStyle w:val="16"/>
              <w:kinsoku w:val="0"/>
              <w:autoSpaceDE w:val="0"/>
              <w:snapToGrid w:val="0"/>
              <w:spacing w:line="400" w:lineRule="exact"/>
              <w:ind w:left="0" w:leftChars="0"/>
              <w:jc w:val="center"/>
              <w:rPr>
                <w:rFonts w:hint="eastAsia"/>
                <w:b/>
              </w:rPr>
            </w:pPr>
            <w:r>
              <w:rPr>
                <w:rFonts w:hint="eastAsia"/>
                <w:szCs w:val="21"/>
              </w:rPr>
              <w:t>投标文件签字盖章</w:t>
            </w:r>
          </w:p>
        </w:tc>
        <w:tc>
          <w:tcPr>
            <w:tcW w:w="6148" w:type="dxa"/>
            <w:tcBorders>
              <w:top w:val="single" w:color="auto" w:sz="4" w:space="0"/>
              <w:left w:val="nil"/>
              <w:bottom w:val="single" w:color="auto" w:sz="4" w:space="0"/>
              <w:right w:val="single" w:color="auto" w:sz="4" w:space="0"/>
            </w:tcBorders>
            <w:vAlign w:val="center"/>
          </w:tcPr>
          <w:p>
            <w:pPr>
              <w:pStyle w:val="71"/>
              <w:kinsoku w:val="0"/>
              <w:wordWrap w:val="0"/>
              <w:autoSpaceDE w:val="0"/>
              <w:adjustRightInd w:val="0"/>
              <w:snapToGrid w:val="0"/>
              <w:spacing w:line="400" w:lineRule="exact"/>
              <w:rPr>
                <w:rFonts w:hint="eastAsia" w:ascii="宋体" w:hAnsi="宋体"/>
                <w:b/>
              </w:rPr>
            </w:pPr>
            <w:r>
              <w:rPr>
                <w:rFonts w:hint="eastAsia" w:ascii="宋体" w:hAnsi="宋体"/>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pStyle w:val="16"/>
              <w:kinsoku w:val="0"/>
              <w:wordWrap w:val="0"/>
              <w:autoSpaceDE w:val="0"/>
              <w:snapToGrid w:val="0"/>
              <w:spacing w:line="400" w:lineRule="exact"/>
              <w:ind w:left="0" w:leftChars="0"/>
              <w:jc w:val="center"/>
              <w:rPr>
                <w:rFonts w:hint="eastAsia"/>
                <w:b/>
              </w:rPr>
            </w:pPr>
            <w:r>
              <w:rPr>
                <w:rFonts w:hint="eastAsia"/>
                <w:szCs w:val="21"/>
              </w:rPr>
              <w:t>投标文件格式</w:t>
            </w:r>
          </w:p>
        </w:tc>
        <w:tc>
          <w:tcPr>
            <w:tcW w:w="6148" w:type="dxa"/>
            <w:tcBorders>
              <w:top w:val="single" w:color="auto" w:sz="4" w:space="0"/>
              <w:left w:val="nil"/>
              <w:bottom w:val="single" w:color="auto" w:sz="4" w:space="0"/>
              <w:right w:val="single" w:color="auto" w:sz="4" w:space="0"/>
            </w:tcBorders>
            <w:vAlign w:val="center"/>
          </w:tcPr>
          <w:p>
            <w:pPr>
              <w:pStyle w:val="71"/>
              <w:kinsoku w:val="0"/>
              <w:wordWrap w:val="0"/>
              <w:autoSpaceDE w:val="0"/>
              <w:adjustRightInd w:val="0"/>
              <w:snapToGrid w:val="0"/>
              <w:spacing w:line="400" w:lineRule="exact"/>
              <w:rPr>
                <w:rFonts w:hint="eastAsia" w:ascii="宋体" w:hAnsi="宋体"/>
                <w:b/>
              </w:rPr>
            </w:pPr>
            <w:r>
              <w:rPr>
                <w:rFonts w:hint="eastAsia" w:ascii="宋体" w:hAnsi="宋体"/>
              </w:rPr>
              <w:t>符合第八章“投标文件格式”的要求或格式略有改变但不影响投标文件的评审。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pStyle w:val="16"/>
              <w:autoSpaceDE w:val="0"/>
              <w:snapToGrid w:val="0"/>
              <w:spacing w:line="400" w:lineRule="exact"/>
              <w:ind w:left="0" w:leftChars="0"/>
              <w:jc w:val="center"/>
              <w:rPr>
                <w:rFonts w:hint="eastAsia"/>
                <w:b/>
              </w:rPr>
            </w:pPr>
            <w:r>
              <w:rPr>
                <w:rFonts w:hint="eastAsia"/>
                <w:szCs w:val="21"/>
              </w:rPr>
              <w:t>价格标编制内容</w:t>
            </w:r>
          </w:p>
        </w:tc>
        <w:tc>
          <w:tcPr>
            <w:tcW w:w="6148" w:type="dxa"/>
            <w:tcBorders>
              <w:top w:val="single" w:color="auto" w:sz="4" w:space="0"/>
              <w:left w:val="nil"/>
              <w:bottom w:val="single" w:color="auto" w:sz="4" w:space="0"/>
              <w:right w:val="single" w:color="auto" w:sz="4" w:space="0"/>
            </w:tcBorders>
            <w:vAlign w:val="center"/>
          </w:tcPr>
          <w:p>
            <w:pPr>
              <w:autoSpaceDE w:val="0"/>
              <w:snapToGrid w:val="0"/>
              <w:spacing w:line="400" w:lineRule="exact"/>
              <w:rPr>
                <w:rFonts w:hint="eastAsia"/>
                <w:b/>
              </w:rPr>
            </w:pPr>
            <w:r>
              <w:rPr>
                <w:rFonts w:hint="eastAsia"/>
              </w:rPr>
              <w:t>符合第二章“投标人须知前附表”规定，内容齐全。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pStyle w:val="72"/>
              <w:autoSpaceDE w:val="0"/>
              <w:adjustRightInd w:val="0"/>
              <w:snapToGrid w:val="0"/>
              <w:spacing w:line="400" w:lineRule="exact"/>
              <w:jc w:val="center"/>
              <w:rPr>
                <w:rFonts w:hint="eastAsia" w:ascii="宋体" w:hAnsi="宋体"/>
                <w:b/>
              </w:rPr>
            </w:pPr>
            <w:r>
              <w:rPr>
                <w:rFonts w:hint="eastAsia" w:ascii="宋体" w:hAnsi="宋体"/>
              </w:rPr>
              <w:t>工程质量等级承诺</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符合第二章“投标人须知前附表”规定。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pStyle w:val="72"/>
              <w:autoSpaceDE w:val="0"/>
              <w:adjustRightInd w:val="0"/>
              <w:snapToGrid w:val="0"/>
              <w:spacing w:line="400" w:lineRule="exact"/>
              <w:jc w:val="center"/>
              <w:rPr>
                <w:rFonts w:hint="eastAsia" w:ascii="宋体" w:hAnsi="宋体"/>
                <w:b/>
              </w:rPr>
            </w:pPr>
            <w:r>
              <w:rPr>
                <w:rFonts w:hint="eastAsia" w:ascii="宋体" w:hAnsi="宋体"/>
              </w:rPr>
              <w:t>安全等级承诺</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符合第二章“投标人须知前附表”规定。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工期</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符合第二章“投标人须知前附表”规定。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投标函</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按规定内容填写，内容齐全。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投标函附录</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按规定内容填写。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投标有效期</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权利义务承诺</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已承诺同意招标文件第四章“合同条款及合同附件格式”。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投标报价</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1.投标函的投标（总）报价只有一个,或两个及以上投标（总）报价已声明哪个有效，或提交了两份及以上价格标投标文件已声明哪份有效；2.未超出本项目招标控制价。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工程量清单</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投标人提供的工程清单与计价表与招标人提供的相应工程量清单中的项目名称、项目特征、计量单位、工程量、备注应一致（经评审委员会询标可澄清的除外）。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暂列金、暂估价</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安全生产费用</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kinsoku w:val="0"/>
              <w:wordWrap w:val="0"/>
              <w:autoSpaceDE w:val="0"/>
              <w:snapToGrid w:val="0"/>
              <w:spacing w:line="400" w:lineRule="exact"/>
              <w:jc w:val="center"/>
              <w:rPr>
                <w:rFonts w:hint="eastAsia"/>
                <w:b/>
              </w:rPr>
            </w:pPr>
            <w:r>
              <w:rPr>
                <w:rFonts w:hint="eastAsia"/>
              </w:rPr>
              <w:t>招标人推荐的材料、设备品牌</w:t>
            </w:r>
          </w:p>
        </w:tc>
        <w:tc>
          <w:tcPr>
            <w:tcW w:w="6148" w:type="dxa"/>
            <w:tcBorders>
              <w:top w:val="single" w:color="auto" w:sz="4" w:space="0"/>
              <w:left w:val="nil"/>
              <w:bottom w:val="single" w:color="auto" w:sz="4" w:space="0"/>
              <w:right w:val="single" w:color="auto" w:sz="4" w:space="0"/>
            </w:tcBorders>
            <w:vAlign w:val="center"/>
          </w:tcPr>
          <w:p>
            <w:pPr>
              <w:pStyle w:val="71"/>
              <w:autoSpaceDE w:val="0"/>
              <w:adjustRightInd w:val="0"/>
              <w:snapToGrid w:val="0"/>
              <w:spacing w:line="400" w:lineRule="exact"/>
              <w:rPr>
                <w:rFonts w:hint="eastAsia" w:ascii="宋体" w:hAnsi="宋体"/>
                <w:b/>
              </w:rPr>
            </w:pPr>
            <w:r>
              <w:rPr>
                <w:rFonts w:hint="eastAsia" w:ascii="宋体" w:hAnsi="宋体"/>
              </w:rPr>
              <w:t>投标人对于招标人的材料品牌应在招标文件附件的选用品牌中或同档次及以上的品牌进行报价，须根据投标文件中价格标的格式“《材料品牌推荐表》”要求填写，否则作无效标处理。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szCs w:val="21"/>
              </w:rPr>
            </w:pPr>
          </w:p>
        </w:tc>
        <w:tc>
          <w:tcPr>
            <w:tcW w:w="1470" w:type="dxa"/>
            <w:vMerge w:val="continue"/>
            <w:tcBorders>
              <w:top w:val="nil"/>
              <w:left w:val="nil"/>
              <w:bottom w:val="single" w:color="auto" w:sz="4" w:space="0"/>
              <w:right w:val="single" w:color="auto" w:sz="4" w:space="0"/>
            </w:tcBorders>
            <w:vAlign w:val="center"/>
          </w:tcPr>
          <w:p>
            <w:pPr>
              <w:widowControl/>
              <w:jc w:val="left"/>
              <w:rPr>
                <w:rFonts w:hint="eastAsia"/>
                <w:b/>
                <w:szCs w:val="21"/>
              </w:rPr>
            </w:pP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rPr>
              <w:t>其他实质性要求响应</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left"/>
              <w:rPr>
                <w:rFonts w:hint="eastAsia"/>
                <w:b/>
              </w:rPr>
            </w:pPr>
            <w:r>
              <w:rPr>
                <w:rFonts w:hint="eastAsia"/>
              </w:rPr>
              <w:t>价格标中无招标人不能接受的条件，且符合第三章第3.1“初步评审”条款所涉及的要求。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rPr>
              <w:t>8</w:t>
            </w:r>
          </w:p>
        </w:tc>
        <w:tc>
          <w:tcPr>
            <w:tcW w:w="1470"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b/>
              </w:rPr>
            </w:pPr>
            <w:r>
              <w:rPr>
                <w:rFonts w:hint="eastAsia"/>
                <w:b/>
              </w:rPr>
              <w:t>价格标详细评审标准</w:t>
            </w:r>
          </w:p>
        </w:tc>
        <w:tc>
          <w:tcPr>
            <w:tcW w:w="2252"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jc w:val="center"/>
              <w:rPr>
                <w:rFonts w:hint="eastAsia"/>
              </w:rPr>
            </w:pPr>
            <w:r>
              <w:rPr>
                <w:rFonts w:hint="eastAsia"/>
                <w:b/>
              </w:rPr>
              <w:t>评审或量化因素</w:t>
            </w:r>
          </w:p>
        </w:tc>
        <w:tc>
          <w:tcPr>
            <w:tcW w:w="6148" w:type="dxa"/>
            <w:tcBorders>
              <w:top w:val="single" w:color="auto" w:sz="4" w:space="0"/>
              <w:left w:val="nil"/>
              <w:bottom w:val="single" w:color="auto" w:sz="4" w:space="0"/>
              <w:right w:val="single" w:color="auto" w:sz="4" w:space="0"/>
            </w:tcBorders>
            <w:vAlign w:val="center"/>
          </w:tcPr>
          <w:p>
            <w:pPr>
              <w:tabs>
                <w:tab w:val="left" w:pos="3234"/>
              </w:tabs>
              <w:autoSpaceDE w:val="0"/>
              <w:snapToGrid w:val="0"/>
              <w:spacing w:line="400" w:lineRule="exact"/>
              <w:rPr>
                <w:rFonts w:hint="eastAsia"/>
              </w:rPr>
            </w:pPr>
            <w:r>
              <w:rPr>
                <w:rFonts w:hint="eastAsia"/>
                <w:b/>
              </w:rPr>
              <w:t>评审或评分标准详见 “评标细则”</w:t>
            </w:r>
          </w:p>
        </w:tc>
      </w:tr>
      <w:bookmarkEnd w:id="84"/>
      <w:bookmarkEnd w:id="85"/>
    </w:tbl>
    <w:p>
      <w:pPr>
        <w:ind w:firstLine="422" w:firstLineChars="200"/>
        <w:rPr>
          <w:rFonts w:hint="eastAsia"/>
        </w:rPr>
      </w:pPr>
      <w:r>
        <w:rPr>
          <w:rFonts w:hint="eastAsia"/>
          <w:b/>
        </w:rPr>
        <w:t>一、评标方法</w:t>
      </w:r>
    </w:p>
    <w:p>
      <w:pPr>
        <w:ind w:firstLine="420" w:firstLineChars="200"/>
        <w:rPr>
          <w:rFonts w:hint="eastAsia"/>
        </w:rPr>
      </w:pPr>
      <w:r>
        <w:rPr>
          <w:rFonts w:hint="eastAsia"/>
        </w:rPr>
        <w:t>本次评标采用评标办法前附表规定的评标办法，评标小组对满足招标文件实质要求的投标文件，根据本章第2.2条款规定的办法，按照 “评标细则”规定的评分办法或定标原则确定中标人或推荐中标候选人。</w:t>
      </w:r>
    </w:p>
    <w:p>
      <w:pPr>
        <w:ind w:firstLine="422" w:firstLineChars="200"/>
        <w:rPr>
          <w:rFonts w:hint="eastAsia"/>
          <w:b/>
        </w:rPr>
      </w:pPr>
      <w:r>
        <w:rPr>
          <w:rFonts w:hint="eastAsia"/>
          <w:b/>
        </w:rPr>
        <w:t>二、评审标准</w:t>
      </w:r>
    </w:p>
    <w:p>
      <w:pPr>
        <w:ind w:firstLine="422" w:firstLineChars="200"/>
        <w:rPr>
          <w:rFonts w:hint="eastAsia"/>
          <w:b/>
        </w:rPr>
      </w:pPr>
      <w:r>
        <w:rPr>
          <w:rFonts w:hint="eastAsia"/>
          <w:b/>
        </w:rPr>
        <w:t>2.1 初步评审标准</w:t>
      </w:r>
    </w:p>
    <w:p>
      <w:pPr>
        <w:ind w:firstLine="420" w:firstLineChars="200"/>
        <w:rPr>
          <w:rFonts w:hint="eastAsia"/>
        </w:rPr>
      </w:pPr>
      <w:r>
        <w:rPr>
          <w:rFonts w:hint="eastAsia"/>
        </w:rPr>
        <w:t>2.1.1 形式评审标准：见评标办法前附表。</w:t>
      </w:r>
    </w:p>
    <w:p>
      <w:pPr>
        <w:ind w:firstLine="420" w:firstLineChars="200"/>
        <w:rPr>
          <w:rFonts w:hint="eastAsia"/>
        </w:rPr>
      </w:pPr>
      <w:r>
        <w:rPr>
          <w:rFonts w:hint="eastAsia"/>
        </w:rPr>
        <w:t>2.1.2 资格评审标准：见评标办法前附表。</w:t>
      </w:r>
    </w:p>
    <w:p>
      <w:pPr>
        <w:ind w:firstLine="420" w:firstLineChars="200"/>
        <w:rPr>
          <w:rFonts w:hint="eastAsia"/>
        </w:rPr>
      </w:pPr>
      <w:r>
        <w:rPr>
          <w:rFonts w:hint="eastAsia"/>
        </w:rPr>
        <w:t>2.1.3 商务技术标初步评审标准：见评标办法前附表。</w:t>
      </w:r>
    </w:p>
    <w:p>
      <w:pPr>
        <w:ind w:firstLine="420" w:firstLineChars="200"/>
        <w:rPr>
          <w:rFonts w:hint="eastAsia"/>
        </w:rPr>
      </w:pPr>
      <w:r>
        <w:rPr>
          <w:rFonts w:hint="eastAsia"/>
        </w:rPr>
        <w:t>2.3.1 价格标初步评审标准：见评标办法前附表。</w:t>
      </w:r>
    </w:p>
    <w:p>
      <w:pPr>
        <w:ind w:firstLine="422" w:firstLineChars="200"/>
        <w:rPr>
          <w:rFonts w:hint="eastAsia"/>
          <w:b/>
        </w:rPr>
      </w:pPr>
      <w:r>
        <w:rPr>
          <w:rFonts w:hint="eastAsia"/>
          <w:b/>
        </w:rPr>
        <w:t>2.2 详细评审标准</w:t>
      </w:r>
    </w:p>
    <w:p>
      <w:pPr>
        <w:ind w:firstLine="420" w:firstLineChars="200"/>
        <w:rPr>
          <w:rFonts w:hint="eastAsia"/>
        </w:rPr>
      </w:pPr>
      <w:r>
        <w:rPr>
          <w:rFonts w:hint="eastAsia"/>
        </w:rPr>
        <w:t>见“评标细则”。</w:t>
      </w:r>
    </w:p>
    <w:p>
      <w:pPr>
        <w:ind w:firstLine="422" w:firstLineChars="200"/>
        <w:rPr>
          <w:rFonts w:hint="eastAsia"/>
          <w:b/>
        </w:rPr>
      </w:pPr>
      <w:r>
        <w:rPr>
          <w:rFonts w:hint="eastAsia"/>
          <w:b/>
        </w:rPr>
        <w:t>三、评标程序</w:t>
      </w:r>
    </w:p>
    <w:p>
      <w:pPr>
        <w:ind w:firstLine="422" w:firstLineChars="200"/>
        <w:rPr>
          <w:rFonts w:hint="eastAsia"/>
          <w:b/>
          <w:bCs/>
        </w:rPr>
      </w:pPr>
      <w:r>
        <w:rPr>
          <w:rFonts w:hint="eastAsia"/>
          <w:b/>
          <w:bCs/>
        </w:rPr>
        <w:t>开启资格审查文件、商务技术标、公布价格标，进行资格性审查、资格性审查通过的单位进行商务技术标评审、进行价格标评审，提交评审报告。</w:t>
      </w:r>
    </w:p>
    <w:p>
      <w:pPr>
        <w:ind w:firstLine="422" w:firstLineChars="200"/>
        <w:rPr>
          <w:rFonts w:hint="eastAsia"/>
          <w:b/>
        </w:rPr>
      </w:pPr>
      <w:r>
        <w:rPr>
          <w:rFonts w:hint="eastAsia"/>
          <w:b/>
        </w:rPr>
        <w:t>3.1 初步评审</w:t>
      </w:r>
    </w:p>
    <w:p>
      <w:pPr>
        <w:ind w:firstLine="420" w:firstLineChars="200"/>
        <w:rPr>
          <w:rFonts w:hint="eastAsia"/>
          <w:b/>
          <w:bCs/>
        </w:rPr>
      </w:pPr>
      <w:r>
        <w:rPr>
          <w:rFonts w:hint="eastAsia"/>
        </w:rPr>
        <w:t>3.1.1评标委员会依据本章评标办法前附表规定的标准对投标人的资审文件进行初步评审，有一项不符合评审标准的投标文件作无效标处理。</w:t>
      </w:r>
    </w:p>
    <w:p>
      <w:pPr>
        <w:ind w:firstLine="420" w:firstLineChars="200"/>
        <w:rPr>
          <w:rFonts w:hint="eastAsia"/>
        </w:rPr>
      </w:pPr>
      <w:r>
        <w:rPr>
          <w:rFonts w:hint="eastAsia"/>
        </w:rPr>
        <w:t>3.1.2评标委员会依据本章评标办法前附表规定的标准对投标文件的商务技术标进行初步评审。有一项不符合评审标准的投标文件作无效标处理。</w:t>
      </w:r>
    </w:p>
    <w:p>
      <w:pPr>
        <w:ind w:firstLine="420" w:firstLineChars="200"/>
        <w:rPr>
          <w:rFonts w:hint="eastAsia"/>
        </w:rPr>
      </w:pPr>
      <w:r>
        <w:rPr>
          <w:rFonts w:hint="eastAsia"/>
        </w:rPr>
        <w:t>3.1.3评标委员会依据本章评标办法前附表规定的标准对投标文件的价格标进行初步评审。有一项不符合评审标准的投标文件作无效标处理。</w:t>
      </w:r>
    </w:p>
    <w:p>
      <w:pPr>
        <w:ind w:firstLine="420" w:firstLineChars="200"/>
        <w:rPr>
          <w:rFonts w:hint="eastAsia"/>
          <w:b/>
        </w:rPr>
      </w:pPr>
      <w:r>
        <w:rPr>
          <w:rFonts w:hint="eastAsia"/>
        </w:rPr>
        <w:t>3.1.4</w:t>
      </w:r>
      <w:r>
        <w:rPr>
          <w:rFonts w:hint="eastAsia"/>
          <w:b/>
        </w:rPr>
        <w:t>投标人有下列情形之一的，其投标文件作无效标处理：</w:t>
      </w:r>
    </w:p>
    <w:p>
      <w:pPr>
        <w:ind w:firstLine="420" w:firstLineChars="200"/>
        <w:rPr>
          <w:rFonts w:hint="eastAsia"/>
        </w:rPr>
      </w:pPr>
      <w:r>
        <w:rPr>
          <w:rFonts w:hint="eastAsia"/>
        </w:rPr>
        <w:t>3.1.4.1 第二章“总则”第1.4.2条款规定的任何一种情形的；</w:t>
      </w:r>
    </w:p>
    <w:p>
      <w:pPr>
        <w:ind w:firstLine="420" w:firstLineChars="200"/>
        <w:rPr>
          <w:rFonts w:hint="eastAsia"/>
        </w:rPr>
      </w:pPr>
      <w:r>
        <w:rPr>
          <w:rFonts w:hint="eastAsia"/>
        </w:rPr>
        <w:t>3.1.4.2 经评标小组认定，串通投标或弄虚作假或有其他违反有关招标投标法律、法规、规章行为的；</w:t>
      </w:r>
    </w:p>
    <w:p>
      <w:pPr>
        <w:ind w:firstLine="420" w:firstLineChars="200"/>
        <w:rPr>
          <w:rFonts w:hint="eastAsia"/>
        </w:rPr>
      </w:pPr>
      <w:r>
        <w:rPr>
          <w:rFonts w:hint="eastAsia"/>
        </w:rPr>
        <w:t>3.1.4.3 不按本章评标办法前附表规定对评标小组提出的有关投标文件存在的问题进行澄清、说明或补正的。</w:t>
      </w:r>
    </w:p>
    <w:p>
      <w:pPr>
        <w:ind w:firstLine="420" w:firstLineChars="200"/>
        <w:rPr>
          <w:rFonts w:hint="eastAsia"/>
        </w:rPr>
      </w:pPr>
      <w:r>
        <w:rPr>
          <w:rFonts w:hint="eastAsia"/>
        </w:rPr>
        <w:t>3.1.5投标报价形式的确认：工程量清单报价以综合单价为准，但评标依据为以单价和提供的工程量为基准的总价。</w:t>
      </w:r>
    </w:p>
    <w:p>
      <w:pPr>
        <w:ind w:firstLine="420" w:firstLineChars="200"/>
        <w:rPr>
          <w:rFonts w:hint="eastAsia"/>
        </w:rPr>
      </w:pPr>
      <w:r>
        <w:rPr>
          <w:rFonts w:hint="eastAsia"/>
        </w:rPr>
        <w:t>3.1.6投标报价有算术性错误的，评标小组按以下原则对投标报价进行修正，修正的价格经投标人书面确认后具有约束力。</w:t>
      </w:r>
      <w:r>
        <w:rPr>
          <w:rFonts w:hint="eastAsia"/>
          <w:b/>
        </w:rPr>
        <w:t>投标人不接受修正价格的，其投标文件作无效标处理。</w:t>
      </w:r>
    </w:p>
    <w:p>
      <w:pPr>
        <w:ind w:firstLine="420" w:firstLineChars="200"/>
        <w:rPr>
          <w:rFonts w:hint="eastAsia"/>
        </w:rPr>
      </w:pPr>
      <w:r>
        <w:rPr>
          <w:rFonts w:hint="eastAsia"/>
        </w:rPr>
        <w:t>3.1.6.1</w:t>
      </w:r>
      <w:r>
        <w:rPr>
          <w:rFonts w:hint="eastAsia"/>
          <w:b/>
        </w:rPr>
        <w:t>投标报价文件中算术性错误绝对值累计超过投标（总）报价的3％的，其价格标做无效标处理。</w:t>
      </w:r>
    </w:p>
    <w:p>
      <w:pPr>
        <w:ind w:firstLine="420" w:firstLineChars="200"/>
        <w:rPr>
          <w:rFonts w:hint="eastAsia"/>
        </w:rPr>
      </w:pPr>
      <w:r>
        <w:rPr>
          <w:rFonts w:hint="eastAsia"/>
        </w:rPr>
        <w:t>3.1.6.2投标文件中的大写金额与小写金额不一致的，以大写金额为准。</w:t>
      </w:r>
    </w:p>
    <w:p>
      <w:pPr>
        <w:ind w:firstLine="420" w:firstLineChars="200"/>
        <w:rPr>
          <w:rFonts w:hint="eastAsia"/>
        </w:rPr>
      </w:pPr>
      <w:r>
        <w:rPr>
          <w:rFonts w:hint="eastAsia"/>
        </w:rPr>
        <w:t>3.1.6.3总价金额与依据单价计算出的结果不一致的，以单价金额为准修正总价，但单价金额小数点有明显错误的除外。</w:t>
      </w:r>
    </w:p>
    <w:p>
      <w:pPr>
        <w:ind w:firstLine="420" w:firstLineChars="200"/>
        <w:rPr>
          <w:rFonts w:hint="eastAsia"/>
        </w:rPr>
      </w:pPr>
      <w:r>
        <w:rPr>
          <w:rFonts w:hint="eastAsia"/>
        </w:rPr>
        <w:t>3.1.6.4当单价与数量相乘不等于合价时，以单价计算为准，如果单价有明显的小数点位置差错，应以标出的合价为准，同时对单价予以修正。</w:t>
      </w:r>
    </w:p>
    <w:p>
      <w:pPr>
        <w:ind w:firstLine="420" w:firstLineChars="200"/>
        <w:rPr>
          <w:rFonts w:hint="eastAsia"/>
        </w:rPr>
      </w:pPr>
      <w:r>
        <w:rPr>
          <w:rFonts w:hint="eastAsia"/>
        </w:rPr>
        <w:t>3.1.6.5当各子项目的合价累计不等于总价时，应以各子项目核价累计数为准，修正总价。</w:t>
      </w:r>
    </w:p>
    <w:p>
      <w:pPr>
        <w:ind w:firstLine="420" w:firstLineChars="200"/>
        <w:rPr>
          <w:rFonts w:hint="eastAsia"/>
        </w:rPr>
      </w:pPr>
      <w:r>
        <w:rPr>
          <w:rFonts w:hint="eastAsia"/>
        </w:rPr>
        <w:t>3.1.7投标文件的响应性认定：</w:t>
      </w:r>
    </w:p>
    <w:p>
      <w:pPr>
        <w:ind w:firstLine="420" w:firstLineChars="200"/>
        <w:rPr>
          <w:rFonts w:hint="eastAsia"/>
        </w:rPr>
      </w:pPr>
      <w:r>
        <w:rPr>
          <w:rFonts w:hint="eastAsia"/>
        </w:rPr>
        <w:t>3.1.7.1在详细评审之前，评标小组将首先审查投标文件是否在实质上响应了招标文件的要求。所谓实质上响应，是指投标文件应与招标文件的所有实质性条款、条件、要求和规范相符，无显著差异或保留，或者对合同中约定的招标人的权利和投标人的义务方面造成重大限制，而且纠正这些显著差异或保留将会对其他实质上响应招标文件要求的投标文件的投标人的竞争地位产生不公正的影响。</w:t>
      </w:r>
    </w:p>
    <w:p>
      <w:pPr>
        <w:ind w:firstLine="420" w:firstLineChars="200"/>
        <w:rPr>
          <w:rFonts w:hint="eastAsia"/>
          <w:b/>
        </w:rPr>
      </w:pPr>
      <w:r>
        <w:rPr>
          <w:rFonts w:hint="eastAsia"/>
        </w:rPr>
        <w:t>3.1.7.2</w:t>
      </w:r>
      <w:r>
        <w:rPr>
          <w:rFonts w:hint="eastAsia"/>
          <w:b/>
        </w:rPr>
        <w:t>一般将投标报价、建设工期要求、投标有效期、质量要求、安全文明要求、商务技术标准和规范要求、投标担保要求、履约担保要求、违约经济责任及其他招标文件要求承诺的主要商务条款要求、项目管理机构人员配备要求、机械设备等配备要求、施工技术方案可行性等作为实质性内容。</w:t>
      </w:r>
    </w:p>
    <w:p>
      <w:pPr>
        <w:ind w:firstLine="420" w:firstLineChars="200"/>
        <w:rPr>
          <w:rFonts w:hint="eastAsia"/>
        </w:rPr>
      </w:pPr>
      <w:r>
        <w:rPr>
          <w:rFonts w:hint="eastAsia"/>
        </w:rPr>
        <w:t>3.1.7.3</w:t>
      </w:r>
      <w:r>
        <w:rPr>
          <w:rFonts w:hint="eastAsia"/>
          <w:b/>
        </w:rPr>
        <w:t>对实质上不响应招标文件要求的投标文件，将作无效标处理，并且不允许通过澄清、修正或撤消其不符合要求的差异或保留，使之成为具有响应性的投标</w:t>
      </w:r>
      <w:r>
        <w:rPr>
          <w:rFonts w:hint="eastAsia"/>
        </w:rPr>
        <w:t>。</w:t>
      </w:r>
    </w:p>
    <w:p>
      <w:pPr>
        <w:ind w:firstLine="420" w:firstLineChars="200"/>
        <w:rPr>
          <w:rFonts w:hint="eastAsia"/>
          <w:b/>
          <w:bCs/>
        </w:rPr>
      </w:pPr>
      <w:r>
        <w:rPr>
          <w:rFonts w:hint="eastAsia"/>
        </w:rPr>
        <w:t>3.1.7.4</w:t>
      </w:r>
      <w:r>
        <w:rPr>
          <w:rFonts w:hint="eastAsia"/>
          <w:b/>
          <w:bCs/>
        </w:rPr>
        <w:t>招标文件中标“★”条款均为实质性要求。</w:t>
      </w:r>
    </w:p>
    <w:p>
      <w:pPr>
        <w:ind w:firstLine="420" w:firstLineChars="200"/>
        <w:rPr>
          <w:rFonts w:hint="eastAsia"/>
          <w:b/>
        </w:rPr>
      </w:pPr>
      <w:r>
        <w:rPr>
          <w:rFonts w:hint="eastAsia"/>
        </w:rPr>
        <w:t>3.1.8</w:t>
      </w:r>
      <w:r>
        <w:rPr>
          <w:rFonts w:hint="eastAsia"/>
          <w:b/>
          <w:bCs/>
        </w:rPr>
        <w:t>评标委员会初步评审同时开启商务技术标，对商务技术标、价格标进行详细评审</w:t>
      </w:r>
      <w:r>
        <w:rPr>
          <w:rFonts w:hint="eastAsia"/>
          <w:b/>
        </w:rPr>
        <w:t>。</w:t>
      </w:r>
    </w:p>
    <w:p>
      <w:pPr>
        <w:ind w:firstLine="422" w:firstLineChars="200"/>
        <w:rPr>
          <w:rFonts w:hint="eastAsia"/>
          <w:b/>
        </w:rPr>
      </w:pPr>
      <w:r>
        <w:rPr>
          <w:rFonts w:hint="eastAsia"/>
          <w:b/>
        </w:rPr>
        <w:t>3.2 详细评审</w:t>
      </w:r>
    </w:p>
    <w:p>
      <w:pPr>
        <w:ind w:firstLine="420" w:firstLineChars="200"/>
        <w:rPr>
          <w:rFonts w:hint="eastAsia"/>
        </w:rPr>
      </w:pPr>
      <w:r>
        <w:rPr>
          <w:rFonts w:hint="eastAsia"/>
        </w:rPr>
        <w:t>3.2.1 对通过初步评审的商务技术标、价格标按附件“评标细则”规定的办法确定投标人的排名顺序。</w:t>
      </w:r>
    </w:p>
    <w:p>
      <w:pPr>
        <w:ind w:firstLine="420" w:firstLineChars="200"/>
        <w:rPr>
          <w:rFonts w:hint="eastAsia"/>
        </w:rPr>
      </w:pPr>
      <w:r>
        <w:rPr>
          <w:rFonts w:hint="eastAsia"/>
        </w:rPr>
        <w:t>3.2.2</w:t>
      </w:r>
      <w:r>
        <w:rPr>
          <w:rFonts w:hint="eastAsia"/>
          <w:b/>
        </w:rPr>
        <w:t>对被界定为低于成本价的投标报价或超出招标文件规定报价范围的投标报价，其投标应作无效标处理</w:t>
      </w:r>
      <w:r>
        <w:rPr>
          <w:rFonts w:hint="eastAsia"/>
        </w:rPr>
        <w:t>。</w:t>
      </w:r>
    </w:p>
    <w:p>
      <w:pPr>
        <w:ind w:firstLine="420" w:firstLineChars="200"/>
        <w:rPr>
          <w:rFonts w:hint="eastAsia"/>
        </w:rPr>
      </w:pPr>
      <w:r>
        <w:rPr>
          <w:rFonts w:hint="eastAsia"/>
        </w:rPr>
        <w:t>3.2.3经评标委员会详细评审，否决不合格投标或界定无效标后，因有效投标不足3个且明显缺乏竞争的，评标委员会可以否决全部投标。</w:t>
      </w:r>
    </w:p>
    <w:p>
      <w:pPr>
        <w:ind w:firstLine="420" w:firstLineChars="200"/>
        <w:rPr>
          <w:rFonts w:hint="eastAsia"/>
        </w:rPr>
      </w:pPr>
      <w:r>
        <w:rPr>
          <w:rFonts w:hint="eastAsia"/>
        </w:rPr>
        <w:t>3.2.4投标价格采用价格调整的，在评标时不应考虑执行合同期间的价格变化和允许调整的规定。</w:t>
      </w:r>
    </w:p>
    <w:p>
      <w:pPr>
        <w:ind w:firstLine="422" w:firstLineChars="200"/>
        <w:rPr>
          <w:rFonts w:hint="eastAsia"/>
          <w:b/>
        </w:rPr>
      </w:pPr>
      <w:r>
        <w:rPr>
          <w:rFonts w:hint="eastAsia"/>
          <w:b/>
        </w:rPr>
        <w:t>3.3投标文件的澄清、说明和补正</w:t>
      </w:r>
    </w:p>
    <w:p>
      <w:pPr>
        <w:ind w:firstLine="420" w:firstLineChars="200"/>
        <w:rPr>
          <w:rFonts w:hint="eastAsia"/>
        </w:rPr>
      </w:pPr>
      <w:r>
        <w:rPr>
          <w:rFonts w:hint="eastAsia"/>
        </w:rPr>
        <w:t>3.3.1评标小组可以书面形式要求投标人对投标文件含义不明确、对同类问题前后表述不一致或有明显的文字和计算错误的内容或其他细微偏差作必要的澄清或说明。评标小组不接受投标人主动提出的澄清、说明或补正。</w:t>
      </w:r>
    </w:p>
    <w:p>
      <w:pPr>
        <w:ind w:firstLine="420" w:firstLineChars="200"/>
        <w:rPr>
          <w:rFonts w:hint="eastAsia"/>
        </w:rPr>
      </w:pPr>
      <w:r>
        <w:rPr>
          <w:rFonts w:hint="eastAsia"/>
        </w:rPr>
        <w:t>3.3.2 下列情形可以认定为细微偏差：</w:t>
      </w:r>
    </w:p>
    <w:p>
      <w:pPr>
        <w:ind w:firstLine="420" w:firstLineChars="200"/>
        <w:rPr>
          <w:rFonts w:hint="eastAsia"/>
        </w:rPr>
      </w:pPr>
      <w:r>
        <w:rPr>
          <w:rFonts w:hint="eastAsia"/>
        </w:rPr>
        <w:t>3.3.2.1 经评标小组认定的不影响投标文件有效性的细微偏差。</w:t>
      </w:r>
    </w:p>
    <w:p>
      <w:pPr>
        <w:ind w:firstLine="420" w:firstLineChars="200"/>
        <w:rPr>
          <w:rFonts w:hint="eastAsia"/>
        </w:rPr>
      </w:pPr>
      <w:r>
        <w:rPr>
          <w:rFonts w:hint="eastAsia"/>
        </w:rPr>
        <w:t>3.3.2.2 投标报价文件中算术性错误绝对值累计未超过投标（总）报价的3％的。</w:t>
      </w:r>
    </w:p>
    <w:p>
      <w:pPr>
        <w:ind w:firstLine="420" w:firstLineChars="200"/>
        <w:rPr>
          <w:rFonts w:hint="eastAsia"/>
        </w:rPr>
      </w:pPr>
      <w:r>
        <w:rPr>
          <w:rFonts w:hint="eastAsia"/>
        </w:rPr>
        <w:t>3.3.3 投标人应采用书面形式进行澄清或说明，但不得超出投标文件的范围或改变投标文件的实质性内容。对同类问题表述不一致的内容，投标人应作出有利于招标人的澄清、说明或补正。</w:t>
      </w:r>
    </w:p>
    <w:p>
      <w:pPr>
        <w:ind w:firstLine="420" w:firstLineChars="200"/>
        <w:rPr>
          <w:rFonts w:hint="eastAsia"/>
        </w:rPr>
      </w:pPr>
      <w:r>
        <w:rPr>
          <w:rFonts w:hint="eastAsia"/>
        </w:rPr>
        <w:t>3.3.4 评标小组对投标人提交的澄清或说明有疑问的，可以要求投标人进一步作出澄清、说明或补正，直至满足评标小组的要求。</w:t>
      </w:r>
    </w:p>
    <w:p>
      <w:pPr>
        <w:ind w:firstLine="422" w:firstLineChars="200"/>
        <w:rPr>
          <w:rFonts w:hint="eastAsia"/>
          <w:b/>
        </w:rPr>
      </w:pPr>
      <w:r>
        <w:rPr>
          <w:rFonts w:hint="eastAsia"/>
          <w:b/>
        </w:rPr>
        <w:t>3.4 评标结果</w:t>
      </w:r>
    </w:p>
    <w:p>
      <w:pPr>
        <w:ind w:firstLine="420" w:firstLineChars="200"/>
        <w:rPr>
          <w:rFonts w:hint="eastAsia"/>
        </w:rPr>
      </w:pPr>
      <w:r>
        <w:rPr>
          <w:rFonts w:hint="eastAsia"/>
        </w:rPr>
        <w:t>3.4.1 除第二章“投标人须知前附表”规定招标人授权评标小组直接确定中标人外，评标小组按照“评标细则”规定的排名顺序推荐中标候选人。</w:t>
      </w:r>
    </w:p>
    <w:p>
      <w:pPr>
        <w:ind w:firstLine="420" w:firstLineChars="200"/>
        <w:rPr>
          <w:rFonts w:hint="eastAsia"/>
        </w:rPr>
      </w:pPr>
      <w:r>
        <w:rPr>
          <w:rFonts w:hint="eastAsia"/>
        </w:rPr>
        <w:t>3.4.2 评标小组完成评标后，应当向招标人招标办提交评标报告</w:t>
      </w:r>
      <w:r>
        <w:t>。</w:t>
      </w:r>
    </w:p>
    <w:p>
      <w:pPr>
        <w:widowControl/>
        <w:adjustRightInd/>
        <w:spacing w:line="240" w:lineRule="auto"/>
        <w:jc w:val="center"/>
        <w:textAlignment w:val="auto"/>
        <w:rPr>
          <w:rFonts w:hint="eastAsia"/>
          <w:b/>
          <w:bCs/>
          <w:sz w:val="28"/>
          <w:szCs w:val="36"/>
        </w:rPr>
      </w:pPr>
      <w:r>
        <w:br w:type="page"/>
      </w:r>
      <w:r>
        <w:rPr>
          <w:rFonts w:hint="eastAsia"/>
          <w:b/>
          <w:bCs/>
          <w:sz w:val="28"/>
          <w:szCs w:val="36"/>
        </w:rPr>
        <w:t>评标细则</w:t>
      </w:r>
    </w:p>
    <w:p>
      <w:pPr>
        <w:ind w:firstLine="420" w:firstLineChars="200"/>
        <w:rPr>
          <w:rFonts w:hint="eastAsia"/>
        </w:rPr>
      </w:pPr>
      <w:r>
        <w:rPr>
          <w:rFonts w:hint="eastAsia"/>
        </w:rPr>
        <w:t>一、根据第三章规定的评标办法，特制订本工程评标细则。</w:t>
      </w:r>
    </w:p>
    <w:p>
      <w:pPr>
        <w:ind w:firstLine="420" w:firstLineChars="200"/>
        <w:rPr>
          <w:rFonts w:hint="eastAsia"/>
        </w:rPr>
      </w:pPr>
      <w:r>
        <w:rPr>
          <w:rFonts w:hint="eastAsia"/>
        </w:rPr>
        <w:t>二、本项目投标文件由资审文件、商务技术标、价格标组成。满分100分，其中商务技术标满分为20分；价格标满分为80分。</w:t>
      </w:r>
    </w:p>
    <w:p>
      <w:pPr>
        <w:ind w:firstLine="420" w:firstLineChars="200"/>
        <w:rPr>
          <w:rFonts w:hint="eastAsia"/>
        </w:rPr>
      </w:pPr>
      <w:r>
        <w:rPr>
          <w:rFonts w:hint="eastAsia"/>
        </w:rPr>
        <w:t>三、评标委员会的评标工作将按以下程序进行：</w:t>
      </w:r>
    </w:p>
    <w:p>
      <w:pPr>
        <w:ind w:firstLine="420" w:firstLineChars="200"/>
        <w:rPr>
          <w:rFonts w:hint="eastAsia"/>
        </w:rPr>
      </w:pPr>
      <w:r>
        <w:rPr>
          <w:rFonts w:hint="eastAsia"/>
        </w:rPr>
        <w:t>1、形式评审。</w:t>
      </w:r>
    </w:p>
    <w:p>
      <w:pPr>
        <w:ind w:firstLine="420" w:firstLineChars="200"/>
        <w:rPr>
          <w:rFonts w:hint="eastAsia"/>
        </w:rPr>
      </w:pPr>
      <w:r>
        <w:rPr>
          <w:rFonts w:hint="eastAsia"/>
        </w:rPr>
        <w:t>形式评审。评标委员会对有效投标人按以下程序进行形式评审：对投标文件的签字盖章、标注、格式等是否符合第三章评标办法前附表第2.1.1项规定的标准进行评审。</w:t>
      </w:r>
    </w:p>
    <w:p>
      <w:pPr>
        <w:ind w:firstLine="420" w:firstLineChars="200"/>
        <w:rPr>
          <w:rFonts w:hint="eastAsia"/>
        </w:rPr>
      </w:pPr>
      <w:r>
        <w:rPr>
          <w:rFonts w:hint="eastAsia"/>
        </w:rPr>
        <w:t>2、资格条件评审。</w:t>
      </w:r>
    </w:p>
    <w:p>
      <w:pPr>
        <w:ind w:firstLine="420" w:firstLineChars="200"/>
        <w:rPr>
          <w:rFonts w:hint="eastAsia"/>
        </w:rPr>
      </w:pPr>
      <w:r>
        <w:rPr>
          <w:rFonts w:hint="eastAsia"/>
        </w:rPr>
        <w:t>资格条件评审。评标委员会对有效投标人按以下程序进行资格条件评审：对资审文件按照招标文件第三章评标办法前附表规定的资格评审标准对资审文件进行评审。</w:t>
      </w:r>
    </w:p>
    <w:p>
      <w:pPr>
        <w:ind w:firstLine="420" w:firstLineChars="200"/>
        <w:rPr>
          <w:rFonts w:hint="eastAsia"/>
        </w:rPr>
      </w:pPr>
      <w:r>
        <w:rPr>
          <w:rFonts w:hint="eastAsia"/>
        </w:rPr>
        <w:t>3、商务技术标评审（满分20分）</w:t>
      </w:r>
    </w:p>
    <w:p>
      <w:pPr>
        <w:ind w:firstLine="420" w:firstLineChars="200"/>
        <w:rPr>
          <w:rFonts w:hint="eastAsia"/>
        </w:rPr>
      </w:pPr>
      <w:r>
        <w:rPr>
          <w:rFonts w:hint="eastAsia"/>
        </w:rPr>
        <w:t>对资格条件合格的投标人的商务技术标按下列程序进行评审：</w:t>
      </w:r>
    </w:p>
    <w:p>
      <w:pPr>
        <w:ind w:firstLine="420" w:firstLineChars="200"/>
        <w:rPr>
          <w:rFonts w:hint="eastAsia"/>
        </w:rPr>
      </w:pPr>
      <w:r>
        <w:rPr>
          <w:rFonts w:hint="eastAsia"/>
        </w:rPr>
        <w:t>（1）对商务技术标的格式是否符合第三章评标办法前附表规定的标准进行初步评审，并按照招标文件第三章评标办法前附表规定的商务技术标评审标准对商务技术标进行初步评审；</w:t>
      </w:r>
    </w:p>
    <w:p>
      <w:pPr>
        <w:ind w:firstLine="420" w:firstLineChars="200"/>
        <w:rPr>
          <w:rFonts w:hint="eastAsia"/>
        </w:rPr>
      </w:pPr>
      <w:r>
        <w:rPr>
          <w:rFonts w:hint="eastAsia"/>
        </w:rPr>
        <w:t>（2）对通过初步评审的商务技术标，评标委员会将按下表所列评审内容和评审标准各自单独进行评分。商务技术标评分无固定进制（最多保留两位小数），取算术平均值（计算结果保留两位小数，第三位四舍五入）。</w:t>
      </w:r>
    </w:p>
    <w:tbl>
      <w:tblPr>
        <w:tblStyle w:val="2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5459"/>
        <w:gridCol w:w="1138"/>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87" w:type="dxa"/>
            <w:gridSpan w:val="2"/>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b/>
              </w:rPr>
            </w:pPr>
            <w:r>
              <w:rPr>
                <w:rFonts w:hint="eastAsia"/>
                <w:b/>
              </w:rPr>
              <w:t>评审内容</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b/>
              </w:rPr>
            </w:pPr>
            <w:bookmarkStart w:id="87" w:name="OLE_LINK48"/>
            <w:r>
              <w:rPr>
                <w:rFonts w:hint="eastAsia"/>
                <w:b/>
              </w:rPr>
              <w:t>优</w:t>
            </w:r>
            <w:bookmarkEnd w:id="87"/>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b/>
              </w:rPr>
            </w:pPr>
            <w:bookmarkStart w:id="88" w:name="OLE_LINK50"/>
            <w:r>
              <w:rPr>
                <w:rFonts w:hint="eastAsia"/>
                <w:b/>
              </w:rPr>
              <w:t>良</w:t>
            </w:r>
            <w:bookmarkEnd w:id="88"/>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b/>
              </w:rPr>
            </w:pPr>
            <w:bookmarkStart w:id="89" w:name="OLE_LINK51"/>
            <w:r>
              <w:rPr>
                <w:rFonts w:hint="eastAsia"/>
                <w:b/>
              </w:rPr>
              <w:t>一般</w:t>
            </w:r>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rPr>
            </w:pPr>
            <w:bookmarkStart w:id="90" w:name="_Hlk218673274"/>
            <w:r>
              <w:rPr>
                <w:rFonts w:hint="eastAsia" w:cs="宋体"/>
                <w:szCs w:val="21"/>
              </w:rPr>
              <w:t>1</w:t>
            </w:r>
          </w:p>
        </w:tc>
        <w:tc>
          <w:tcPr>
            <w:tcW w:w="545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szCs w:val="21"/>
              </w:rPr>
            </w:pPr>
            <w:bookmarkStart w:id="91" w:name="OLE_LINK57"/>
            <w:r>
              <w:rPr>
                <w:rFonts w:hint="eastAsia" w:cs="宋体"/>
                <w:szCs w:val="21"/>
              </w:rPr>
              <w:t>根据投标人综合实力（营业收入、资质等级、</w:t>
            </w:r>
            <w:r>
              <w:rPr>
                <w:rFonts w:hint="eastAsia"/>
                <w:szCs w:val="21"/>
              </w:rPr>
              <w:t>行业荣誉（如“守合同重信用”企业等）</w:t>
            </w:r>
            <w:r>
              <w:rPr>
                <w:rFonts w:hint="eastAsia" w:cs="宋体"/>
                <w:szCs w:val="21"/>
              </w:rPr>
              <w:t>），综合履约能力等</w:t>
            </w:r>
            <w:bookmarkStart w:id="92" w:name="OLE_LINK62"/>
            <w:r>
              <w:rPr>
                <w:rFonts w:hint="eastAsia" w:cs="宋体"/>
                <w:szCs w:val="21"/>
              </w:rPr>
              <w:t>酌情评分。</w:t>
            </w:r>
            <w:bookmarkEnd w:id="91"/>
            <w:bookmarkEnd w:id="92"/>
          </w:p>
        </w:tc>
        <w:tc>
          <w:tcPr>
            <w:tcW w:w="113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center"/>
              <w:textAlignment w:val="auto"/>
              <w:rPr>
                <w:rFonts w:hint="eastAsia"/>
                <w:bCs/>
                <w:szCs w:val="21"/>
              </w:rPr>
            </w:pPr>
            <w:r>
              <w:rPr>
                <w:rFonts w:hint="eastAsia" w:cs="宋体"/>
                <w:bCs/>
                <w:szCs w:val="21"/>
              </w:rPr>
              <w:t>（2-3]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bCs/>
                <w:szCs w:val="21"/>
              </w:rPr>
            </w:pPr>
            <w:r>
              <w:rPr>
                <w:rFonts w:hint="eastAsia" w:cs="宋体"/>
                <w:bCs/>
                <w:szCs w:val="21"/>
              </w:rPr>
              <w:t>（1-2]</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bCs/>
                <w:szCs w:val="21"/>
              </w:rPr>
            </w:pPr>
            <w:r>
              <w:rPr>
                <w:rFonts w:hint="eastAsia" w:cs="宋体"/>
                <w:bCs/>
                <w:szCs w:val="21"/>
              </w:rPr>
              <w:t>（0-1]</w:t>
            </w:r>
          </w:p>
        </w:tc>
      </w:tr>
      <w:bookmark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textAlignment w:val="auto"/>
              <w:rPr>
                <w:rFonts w:hint="eastAsia" w:cs="宋体"/>
                <w:szCs w:val="21"/>
              </w:rPr>
            </w:pPr>
            <w:r>
              <w:rPr>
                <w:rFonts w:hint="eastAsia" w:cs="宋体"/>
                <w:szCs w:val="21"/>
              </w:rPr>
              <w:t>2</w:t>
            </w:r>
          </w:p>
        </w:tc>
        <w:tc>
          <w:tcPr>
            <w:tcW w:w="545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cs="宋体"/>
                <w:bCs/>
                <w:szCs w:val="21"/>
                <w:highlight w:val="yellow"/>
              </w:rPr>
            </w:pPr>
            <w:bookmarkStart w:id="93" w:name="OLE_LINK58"/>
            <w:r>
              <w:rPr>
                <w:rFonts w:hint="eastAsia" w:cs="宋体"/>
                <w:bCs/>
                <w:szCs w:val="21"/>
              </w:rPr>
              <w:t>根据投标人提供的现场工作计划安排及施工方案（内容包括但不限于：现场工作计划安排、门禁项目施工方案等）情况进行</w:t>
            </w:r>
            <w:r>
              <w:rPr>
                <w:rFonts w:hint="eastAsia" w:cs="宋体"/>
                <w:szCs w:val="21"/>
              </w:rPr>
              <w:t>酌情评分</w:t>
            </w:r>
            <w:bookmarkEnd w:id="93"/>
            <w:r>
              <w:rPr>
                <w:rFonts w:hint="eastAsia" w:cs="宋体"/>
                <w:bCs/>
                <w:szCs w:val="21"/>
              </w:rPr>
              <w:t>。</w:t>
            </w:r>
          </w:p>
        </w:tc>
        <w:tc>
          <w:tcPr>
            <w:tcW w:w="113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center"/>
              <w:textAlignment w:val="auto"/>
              <w:rPr>
                <w:rFonts w:hint="eastAsia" w:cs="宋体"/>
                <w:bCs/>
                <w:szCs w:val="21"/>
              </w:rPr>
            </w:pPr>
            <w:r>
              <w:rPr>
                <w:rFonts w:hint="eastAsia" w:cs="宋体"/>
                <w:bCs/>
                <w:szCs w:val="21"/>
              </w:rPr>
              <w:t>（1.5-2]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center"/>
              <w:textAlignment w:val="auto"/>
              <w:rPr>
                <w:rFonts w:hint="eastAsia" w:cs="宋体"/>
                <w:bCs/>
                <w:szCs w:val="21"/>
              </w:rPr>
            </w:pPr>
            <w:r>
              <w:rPr>
                <w:rFonts w:hint="eastAsia" w:cs="宋体"/>
                <w:bCs/>
                <w:szCs w:val="21"/>
              </w:rPr>
              <w:t>（1-1.5]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center"/>
              <w:textAlignment w:val="auto"/>
              <w:rPr>
                <w:rFonts w:hint="eastAsia" w:cs="宋体"/>
                <w:bCs/>
                <w:szCs w:val="21"/>
              </w:rPr>
            </w:pPr>
            <w:r>
              <w:rPr>
                <w:rFonts w:hint="eastAsia" w:cs="宋体"/>
                <w:bCs/>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cs="宋体"/>
                <w:szCs w:val="21"/>
              </w:rPr>
            </w:pPr>
            <w:r>
              <w:rPr>
                <w:rFonts w:hint="eastAsia" w:cs="宋体"/>
                <w:szCs w:val="21"/>
              </w:rPr>
              <w:t>3</w:t>
            </w:r>
          </w:p>
        </w:tc>
        <w:tc>
          <w:tcPr>
            <w:tcW w:w="545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bCs/>
                <w:szCs w:val="21"/>
              </w:rPr>
            </w:pPr>
            <w:bookmarkStart w:id="94" w:name="OLE_LINK60"/>
            <w:r>
              <w:rPr>
                <w:bCs/>
                <w:szCs w:val="21"/>
              </w:rPr>
              <w:t>投标人</w:t>
            </w:r>
            <w:r>
              <w:rPr>
                <w:rFonts w:hint="eastAsia"/>
                <w:bCs/>
                <w:szCs w:val="21"/>
              </w:rPr>
              <w:t>所投产品主要技术指标应完成满足或优于招标文件要求，最高得12分；带“</w:t>
            </w:r>
            <w:r>
              <w:rPr>
                <w:rFonts w:cs="宋体"/>
                <w:color w:val="000000"/>
                <w:kern w:val="0"/>
                <w:sz w:val="18"/>
                <w:szCs w:val="18"/>
              </w:rPr>
              <w:t>▲</w:t>
            </w:r>
            <w:r>
              <w:rPr>
                <w:rFonts w:hint="eastAsia"/>
                <w:bCs/>
                <w:szCs w:val="21"/>
              </w:rPr>
              <w:t>”的要求为重要技术条款，负偏离的每条扣1分，扣完为止。(</w:t>
            </w:r>
            <w:bookmarkStart w:id="95" w:name="OLE_LINK52"/>
            <w:r>
              <w:rPr>
                <w:rFonts w:hint="eastAsia"/>
                <w:bCs/>
                <w:szCs w:val="21"/>
              </w:rPr>
              <w:t>要求提供产品参数证明并加盖原厂公章，未提供不得分</w:t>
            </w:r>
            <w:bookmarkEnd w:id="95"/>
            <w:r>
              <w:rPr>
                <w:rFonts w:hint="eastAsia"/>
                <w:bCs/>
                <w:szCs w:val="21"/>
              </w:rPr>
              <w:t>)</w:t>
            </w:r>
            <w:r>
              <w:rPr>
                <w:rFonts w:hint="eastAsia"/>
              </w:rPr>
              <w:t xml:space="preserve"> </w:t>
            </w:r>
            <w:bookmarkEnd w:id="94"/>
          </w:p>
        </w:tc>
        <w:tc>
          <w:tcPr>
            <w:tcW w:w="3264" w:type="dxa"/>
            <w:gridSpan w:val="3"/>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center"/>
              <w:textAlignment w:val="auto"/>
              <w:rPr>
                <w:rFonts w:hint="eastAsia" w:cs="宋体"/>
                <w:bCs/>
                <w:szCs w:val="21"/>
              </w:rPr>
            </w:pPr>
            <w:r>
              <w:rPr>
                <w:rFonts w:hint="eastAsia" w:cs="宋体"/>
                <w:bCs/>
                <w:szCs w:val="21"/>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rPr>
            </w:pPr>
            <w:r>
              <w:rPr>
                <w:rFonts w:hint="eastAsia" w:cs="宋体"/>
                <w:szCs w:val="21"/>
              </w:rPr>
              <w:t>4</w:t>
            </w:r>
          </w:p>
        </w:tc>
        <w:tc>
          <w:tcPr>
            <w:tcW w:w="5459"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textAlignment w:val="auto"/>
              <w:rPr>
                <w:rFonts w:hint="eastAsia" w:cs="宋体"/>
                <w:szCs w:val="21"/>
              </w:rPr>
            </w:pPr>
            <w:bookmarkStart w:id="96" w:name="OLE_LINK42"/>
            <w:bookmarkStart w:id="97" w:name="OLE_LINK49"/>
            <w:r>
              <w:rPr>
                <w:rFonts w:hint="eastAsia" w:cs="宋体"/>
                <w:szCs w:val="21"/>
              </w:rPr>
              <w:t>类似业绩</w:t>
            </w:r>
            <w:bookmarkEnd w:id="96"/>
            <w:r>
              <w:rPr>
                <w:rFonts w:hint="eastAsia" w:cs="宋体"/>
                <w:szCs w:val="21"/>
              </w:rPr>
              <w:t>：投标人自2022年1月1日以来（以合同签订时间为准），完成过类似项目业绩（合同金额5万以上需包含门禁类产品安装或门禁智能化改造同类产品），每提供一个得1分，满分3分。未提供不得分</w:t>
            </w:r>
          </w:p>
          <w:p>
            <w:pPr>
              <w:widowControl/>
              <w:adjustRightInd/>
              <w:spacing w:line="240" w:lineRule="auto"/>
              <w:jc w:val="left"/>
              <w:textAlignment w:val="auto"/>
              <w:rPr>
                <w:rFonts w:hint="eastAsia"/>
                <w:szCs w:val="21"/>
              </w:rPr>
            </w:pPr>
            <w:r>
              <w:rPr>
                <w:rFonts w:hint="eastAsia" w:cs="宋体"/>
                <w:szCs w:val="21"/>
              </w:rPr>
              <w:t>注：（以合同签订时间为准，需提供合同扫描件）；</w:t>
            </w:r>
            <w:bookmarkEnd w:id="97"/>
          </w:p>
        </w:tc>
        <w:tc>
          <w:tcPr>
            <w:tcW w:w="3264" w:type="dxa"/>
            <w:gridSpan w:val="3"/>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center"/>
              <w:textAlignment w:val="auto"/>
              <w:rPr>
                <w:rFonts w:hint="eastAsia" w:cs="宋体"/>
                <w:bCs/>
                <w:szCs w:val="21"/>
                <w:lang w:bidi="ar"/>
              </w:rPr>
            </w:pPr>
            <w:r>
              <w:rPr>
                <w:rFonts w:hint="eastAsia" w:cs="宋体"/>
                <w:bCs/>
                <w:szCs w:val="21"/>
                <w:lang w:bidi="ar"/>
              </w:rPr>
              <w:t>0-3</w:t>
            </w:r>
          </w:p>
        </w:tc>
      </w:tr>
    </w:tbl>
    <w:p>
      <w:pPr>
        <w:widowControl/>
        <w:adjustRightInd/>
        <w:spacing w:line="240" w:lineRule="auto"/>
        <w:jc w:val="left"/>
        <w:textAlignment w:val="auto"/>
        <w:rPr>
          <w:rFonts w:hint="eastAsia"/>
        </w:rPr>
      </w:pPr>
      <w:r>
        <w:rPr>
          <w:rFonts w:hint="eastAsia"/>
        </w:rPr>
        <w:t xml:space="preserve"> </w:t>
      </w:r>
    </w:p>
    <w:p>
      <w:pPr>
        <w:ind w:firstLine="420" w:firstLineChars="200"/>
        <w:rPr>
          <w:rFonts w:hint="eastAsia"/>
        </w:rPr>
      </w:pPr>
      <w:r>
        <w:rPr>
          <w:rFonts w:hint="eastAsia"/>
        </w:rPr>
        <w:t>4、价格标评审（满分80分）</w:t>
      </w:r>
    </w:p>
    <w:p>
      <w:pPr>
        <w:ind w:firstLine="420" w:firstLineChars="200"/>
        <w:rPr>
          <w:rFonts w:hint="eastAsia"/>
        </w:rPr>
      </w:pPr>
      <w:r>
        <w:rPr>
          <w:rFonts w:hint="eastAsia"/>
        </w:rPr>
        <w:t>（1）对价格标的签字盖章、标注、格式是否符合第三章评标办法前附表规定的标准进行初步评审，并按照招标文件第三章评标办法前附表规定的价格标评审标准对价格标进行初步评审；</w:t>
      </w:r>
    </w:p>
    <w:p>
      <w:pPr>
        <w:ind w:firstLine="420" w:firstLineChars="200"/>
        <w:rPr>
          <w:rFonts w:hint="eastAsia"/>
        </w:rPr>
      </w:pPr>
      <w:r>
        <w:rPr>
          <w:rFonts w:hint="eastAsia"/>
        </w:rPr>
        <w:t>（2）对通过初步评审的价格标，评标委员会对各有效的投标报价按下列原则和程序进行集体评审。</w:t>
      </w:r>
    </w:p>
    <w:p>
      <w:pPr>
        <w:ind w:firstLine="420" w:firstLineChars="200"/>
        <w:rPr>
          <w:rFonts w:hint="eastAsia"/>
        </w:rPr>
      </w:pPr>
      <w:r>
        <w:rPr>
          <w:rFonts w:hint="eastAsia"/>
        </w:rPr>
        <w:t>（一）评标基准价计算方法：</w:t>
      </w:r>
    </w:p>
    <w:p>
      <w:pPr>
        <w:ind w:firstLine="420" w:firstLineChars="200"/>
        <w:rPr>
          <w:rFonts w:hint="eastAsia"/>
        </w:rPr>
      </w:pPr>
      <w:r>
        <w:rPr>
          <w:rFonts w:hint="eastAsia"/>
        </w:rPr>
        <w:t>B=A*（1-f）</w:t>
      </w:r>
    </w:p>
    <w:p>
      <w:pPr>
        <w:ind w:firstLine="420" w:firstLineChars="200"/>
        <w:rPr>
          <w:rFonts w:hint="eastAsia"/>
        </w:rPr>
      </w:pPr>
      <w:r>
        <w:rPr>
          <w:rFonts w:hint="eastAsia"/>
        </w:rPr>
        <w:t xml:space="preserve">其中：B=评标基准价     </w:t>
      </w:r>
    </w:p>
    <w:p>
      <w:pPr>
        <w:ind w:firstLine="420" w:firstLineChars="200"/>
        <w:rPr>
          <w:rFonts w:hint="eastAsia"/>
        </w:rPr>
      </w:pPr>
      <w:r>
        <w:rPr>
          <w:rFonts w:hint="eastAsia"/>
        </w:rPr>
        <w:t>A=进入价格标评审阶段的有效投标人的评标价的算术平均值（若有效投标人数量大于或等于11家，则去掉两个最高评标价、两个最低评标价；若有效投标人数量大于5家且小于11家，去掉一个最高评标价、一个最低评标价；若有效投标人大于或等于3家且小于或等于5家时,全部进入基准价计算范围）</w:t>
      </w:r>
    </w:p>
    <w:p>
      <w:pPr>
        <w:ind w:firstLine="420" w:firstLineChars="200"/>
        <w:rPr>
          <w:rFonts w:hint="eastAsia"/>
        </w:rPr>
      </w:pPr>
      <w:r>
        <w:rPr>
          <w:rFonts w:hint="eastAsia"/>
        </w:rPr>
        <w:t>浮动率f在投标文件开启后由招标人代表在下列数值中随机抽取：</w:t>
      </w:r>
    </w:p>
    <w:p>
      <w:pPr>
        <w:ind w:firstLine="420" w:firstLineChars="200"/>
        <w:rPr>
          <w:rFonts w:hint="eastAsia"/>
        </w:rPr>
      </w:pPr>
      <w:r>
        <w:rPr>
          <w:rFonts w:hint="eastAsia"/>
        </w:rPr>
        <w:t>浮动率f的确定：</w:t>
      </w:r>
    </w:p>
    <w:p>
      <w:pPr>
        <w:ind w:firstLine="420" w:firstLineChars="200"/>
        <w:rPr>
          <w:rFonts w:hint="eastAsia"/>
        </w:rPr>
      </w:pPr>
      <w:r>
        <w:rPr>
          <w:rFonts w:hint="eastAsia"/>
        </w:rPr>
        <w:t>在“2%、2.2%、2.4%”3个数值中随机确定。</w:t>
      </w:r>
    </w:p>
    <w:p>
      <w:pPr>
        <w:ind w:firstLine="420" w:firstLineChars="200"/>
        <w:rPr>
          <w:rFonts w:hint="eastAsia"/>
        </w:rPr>
      </w:pPr>
      <w:r>
        <w:rPr>
          <w:rFonts w:hint="eastAsia"/>
        </w:rPr>
        <w:t>（二）价格标得分计算方法：</w:t>
      </w:r>
    </w:p>
    <w:p>
      <w:pPr>
        <w:ind w:firstLine="420" w:firstLineChars="200"/>
        <w:rPr>
          <w:rFonts w:hint="eastAsia"/>
        </w:rPr>
      </w:pPr>
      <w:r>
        <w:rPr>
          <w:rFonts w:hint="eastAsia"/>
        </w:rPr>
        <w:t>C=各有效投标人的评标价</w:t>
      </w:r>
    </w:p>
    <w:p>
      <w:pPr>
        <w:ind w:firstLine="420" w:firstLineChars="200"/>
        <w:rPr>
          <w:rFonts w:hint="eastAsia"/>
        </w:rPr>
      </w:pPr>
      <w:r>
        <w:rPr>
          <w:rFonts w:hint="eastAsia"/>
        </w:rPr>
        <w:t>当C≤B时，价格标得分 I=80+0.2×（C-B）/B×100</w:t>
      </w:r>
    </w:p>
    <w:p>
      <w:pPr>
        <w:ind w:firstLine="420" w:firstLineChars="200"/>
        <w:rPr>
          <w:rFonts w:hint="eastAsia"/>
        </w:rPr>
      </w:pPr>
      <w:r>
        <w:rPr>
          <w:rFonts w:hint="eastAsia"/>
        </w:rPr>
        <w:t>当C＞B时，价格标得分 I=80-0.4×（C-B）/B×100</w:t>
      </w:r>
    </w:p>
    <w:p>
      <w:pPr>
        <w:ind w:firstLine="420" w:firstLineChars="200"/>
        <w:rPr>
          <w:rFonts w:hint="eastAsia"/>
        </w:rPr>
      </w:pPr>
      <w:r>
        <w:rPr>
          <w:rFonts w:hint="eastAsia"/>
        </w:rPr>
        <w:t>上述公式计算结果保留两位小数，第三位四舍五入。</w:t>
      </w:r>
    </w:p>
    <w:p>
      <w:pPr>
        <w:ind w:firstLine="420" w:firstLineChars="200"/>
        <w:rPr>
          <w:rFonts w:hint="eastAsia"/>
        </w:rPr>
      </w:pPr>
      <w:r>
        <w:rPr>
          <w:rFonts w:hint="eastAsia"/>
        </w:rPr>
        <w:t>5、投标得分（满分100分）</w:t>
      </w:r>
    </w:p>
    <w:p>
      <w:pPr>
        <w:ind w:firstLine="420" w:firstLineChars="200"/>
        <w:rPr>
          <w:rFonts w:hint="eastAsia"/>
        </w:rPr>
      </w:pPr>
      <w:r>
        <w:rPr>
          <w:rFonts w:hint="eastAsia"/>
        </w:rPr>
        <w:t>投标得分=商务技术标得分+价格标得分</w:t>
      </w:r>
    </w:p>
    <w:p>
      <w:pPr>
        <w:ind w:firstLine="420" w:firstLineChars="200"/>
        <w:rPr>
          <w:rFonts w:hint="eastAsia"/>
        </w:rPr>
      </w:pPr>
      <w:r>
        <w:rPr>
          <w:rFonts w:hint="eastAsia"/>
        </w:rPr>
        <w:t>四、推荐中标候选人依据：</w:t>
      </w:r>
    </w:p>
    <w:p>
      <w:pPr>
        <w:ind w:firstLine="420" w:firstLineChars="200"/>
        <w:rPr>
          <w:rFonts w:hint="eastAsia"/>
        </w:rPr>
      </w:pPr>
      <w:r>
        <w:rPr>
          <w:rFonts w:hint="eastAsia"/>
        </w:rPr>
        <w:t>本次评标将根据招标文件第二章投标人须知前附表规定的中标候选人推荐数量推荐中标候选人。</w:t>
      </w:r>
    </w:p>
    <w:p>
      <w:pPr>
        <w:ind w:firstLine="420" w:firstLineChars="200"/>
        <w:rPr>
          <w:rFonts w:hint="eastAsia"/>
        </w:rPr>
      </w:pPr>
      <w:r>
        <w:rPr>
          <w:rFonts w:hint="eastAsia"/>
        </w:rPr>
        <w:t>1、本次评标将根据招标文件第二章投标人须知前附表规定的中标候选人推荐数量，按投标得分从高到低排列，由评标委员会推荐排名中标候选人并列明顺序。如总得分相同的投标人有两个或两个以上时，以其中投标报价低者排名在前，如投标报价也相同则由招标人通过抽签决定排名先后。</w:t>
      </w:r>
    </w:p>
    <w:p>
      <w:pPr>
        <w:ind w:firstLine="420" w:firstLineChars="200"/>
        <w:rPr>
          <w:rFonts w:hint="eastAsia"/>
        </w:rPr>
      </w:pPr>
      <w:r>
        <w:rPr>
          <w:rFonts w:hint="eastAsia"/>
        </w:rPr>
        <w:t>附则：</w:t>
      </w:r>
    </w:p>
    <w:p>
      <w:pPr>
        <w:ind w:firstLine="420" w:firstLineChars="200"/>
        <w:rPr>
          <w:rFonts w:hint="eastAsia"/>
        </w:rPr>
      </w:pPr>
      <w:r>
        <w:rPr>
          <w:rFonts w:hint="eastAsia"/>
        </w:rPr>
        <w:t>1、评标过程中发现报价等异常现象由评标委员会集体讨论决定。</w:t>
      </w:r>
    </w:p>
    <w:p>
      <w:pPr>
        <w:ind w:firstLine="420" w:firstLineChars="200"/>
        <w:rPr>
          <w:rFonts w:hint="eastAsia"/>
        </w:rPr>
      </w:pPr>
      <w:r>
        <w:rPr>
          <w:rFonts w:hint="eastAsia"/>
        </w:rPr>
        <w:t>2、投标人所提供的资料一旦发现假冒，即取消其投标资格。</w:t>
      </w:r>
    </w:p>
    <w:p>
      <w:pPr>
        <w:pStyle w:val="52"/>
        <w:numPr>
          <w:ilvl w:val="0"/>
          <w:numId w:val="2"/>
        </w:numPr>
        <w:ind w:firstLineChars="0"/>
      </w:pPr>
      <w:r>
        <w:rPr>
          <w:rFonts w:hint="eastAsia"/>
        </w:rPr>
        <w:t>评标委员会应严格按照本“办法”认真评标。</w:t>
      </w:r>
    </w:p>
    <w:p>
      <w:pPr>
        <w:ind w:firstLine="420" w:firstLineChars="200"/>
        <w:rPr>
          <w:rFonts w:ascii="Calibri" w:hAnsi="Calibri"/>
          <w:szCs w:val="22"/>
        </w:rPr>
        <w:sectPr>
          <w:footerReference r:id="rId5" w:type="default"/>
          <w:pgSz w:w="12240" w:h="15840"/>
          <w:pgMar w:top="1440" w:right="1800" w:bottom="1440" w:left="1800" w:header="720" w:footer="720" w:gutter="0"/>
          <w:cols w:space="720" w:num="1"/>
        </w:sectPr>
      </w:pPr>
      <w:r>
        <w:rPr>
          <w:rFonts w:hint="eastAsia"/>
        </w:rPr>
        <w:t>五、本办法由招标单位负责解释。评标过程如有异常情况，由评委集体讨论决定。</w:t>
      </w:r>
    </w:p>
    <w:p>
      <w:pPr>
        <w:widowControl/>
        <w:adjustRightInd/>
        <w:spacing w:line="240" w:lineRule="auto"/>
        <w:jc w:val="left"/>
        <w:textAlignment w:val="auto"/>
        <w:rPr>
          <w:rFonts w:hint="eastAsia"/>
        </w:rPr>
      </w:pPr>
    </w:p>
    <w:p>
      <w:pPr>
        <w:pStyle w:val="2"/>
        <w:spacing w:before="0" w:after="0" w:line="360" w:lineRule="auto"/>
        <w:jc w:val="center"/>
        <w:rPr>
          <w:rFonts w:hint="eastAsia"/>
        </w:rPr>
      </w:pPr>
      <w:bookmarkStart w:id="98" w:name="_Toc30401"/>
      <w:bookmarkStart w:id="99" w:name="_Toc152045775"/>
      <w:bookmarkStart w:id="100" w:name="_Toc152045776"/>
      <w:bookmarkStart w:id="101" w:name="_Toc144974838"/>
      <w:bookmarkStart w:id="102" w:name="_Toc152042557"/>
      <w:bookmarkStart w:id="103" w:name="_Toc152042558"/>
      <w:bookmarkStart w:id="104" w:name="_Toc144974837"/>
      <w:r>
        <w:rPr>
          <w:rFonts w:hint="eastAsia"/>
        </w:rPr>
        <w:t>第四章 合同条款及格式</w:t>
      </w:r>
      <w:bookmarkEnd w:id="98"/>
    </w:p>
    <w:p>
      <w:pPr>
        <w:pStyle w:val="2"/>
        <w:keepNext w:val="0"/>
        <w:keepLines w:val="0"/>
        <w:spacing w:before="0" w:after="0" w:line="360" w:lineRule="auto"/>
        <w:jc w:val="center"/>
        <w:rPr>
          <w:rFonts w:hint="eastAsia"/>
          <w:sz w:val="32"/>
          <w:szCs w:val="32"/>
        </w:rPr>
      </w:pPr>
      <w:bookmarkStart w:id="105" w:name="_Toc9735"/>
      <w:bookmarkStart w:id="106" w:name="_Toc296891196"/>
      <w:bookmarkStart w:id="107" w:name="_Toc296503156"/>
      <w:bookmarkStart w:id="108" w:name="_Toc297120456"/>
      <w:bookmarkStart w:id="109" w:name="_Toc351203633"/>
      <w:bookmarkStart w:id="110" w:name="_Toc527143523"/>
      <w:bookmarkStart w:id="111" w:name="_Toc296347155"/>
      <w:bookmarkStart w:id="112" w:name="_Toc292559866"/>
      <w:bookmarkStart w:id="113" w:name="_Toc292559361"/>
      <w:bookmarkStart w:id="114" w:name="_Toc296346657"/>
      <w:bookmarkStart w:id="115" w:name="_Toc296944495"/>
      <w:bookmarkStart w:id="116" w:name="_Toc296890984"/>
      <w:bookmarkStart w:id="117" w:name="_Toc297048342"/>
      <w:r>
        <w:rPr>
          <w:rFonts w:hint="eastAsia"/>
          <w:sz w:val="32"/>
          <w:szCs w:val="32"/>
        </w:rPr>
        <w:t>工程承包合同</w:t>
      </w:r>
      <w:bookmarkEnd w:id="105"/>
    </w:p>
    <w:p>
      <w:pPr>
        <w:spacing w:line="440" w:lineRule="exact"/>
        <w:rPr>
          <w:rFonts w:hint="eastAsia" w:cs="宋体"/>
          <w:bCs/>
          <w:szCs w:val="21"/>
        </w:rPr>
      </w:pPr>
      <w:r>
        <w:rPr>
          <w:rFonts w:hint="eastAsia" w:cs="宋体"/>
          <w:bCs/>
          <w:szCs w:val="21"/>
        </w:rPr>
        <w:t>甲方：</w:t>
      </w:r>
    </w:p>
    <w:p>
      <w:pPr>
        <w:spacing w:line="440" w:lineRule="exact"/>
        <w:rPr>
          <w:rFonts w:hint="eastAsia" w:cs="宋体"/>
          <w:bCs/>
          <w:szCs w:val="21"/>
        </w:rPr>
      </w:pPr>
      <w:r>
        <w:rPr>
          <w:rFonts w:hint="eastAsia" w:cs="宋体"/>
          <w:szCs w:val="21"/>
        </w:rPr>
        <w:t>住所：</w:t>
      </w:r>
      <w:r>
        <w:rPr>
          <w:rFonts w:hint="eastAsia" w:cs="宋体"/>
          <w:bCs/>
          <w:szCs w:val="21"/>
        </w:rPr>
        <w:t xml:space="preserve"> </w:t>
      </w:r>
    </w:p>
    <w:p>
      <w:pPr>
        <w:spacing w:line="440" w:lineRule="exact"/>
        <w:rPr>
          <w:rFonts w:hint="eastAsia" w:cs="宋体"/>
          <w:szCs w:val="21"/>
        </w:rPr>
      </w:pPr>
      <w:r>
        <w:rPr>
          <w:rFonts w:hint="eastAsia" w:cs="宋体"/>
          <w:szCs w:val="21"/>
        </w:rPr>
        <w:t xml:space="preserve">联系人：            电话：                </w:t>
      </w:r>
    </w:p>
    <w:p>
      <w:pPr>
        <w:spacing w:line="440" w:lineRule="exact"/>
        <w:rPr>
          <w:rFonts w:hint="eastAsia" w:cs="宋体"/>
          <w:bCs/>
          <w:szCs w:val="21"/>
        </w:rPr>
      </w:pPr>
      <w:r>
        <w:rPr>
          <w:rFonts w:hint="eastAsia" w:cs="宋体"/>
          <w:bCs/>
          <w:szCs w:val="21"/>
        </w:rPr>
        <w:t>乙方：</w:t>
      </w:r>
    </w:p>
    <w:p>
      <w:pPr>
        <w:spacing w:line="440" w:lineRule="exact"/>
        <w:rPr>
          <w:rFonts w:hint="eastAsia" w:cs="宋体"/>
          <w:szCs w:val="21"/>
        </w:rPr>
      </w:pPr>
      <w:r>
        <w:rPr>
          <w:rFonts w:hint="eastAsia" w:cs="宋体"/>
          <w:szCs w:val="21"/>
        </w:rPr>
        <w:t xml:space="preserve">住所：  </w:t>
      </w:r>
    </w:p>
    <w:p>
      <w:pPr>
        <w:snapToGrid w:val="0"/>
        <w:spacing w:line="440" w:lineRule="exact"/>
        <w:rPr>
          <w:rFonts w:hint="eastAsia" w:cs="宋体"/>
          <w:szCs w:val="21"/>
        </w:rPr>
      </w:pPr>
      <w:r>
        <w:rPr>
          <w:rFonts w:hint="eastAsia" w:cs="宋体"/>
          <w:szCs w:val="21"/>
        </w:rPr>
        <w:t xml:space="preserve">联系人：             电话：                  </w:t>
      </w:r>
    </w:p>
    <w:p>
      <w:pPr>
        <w:spacing w:line="440" w:lineRule="exact"/>
        <w:ind w:firstLine="367" w:firstLineChars="175"/>
        <w:rPr>
          <w:rFonts w:hint="eastAsia" w:cs="宋体"/>
          <w:szCs w:val="21"/>
        </w:rPr>
      </w:pPr>
      <w:bookmarkStart w:id="118" w:name="OLE_LINK9"/>
      <w:r>
        <w:rPr>
          <w:rFonts w:hint="eastAsia" w:cs="宋体"/>
          <w:szCs w:val="21"/>
        </w:rPr>
        <w:t>经公开招标，甲方将（项目名称）</w:t>
      </w:r>
      <w:r>
        <w:rPr>
          <w:rFonts w:hint="eastAsia" w:cs="宋体"/>
          <w:szCs w:val="21"/>
          <w:u w:val="single"/>
        </w:rPr>
        <w:t>物管公司海港大厦1号楼人员进出智能化改造项目</w:t>
      </w:r>
      <w:r>
        <w:rPr>
          <w:rFonts w:hint="eastAsia" w:cs="宋体"/>
          <w:szCs w:val="21"/>
        </w:rPr>
        <w:t>发包给乙方施工。为明确双方在施工过程中的权利、义务，根据《中华人民共和国民法典》、《中华人民共和国建筑法》等有关规定，经双方协商同意签订本合同。</w:t>
      </w:r>
    </w:p>
    <w:p>
      <w:pPr>
        <w:snapToGrid w:val="0"/>
        <w:spacing w:line="440" w:lineRule="exact"/>
        <w:ind w:firstLine="422" w:firstLineChars="200"/>
        <w:rPr>
          <w:rFonts w:hint="eastAsia" w:cs="宋体"/>
          <w:b/>
          <w:szCs w:val="21"/>
        </w:rPr>
      </w:pPr>
      <w:r>
        <w:rPr>
          <w:rFonts w:hint="eastAsia" w:cs="宋体"/>
          <w:b/>
          <w:szCs w:val="21"/>
        </w:rPr>
        <w:t>第一条 工程概况</w:t>
      </w:r>
    </w:p>
    <w:p>
      <w:pPr>
        <w:snapToGrid w:val="0"/>
        <w:spacing w:line="440" w:lineRule="exact"/>
        <w:ind w:firstLine="420" w:firstLineChars="200"/>
        <w:rPr>
          <w:rFonts w:hint="eastAsia" w:cs="宋体"/>
          <w:szCs w:val="21"/>
        </w:rPr>
      </w:pPr>
      <w:r>
        <w:rPr>
          <w:rFonts w:hint="eastAsia" w:cs="宋体"/>
          <w:szCs w:val="21"/>
        </w:rPr>
        <w:t>1、工程名称：物管公司海港大厦1号楼人员进出智能化改造项目</w:t>
      </w:r>
    </w:p>
    <w:p>
      <w:pPr>
        <w:snapToGrid w:val="0"/>
        <w:spacing w:line="440" w:lineRule="exact"/>
        <w:ind w:firstLine="420" w:firstLineChars="200"/>
        <w:rPr>
          <w:rFonts w:hint="eastAsia" w:cs="宋体"/>
          <w:szCs w:val="21"/>
        </w:rPr>
      </w:pPr>
      <w:r>
        <w:rPr>
          <w:rFonts w:hint="eastAsia" w:cs="宋体"/>
          <w:szCs w:val="21"/>
        </w:rPr>
        <w:t>2、工程地点：本项目工程建设地点位于浙江省温州市鹿城区海港大厦</w:t>
      </w:r>
    </w:p>
    <w:p>
      <w:pPr>
        <w:wordWrap w:val="0"/>
        <w:topLinePunct/>
        <w:autoSpaceDN w:val="0"/>
        <w:snapToGrid w:val="0"/>
        <w:spacing w:line="440" w:lineRule="exact"/>
        <w:ind w:firstLine="420" w:firstLineChars="200"/>
        <w:textAlignment w:val="auto"/>
        <w:rPr>
          <w:rFonts w:hint="eastAsia" w:cs="宋体"/>
          <w:szCs w:val="21"/>
        </w:rPr>
      </w:pPr>
      <w:r>
        <w:rPr>
          <w:rFonts w:hint="eastAsia" w:cs="宋体"/>
          <w:szCs w:val="21"/>
        </w:rPr>
        <w:t>3、工程内容：</w:t>
      </w:r>
      <w:r>
        <w:rPr>
          <w:rFonts w:hint="eastAsia" w:cs="宋体"/>
          <w:color w:val="000000" w:themeColor="text1"/>
          <w:szCs w:val="21"/>
          <w14:textFill>
            <w14:solidFill>
              <w14:schemeClr w14:val="tx1"/>
            </w14:solidFill>
          </w14:textFill>
        </w:rPr>
        <w:t>涵盖但不限于智能闸机、人脸门禁一体机等设备的采购、运输、装卸、安装、调试、培训及质保期内维保服务。</w:t>
      </w:r>
      <w:r>
        <w:rPr>
          <w:rFonts w:hint="eastAsia" w:cs="宋体"/>
          <w:szCs w:val="21"/>
        </w:rPr>
        <w:t xml:space="preserve"> </w:t>
      </w:r>
    </w:p>
    <w:p>
      <w:pPr>
        <w:snapToGrid w:val="0"/>
        <w:spacing w:line="440" w:lineRule="exact"/>
        <w:ind w:firstLine="420" w:firstLineChars="200"/>
        <w:rPr>
          <w:rFonts w:hint="eastAsia" w:cs="宋体"/>
          <w:szCs w:val="21"/>
        </w:rPr>
      </w:pPr>
      <w:r>
        <w:rPr>
          <w:rFonts w:hint="eastAsia" w:cs="宋体"/>
          <w:szCs w:val="21"/>
        </w:rPr>
        <w:t>4、合同价：合同价暂定为人民币（大写）</w:t>
      </w:r>
      <w:r>
        <w:rPr>
          <w:rFonts w:hint="eastAsia" w:cs="宋体"/>
          <w:szCs w:val="21"/>
          <w:u w:val="single"/>
        </w:rPr>
        <w:t xml:space="preserve">          </w:t>
      </w:r>
      <w:r>
        <w:rPr>
          <w:rFonts w:hint="eastAsia" w:cs="宋体"/>
          <w:szCs w:val="21"/>
        </w:rPr>
        <w:t>元整，即￥</w:t>
      </w:r>
      <w:r>
        <w:rPr>
          <w:rFonts w:hint="eastAsia" w:cs="宋体"/>
          <w:szCs w:val="21"/>
          <w:u w:val="single"/>
        </w:rPr>
        <w:t xml:space="preserve">     </w:t>
      </w:r>
      <w:r>
        <w:rPr>
          <w:rFonts w:hint="eastAsia" w:cs="宋体"/>
          <w:szCs w:val="21"/>
        </w:rPr>
        <w:t>（含  %增值税），详见工程量清单，待工程完工后按实结算。</w:t>
      </w:r>
    </w:p>
    <w:p>
      <w:pPr>
        <w:snapToGrid w:val="0"/>
        <w:spacing w:line="440" w:lineRule="exact"/>
        <w:ind w:firstLine="422" w:firstLineChars="200"/>
        <w:rPr>
          <w:rFonts w:hint="eastAsia" w:cs="宋体"/>
          <w:b/>
          <w:szCs w:val="21"/>
        </w:rPr>
      </w:pPr>
      <w:r>
        <w:rPr>
          <w:rFonts w:hint="eastAsia" w:cs="宋体"/>
          <w:b/>
          <w:szCs w:val="21"/>
        </w:rPr>
        <w:t>第二条 工程价款结算与支付</w:t>
      </w:r>
    </w:p>
    <w:p>
      <w:pPr>
        <w:snapToGrid w:val="0"/>
        <w:spacing w:line="440" w:lineRule="exact"/>
        <w:ind w:firstLine="420" w:firstLineChars="200"/>
        <w:rPr>
          <w:rFonts w:hint="eastAsia" w:cs="宋体"/>
          <w:szCs w:val="21"/>
        </w:rPr>
      </w:pPr>
      <w:r>
        <w:rPr>
          <w:rFonts w:hint="eastAsia" w:cs="宋体"/>
          <w:szCs w:val="21"/>
        </w:rPr>
        <w:t>1、工程承包采取以下第</w:t>
      </w:r>
      <w:r>
        <w:rPr>
          <w:rFonts w:hint="eastAsia" w:cs="宋体"/>
          <w:szCs w:val="21"/>
          <w:u w:val="single"/>
        </w:rPr>
        <w:t xml:space="preserve"> （1） </w:t>
      </w:r>
      <w:r>
        <w:rPr>
          <w:rFonts w:hint="eastAsia" w:cs="宋体"/>
          <w:szCs w:val="21"/>
        </w:rPr>
        <w:t>种方式：</w:t>
      </w:r>
    </w:p>
    <w:p>
      <w:pPr>
        <w:snapToGrid w:val="0"/>
        <w:spacing w:line="440" w:lineRule="exact"/>
        <w:ind w:firstLine="420" w:firstLineChars="200"/>
        <w:rPr>
          <w:rFonts w:hint="eastAsia" w:cs="宋体"/>
          <w:szCs w:val="21"/>
        </w:rPr>
      </w:pPr>
      <w:r>
        <w:rPr>
          <w:rFonts w:hint="eastAsia" w:cs="宋体"/>
          <w:szCs w:val="21"/>
        </w:rPr>
        <w:t>（1）包工包料；</w:t>
      </w:r>
    </w:p>
    <w:p>
      <w:pPr>
        <w:snapToGrid w:val="0"/>
        <w:spacing w:line="440" w:lineRule="exact"/>
        <w:ind w:firstLine="420" w:firstLineChars="200"/>
        <w:rPr>
          <w:rFonts w:hint="eastAsia" w:cs="宋体"/>
          <w:szCs w:val="21"/>
        </w:rPr>
      </w:pPr>
      <w:r>
        <w:rPr>
          <w:rFonts w:hint="eastAsia" w:cs="宋体"/>
          <w:szCs w:val="21"/>
        </w:rPr>
        <w:t>（2）包工不包料；</w:t>
      </w:r>
    </w:p>
    <w:p>
      <w:pPr>
        <w:snapToGrid w:val="0"/>
        <w:spacing w:line="440" w:lineRule="exact"/>
        <w:ind w:firstLine="420" w:firstLineChars="200"/>
        <w:rPr>
          <w:rFonts w:hint="eastAsia" w:cs="宋体"/>
          <w:szCs w:val="21"/>
        </w:rPr>
      </w:pPr>
      <w:r>
        <w:rPr>
          <w:rFonts w:hint="eastAsia" w:cs="宋体"/>
          <w:szCs w:val="21"/>
        </w:rPr>
        <w:t>（3）包工包部分材料。</w:t>
      </w:r>
    </w:p>
    <w:p>
      <w:pPr>
        <w:snapToGrid w:val="0"/>
        <w:spacing w:line="440" w:lineRule="exact"/>
        <w:ind w:firstLine="420" w:firstLineChars="200"/>
        <w:rPr>
          <w:rFonts w:hint="eastAsia" w:cs="宋体"/>
          <w:kern w:val="0"/>
          <w:szCs w:val="21"/>
        </w:rPr>
      </w:pPr>
      <w:r>
        <w:rPr>
          <w:rFonts w:hint="eastAsia" w:cs="宋体"/>
          <w:szCs w:val="21"/>
        </w:rPr>
        <w:t>2、</w:t>
      </w:r>
      <w:r>
        <w:rPr>
          <w:rFonts w:hint="eastAsia" w:cs="宋体"/>
          <w:kern w:val="0"/>
          <w:szCs w:val="21"/>
        </w:rPr>
        <w:t>工程结算</w:t>
      </w:r>
    </w:p>
    <w:p>
      <w:pPr>
        <w:snapToGrid w:val="0"/>
        <w:spacing w:line="440" w:lineRule="exact"/>
        <w:ind w:firstLine="480"/>
        <w:rPr>
          <w:rFonts w:hint="eastAsia" w:cs="宋体"/>
          <w:kern w:val="0"/>
          <w:szCs w:val="21"/>
        </w:rPr>
      </w:pPr>
      <w:r>
        <w:rPr>
          <w:rFonts w:hint="eastAsia" w:cs="宋体"/>
          <w:kern w:val="0"/>
          <w:szCs w:val="21"/>
        </w:rPr>
        <w:t>2.1本合同采用</w:t>
      </w:r>
      <w:bookmarkStart w:id="119" w:name="OLE_LINK6"/>
      <w:r>
        <w:rPr>
          <w:rFonts w:hint="eastAsia" w:cs="宋体"/>
          <w:b/>
          <w:bCs/>
          <w:kern w:val="0"/>
          <w:szCs w:val="21"/>
        </w:rPr>
        <w:t>固定综合单价</w:t>
      </w:r>
      <w:bookmarkEnd w:id="119"/>
      <w:r>
        <w:rPr>
          <w:rFonts w:hint="eastAsia" w:cs="宋体"/>
          <w:kern w:val="0"/>
          <w:szCs w:val="21"/>
        </w:rPr>
        <w:t>方式，以工程量清单作为投标报价及工程结算的依据。中标后工程量经</w:t>
      </w:r>
      <w:bookmarkStart w:id="120" w:name="OLE_LINK28"/>
      <w:r>
        <w:rPr>
          <w:rFonts w:hint="eastAsia" w:cs="宋体"/>
          <w:kern w:val="0"/>
          <w:szCs w:val="21"/>
        </w:rPr>
        <w:t>甲方</w:t>
      </w:r>
      <w:bookmarkEnd w:id="120"/>
      <w:r>
        <w:rPr>
          <w:rFonts w:hint="eastAsia" w:cs="宋体"/>
          <w:kern w:val="0"/>
          <w:szCs w:val="21"/>
        </w:rPr>
        <w:t>审批可按实计算、调整，</w:t>
      </w:r>
      <w:r>
        <w:rPr>
          <w:rFonts w:hint="eastAsia" w:cs="宋体"/>
          <w:b/>
          <w:kern w:val="0"/>
          <w:szCs w:val="21"/>
        </w:rPr>
        <w:t>但乙方所报的投标综合单价不因市场价格(包括但不限于人工、材料、设备等)波动、法律政策变化等变化而调整</w:t>
      </w:r>
      <w:r>
        <w:rPr>
          <w:rFonts w:hint="eastAsia" w:cs="宋体"/>
          <w:kern w:val="0"/>
          <w:szCs w:val="21"/>
        </w:rPr>
        <w:t>。乙方确认，</w:t>
      </w:r>
      <w:r>
        <w:rPr>
          <w:rFonts w:hint="eastAsia"/>
          <w:szCs w:val="21"/>
        </w:rPr>
        <w:t>其报价已包括工程量清单中为实施和完成本工程所需的材料、人工、设备、机械、运输、安装、调试、管理、措施、保险、税费、安全防护等一切费用，无任何附加费用。</w:t>
      </w:r>
    </w:p>
    <w:p>
      <w:pPr>
        <w:snapToGrid w:val="0"/>
        <w:spacing w:line="440" w:lineRule="exact"/>
        <w:ind w:firstLine="420" w:firstLineChars="200"/>
        <w:rPr>
          <w:rFonts w:hint="eastAsia" w:cs="宋体"/>
          <w:szCs w:val="21"/>
        </w:rPr>
      </w:pPr>
      <w:r>
        <w:rPr>
          <w:rFonts w:hint="eastAsia" w:cs="宋体"/>
          <w:kern w:val="0"/>
          <w:szCs w:val="21"/>
        </w:rPr>
        <w:t>2.2产生其他单列项目、小项目和零星工程时，结算时有定额可套的按《建设工程工程量清单计价规范（GB50587-</w:t>
      </w:r>
      <w:r>
        <w:rPr>
          <w:rFonts w:hint="eastAsia" w:cs="宋体"/>
          <w:kern w:val="0"/>
          <w:szCs w:val="21"/>
          <w:u w:val="single"/>
        </w:rPr>
        <w:t>2013</w:t>
      </w:r>
      <w:r>
        <w:rPr>
          <w:rFonts w:hint="eastAsia" w:cs="宋体"/>
          <w:kern w:val="0"/>
          <w:szCs w:val="21"/>
        </w:rPr>
        <w:t>版）》、《浙江省建设工程计价规则（2018版）》、《浙江省建筑工程预算定额（</w:t>
      </w:r>
      <w:r>
        <w:rPr>
          <w:rFonts w:hint="eastAsia" w:cs="宋体"/>
          <w:kern w:val="0"/>
          <w:szCs w:val="21"/>
          <w:u w:val="single"/>
        </w:rPr>
        <w:t>2018</w:t>
      </w:r>
      <w:r>
        <w:rPr>
          <w:rFonts w:hint="eastAsia" w:cs="宋体"/>
          <w:kern w:val="0"/>
          <w:szCs w:val="21"/>
        </w:rPr>
        <w:t>版）》（含结构、装饰）、《</w:t>
      </w:r>
      <w:r>
        <w:rPr>
          <w:rFonts w:hint="eastAsia" w:cs="宋体"/>
          <w:kern w:val="0"/>
          <w:szCs w:val="21"/>
          <w:u w:val="single"/>
        </w:rPr>
        <w:t xml:space="preserve"> 浙江省</w:t>
      </w:r>
      <w:r>
        <w:rPr>
          <w:rFonts w:hint="eastAsia" w:cs="宋体"/>
          <w:kern w:val="0"/>
          <w:szCs w:val="21"/>
        </w:rPr>
        <w:t>安装工程预算定额（</w:t>
      </w:r>
      <w:r>
        <w:rPr>
          <w:rFonts w:hint="eastAsia" w:cs="宋体"/>
          <w:kern w:val="0"/>
          <w:szCs w:val="21"/>
          <w:u w:val="single"/>
        </w:rPr>
        <w:t>2018</w:t>
      </w:r>
      <w:r>
        <w:rPr>
          <w:rFonts w:hint="eastAsia" w:cs="宋体"/>
          <w:kern w:val="0"/>
          <w:szCs w:val="21"/>
        </w:rPr>
        <w:t>版）》套用，按《</w:t>
      </w:r>
      <w:r>
        <w:rPr>
          <w:rFonts w:hint="eastAsia" w:cs="宋体"/>
          <w:kern w:val="0"/>
          <w:szCs w:val="21"/>
          <w:u w:val="single"/>
        </w:rPr>
        <w:t>浙江省</w:t>
      </w:r>
      <w:r>
        <w:rPr>
          <w:rFonts w:hint="eastAsia" w:cs="宋体"/>
          <w:kern w:val="0"/>
          <w:szCs w:val="21"/>
        </w:rPr>
        <w:t>建设工程施工取费定额（</w:t>
      </w:r>
      <w:r>
        <w:rPr>
          <w:rFonts w:hint="eastAsia" w:cs="宋体"/>
          <w:kern w:val="0"/>
          <w:szCs w:val="21"/>
          <w:u w:val="single"/>
        </w:rPr>
        <w:t>2018</w:t>
      </w:r>
      <w:r>
        <w:rPr>
          <w:rFonts w:hint="eastAsia" w:cs="宋体"/>
          <w:kern w:val="0"/>
          <w:szCs w:val="21"/>
        </w:rPr>
        <w:t>版）》取费（装饰、安装均按三类中间值取费），无定额可套的甲乙双方协商定价。</w:t>
      </w:r>
      <w:r>
        <w:rPr>
          <w:rFonts w:hint="eastAsia" w:cs="宋体"/>
          <w:szCs w:val="21"/>
        </w:rPr>
        <w:t>工程量按实结算。在施工过程中，甲方若需要增加预算以外的工作内容，以双方确认的工程联系单为准，并作为结算调整的依据。</w:t>
      </w:r>
    </w:p>
    <w:p>
      <w:pPr>
        <w:snapToGrid w:val="0"/>
        <w:spacing w:line="440" w:lineRule="exact"/>
        <w:ind w:firstLine="420" w:firstLineChars="200"/>
        <w:rPr>
          <w:rFonts w:hint="eastAsia" w:cs="宋体"/>
          <w:szCs w:val="21"/>
        </w:rPr>
      </w:pPr>
      <w:r>
        <w:rPr>
          <w:rFonts w:hint="eastAsia" w:cs="宋体"/>
          <w:szCs w:val="21"/>
        </w:rPr>
        <w:t>3、乙方提供履约担保的形式、金额及期限：在签订合同前，乙方须提交履约保证金（银行转账），金额为合同价的2%。如乙方有违约，甲方有权从履约担保中扣除违约金、赔偿金（如有）。若乙方的违约金、赔偿金金额超过履约担保的金额，乙方应在甲方执行履约担保后15日内及时补足，否则甲方有权从拟支付的工程款中扣除以补足履约担保金额。乙方提交的履约保证金在</w:t>
      </w:r>
      <w:r>
        <w:rPr>
          <w:rFonts w:hint="eastAsia" w:cs="宋体"/>
          <w:b/>
          <w:szCs w:val="21"/>
        </w:rPr>
        <w:t>本项目完成验收后</w:t>
      </w:r>
      <w:r>
        <w:rPr>
          <w:rFonts w:hint="eastAsia" w:cs="宋体"/>
          <w:szCs w:val="21"/>
        </w:rPr>
        <w:t>无息退还。</w:t>
      </w:r>
    </w:p>
    <w:p>
      <w:pPr>
        <w:snapToGrid w:val="0"/>
        <w:spacing w:line="440" w:lineRule="exact"/>
        <w:ind w:firstLine="420" w:firstLineChars="200"/>
        <w:rPr>
          <w:rFonts w:hint="eastAsia" w:cs="宋体"/>
          <w:szCs w:val="21"/>
        </w:rPr>
      </w:pPr>
      <w:r>
        <w:rPr>
          <w:rFonts w:hint="eastAsia" w:cs="宋体"/>
          <w:szCs w:val="21"/>
        </w:rPr>
        <w:t>4、工程款支付方式：</w:t>
      </w:r>
    </w:p>
    <w:p>
      <w:pPr>
        <w:snapToGrid w:val="0"/>
        <w:spacing w:line="440" w:lineRule="exact"/>
        <w:ind w:firstLine="422" w:firstLineChars="200"/>
        <w:rPr>
          <w:rFonts w:hint="eastAsia" w:cs="宋体"/>
          <w:b/>
          <w:szCs w:val="21"/>
        </w:rPr>
      </w:pPr>
      <w:r>
        <w:rPr>
          <w:rFonts w:hint="eastAsia" w:cs="宋体"/>
          <w:b/>
          <w:szCs w:val="21"/>
        </w:rPr>
        <w:t>（1）乙方完成合同约定全部内容，通过验收，提交应归档的全部技术文件资料、工程结算资料后</w:t>
      </w:r>
      <w:r>
        <w:rPr>
          <w:rFonts w:hint="eastAsia" w:cs="宋体"/>
          <w:b/>
          <w:szCs w:val="21"/>
          <w:u w:val="single"/>
        </w:rPr>
        <w:t>30</w:t>
      </w:r>
      <w:r>
        <w:rPr>
          <w:rFonts w:hint="eastAsia" w:cs="宋体"/>
          <w:b/>
          <w:szCs w:val="21"/>
        </w:rPr>
        <w:t>日内支付至合同价的80%；</w:t>
      </w:r>
    </w:p>
    <w:p>
      <w:pPr>
        <w:pStyle w:val="63"/>
        <w:spacing w:line="440" w:lineRule="exact"/>
        <w:ind w:firstLine="422" w:firstLineChars="200"/>
        <w:rPr>
          <w:rFonts w:hint="eastAsia" w:ascii="宋体" w:hAnsi="宋体"/>
        </w:rPr>
      </w:pPr>
      <w:r>
        <w:rPr>
          <w:rFonts w:hint="eastAsia" w:ascii="宋体" w:hAnsi="宋体" w:cs="宋体"/>
          <w:b/>
        </w:rPr>
        <w:t xml:space="preserve">（2）工程结算价款由甲方委托第三方结算审核，审定后 </w:t>
      </w:r>
      <w:r>
        <w:rPr>
          <w:rFonts w:hint="eastAsia" w:ascii="宋体" w:hAnsi="宋体" w:cs="宋体"/>
          <w:b/>
          <w:u w:val="single"/>
        </w:rPr>
        <w:t>30</w:t>
      </w:r>
      <w:r>
        <w:rPr>
          <w:rFonts w:hint="eastAsia" w:ascii="宋体" w:hAnsi="宋体" w:cs="宋体"/>
          <w:b/>
        </w:rPr>
        <w:t>日内，支付至结算价的98.5%，余款1.5%作为工程质量保修金，待质保期满且无质量问题后15日内无息退还。</w:t>
      </w:r>
    </w:p>
    <w:p>
      <w:pPr>
        <w:snapToGrid w:val="0"/>
        <w:spacing w:line="440" w:lineRule="exact"/>
        <w:ind w:firstLine="422" w:firstLineChars="200"/>
        <w:rPr>
          <w:rFonts w:hint="eastAsia" w:cs="宋体"/>
          <w:szCs w:val="21"/>
        </w:rPr>
      </w:pPr>
      <w:r>
        <w:rPr>
          <w:rFonts w:hint="eastAsia"/>
          <w:b/>
          <w:szCs w:val="21"/>
        </w:rPr>
        <w:t>在甲方付款前，乙方应向甲方提供税率为</w:t>
      </w:r>
      <w:r>
        <w:rPr>
          <w:rFonts w:hint="eastAsia"/>
          <w:b/>
          <w:szCs w:val="21"/>
          <w:u w:val="single"/>
        </w:rPr>
        <w:t xml:space="preserve">   </w:t>
      </w:r>
      <w:r>
        <w:rPr>
          <w:rFonts w:hint="eastAsia"/>
          <w:b/>
          <w:szCs w:val="21"/>
        </w:rPr>
        <w:t>%的增值税专用发票（如有国家税务政策调整，按除税价不变原则依照国家税务政策调整），否则甲方有权暂停支付。</w:t>
      </w:r>
    </w:p>
    <w:p>
      <w:pPr>
        <w:snapToGrid w:val="0"/>
        <w:spacing w:line="440" w:lineRule="exact"/>
        <w:ind w:firstLine="422" w:firstLineChars="200"/>
        <w:rPr>
          <w:rFonts w:hint="eastAsia" w:cs="宋体"/>
          <w:b/>
          <w:szCs w:val="21"/>
        </w:rPr>
      </w:pPr>
      <w:r>
        <w:rPr>
          <w:rFonts w:hint="eastAsia" w:cs="宋体"/>
          <w:b/>
          <w:szCs w:val="21"/>
        </w:rPr>
        <w:t>第三条 工期</w:t>
      </w:r>
      <w:r>
        <w:rPr>
          <w:rFonts w:hint="eastAsia" w:cs="宋体"/>
          <w:b/>
          <w:szCs w:val="21"/>
        </w:rPr>
        <w:tab/>
      </w:r>
    </w:p>
    <w:p>
      <w:pPr>
        <w:spacing w:line="440" w:lineRule="exact"/>
        <w:ind w:firstLine="420" w:firstLineChars="200"/>
        <w:rPr>
          <w:rFonts w:hint="eastAsia" w:cs="宋体"/>
          <w:szCs w:val="21"/>
        </w:rPr>
      </w:pPr>
      <w:r>
        <w:rPr>
          <w:rFonts w:hint="eastAsia" w:cs="宋体"/>
          <w:szCs w:val="21"/>
        </w:rPr>
        <w:t>1、工期：</w:t>
      </w:r>
      <w:r>
        <w:rPr>
          <w:rFonts w:cs="宋体"/>
          <w:kern w:val="0"/>
          <w:szCs w:val="21"/>
        </w:rPr>
        <w:t>自</w:t>
      </w:r>
      <w:r>
        <w:rPr>
          <w:rFonts w:hint="eastAsia" w:cs="宋体"/>
          <w:kern w:val="0"/>
          <w:szCs w:val="21"/>
        </w:rPr>
        <w:t>合同签订且招标人下达开工令之日起</w:t>
      </w:r>
      <w:r>
        <w:rPr>
          <w:rFonts w:cs="宋体"/>
          <w:kern w:val="0"/>
          <w:szCs w:val="21"/>
        </w:rPr>
        <w:t>，25 日历天内完成本项目全部设备的安装、调试，并通过招标人</w:t>
      </w:r>
      <w:r>
        <w:rPr>
          <w:rFonts w:hint="eastAsia" w:cs="宋体"/>
          <w:kern w:val="0"/>
          <w:szCs w:val="21"/>
        </w:rPr>
        <w:t>组织验收</w:t>
      </w:r>
      <w:r>
        <w:rPr>
          <w:rFonts w:cs="宋体"/>
          <w:kern w:val="0"/>
          <w:szCs w:val="21"/>
        </w:rPr>
        <w:t>后交付使用。</w:t>
      </w:r>
    </w:p>
    <w:p>
      <w:pPr>
        <w:snapToGrid w:val="0"/>
        <w:spacing w:line="440" w:lineRule="exact"/>
        <w:ind w:firstLine="422" w:firstLineChars="200"/>
        <w:rPr>
          <w:rFonts w:hint="eastAsia" w:cs="宋体"/>
          <w:b/>
          <w:szCs w:val="21"/>
        </w:rPr>
      </w:pPr>
      <w:r>
        <w:rPr>
          <w:rFonts w:hint="eastAsia" w:cs="宋体"/>
          <w:b/>
          <w:szCs w:val="21"/>
        </w:rPr>
        <w:t>第四条 物资供应</w:t>
      </w:r>
    </w:p>
    <w:p>
      <w:pPr>
        <w:snapToGrid w:val="0"/>
        <w:spacing w:line="440" w:lineRule="exact"/>
        <w:ind w:firstLine="420" w:firstLineChars="200"/>
        <w:rPr>
          <w:rFonts w:hint="eastAsia" w:cs="宋体"/>
          <w:szCs w:val="21"/>
        </w:rPr>
      </w:pPr>
      <w:r>
        <w:rPr>
          <w:rFonts w:hint="eastAsia" w:cs="宋体"/>
          <w:szCs w:val="21"/>
        </w:rPr>
        <w:t xml:space="preserve"> 1、本合同全部工程所需材料按下列第</w:t>
      </w:r>
      <w:r>
        <w:rPr>
          <w:rFonts w:hint="eastAsia" w:cs="宋体"/>
          <w:szCs w:val="21"/>
          <w:u w:val="single"/>
        </w:rPr>
        <w:t xml:space="preserve"> （1） </w:t>
      </w:r>
      <w:r>
        <w:rPr>
          <w:rFonts w:hint="eastAsia" w:cs="宋体"/>
          <w:szCs w:val="21"/>
        </w:rPr>
        <w:t>方式办理：</w:t>
      </w:r>
    </w:p>
    <w:p>
      <w:pPr>
        <w:numPr>
          <w:ilvl w:val="0"/>
          <w:numId w:val="3"/>
        </w:numPr>
        <w:snapToGrid w:val="0"/>
        <w:spacing w:line="440" w:lineRule="exact"/>
        <w:ind w:firstLine="420" w:firstLineChars="200"/>
        <w:rPr>
          <w:rFonts w:hint="eastAsia" w:cs="宋体"/>
          <w:szCs w:val="21"/>
        </w:rPr>
      </w:pPr>
      <w:r>
        <w:rPr>
          <w:rFonts w:hint="eastAsia" w:cs="宋体"/>
          <w:szCs w:val="21"/>
        </w:rPr>
        <w:t>本项目所有材料由乙方按项目提供；</w:t>
      </w:r>
    </w:p>
    <w:p>
      <w:pPr>
        <w:numPr>
          <w:ilvl w:val="0"/>
          <w:numId w:val="3"/>
        </w:numPr>
        <w:snapToGrid w:val="0"/>
        <w:spacing w:line="440" w:lineRule="exact"/>
        <w:ind w:firstLine="420" w:firstLineChars="200"/>
        <w:rPr>
          <w:rFonts w:hint="eastAsia" w:cs="宋体"/>
          <w:szCs w:val="21"/>
        </w:rPr>
      </w:pPr>
      <w:r>
        <w:rPr>
          <w:rFonts w:hint="eastAsia" w:cs="宋体"/>
          <w:szCs w:val="21"/>
        </w:rPr>
        <w:t>本项目所有材料由甲方按项目提供；</w:t>
      </w:r>
    </w:p>
    <w:p>
      <w:pPr>
        <w:numPr>
          <w:ilvl w:val="0"/>
          <w:numId w:val="4"/>
        </w:numPr>
        <w:snapToGrid w:val="0"/>
        <w:spacing w:line="440" w:lineRule="exact"/>
        <w:ind w:firstLine="420" w:firstLineChars="200"/>
        <w:rPr>
          <w:rFonts w:hint="eastAsia" w:cs="宋体"/>
          <w:szCs w:val="21"/>
        </w:rPr>
      </w:pPr>
      <w:r>
        <w:rPr>
          <w:rFonts w:hint="eastAsia" w:cs="宋体"/>
          <w:szCs w:val="21"/>
        </w:rPr>
        <w:t>所有材料、设备进场程序、质量均应符合国家有关施工规范的规定。对不符合约定的产品不得使用，乙方应当重新采购符合要求的产品，并承担由此发生的全部费用，工期不予顺延。</w:t>
      </w:r>
    </w:p>
    <w:p>
      <w:pPr>
        <w:snapToGrid w:val="0"/>
        <w:spacing w:line="440" w:lineRule="exact"/>
        <w:ind w:firstLine="422" w:firstLineChars="200"/>
        <w:rPr>
          <w:rFonts w:hint="eastAsia" w:cs="宋体"/>
          <w:b/>
          <w:bCs/>
          <w:szCs w:val="21"/>
        </w:rPr>
      </w:pPr>
      <w:r>
        <w:rPr>
          <w:rFonts w:hint="eastAsia" w:cs="宋体"/>
          <w:b/>
          <w:bCs/>
          <w:szCs w:val="21"/>
        </w:rPr>
        <w:t>第五条 工程质量</w:t>
      </w:r>
    </w:p>
    <w:p>
      <w:pPr>
        <w:snapToGrid w:val="0"/>
        <w:spacing w:line="440" w:lineRule="exact"/>
        <w:ind w:firstLine="420" w:firstLineChars="200"/>
        <w:rPr>
          <w:rFonts w:hint="eastAsia" w:cs="宋体"/>
          <w:szCs w:val="21"/>
        </w:rPr>
      </w:pPr>
      <w:r>
        <w:rPr>
          <w:rFonts w:hint="eastAsia" w:cs="宋体"/>
          <w:szCs w:val="21"/>
        </w:rPr>
        <w:t>本工程质量标准必须符合现行国家有关工程施工质量验收规范和标准的要求。</w:t>
      </w:r>
    </w:p>
    <w:p>
      <w:pPr>
        <w:snapToGrid w:val="0"/>
        <w:spacing w:line="440" w:lineRule="exact"/>
        <w:ind w:firstLine="422" w:firstLineChars="200"/>
        <w:rPr>
          <w:rFonts w:hint="eastAsia" w:cs="宋体"/>
          <w:b/>
          <w:szCs w:val="21"/>
        </w:rPr>
      </w:pPr>
      <w:r>
        <w:rPr>
          <w:rFonts w:hint="eastAsia" w:cs="宋体"/>
          <w:b/>
          <w:szCs w:val="21"/>
        </w:rPr>
        <w:t>第六条 施工前准备</w:t>
      </w:r>
    </w:p>
    <w:p>
      <w:pPr>
        <w:snapToGrid w:val="0"/>
        <w:spacing w:line="440" w:lineRule="exact"/>
        <w:ind w:firstLine="420" w:firstLineChars="200"/>
        <w:rPr>
          <w:rFonts w:hint="eastAsia" w:cs="宋体"/>
          <w:szCs w:val="21"/>
        </w:rPr>
      </w:pPr>
      <w:r>
        <w:rPr>
          <w:rFonts w:hint="eastAsia" w:cs="宋体"/>
          <w:szCs w:val="21"/>
        </w:rPr>
        <w:t>1、乙方应及时编制施工组织设计和施工方案、施工预算、施工进度计划送甲方。</w:t>
      </w:r>
    </w:p>
    <w:p>
      <w:pPr>
        <w:snapToGrid w:val="0"/>
        <w:spacing w:line="440" w:lineRule="exact"/>
        <w:ind w:firstLine="420" w:firstLineChars="200"/>
        <w:rPr>
          <w:rFonts w:hint="eastAsia" w:cs="宋体"/>
          <w:szCs w:val="21"/>
        </w:rPr>
      </w:pPr>
      <w:r>
        <w:rPr>
          <w:rFonts w:hint="eastAsia" w:cs="宋体"/>
          <w:szCs w:val="21"/>
        </w:rPr>
        <w:t>2、甲方负责接通施工现场“三通一平”。</w:t>
      </w:r>
    </w:p>
    <w:p>
      <w:pPr>
        <w:snapToGrid w:val="0"/>
        <w:spacing w:line="440" w:lineRule="exact"/>
        <w:ind w:firstLine="420" w:firstLineChars="200"/>
        <w:rPr>
          <w:rFonts w:hint="eastAsia" w:cs="宋体"/>
          <w:szCs w:val="21"/>
        </w:rPr>
      </w:pPr>
      <w:r>
        <w:rPr>
          <w:rFonts w:hint="eastAsia" w:cs="宋体"/>
          <w:szCs w:val="21"/>
        </w:rPr>
        <w:t>3、乙方负责施工区域的临时道路、临时设施、水电管线铺设管理。</w:t>
      </w:r>
    </w:p>
    <w:p>
      <w:pPr>
        <w:snapToGrid w:val="0"/>
        <w:spacing w:line="440" w:lineRule="exact"/>
        <w:ind w:firstLine="420" w:firstLineChars="200"/>
        <w:rPr>
          <w:rFonts w:hint="eastAsia" w:cs="宋体"/>
          <w:szCs w:val="21"/>
        </w:rPr>
      </w:pPr>
      <w:r>
        <w:rPr>
          <w:rFonts w:hint="eastAsia" w:cs="宋体"/>
          <w:szCs w:val="21"/>
        </w:rPr>
        <w:t>4、本合同签订后</w:t>
      </w:r>
      <w:r>
        <w:rPr>
          <w:rFonts w:hint="eastAsia" w:cs="宋体"/>
          <w:szCs w:val="21"/>
          <w:u w:val="single"/>
        </w:rPr>
        <w:t>7</w:t>
      </w:r>
      <w:r>
        <w:rPr>
          <w:rFonts w:hint="eastAsia" w:cs="宋体"/>
          <w:szCs w:val="21"/>
        </w:rPr>
        <w:t>天内，乙方应为其现场全部施工人员投保合同工期内的团体人身意外伤害保险或工伤保险，意外伤害每人保额不少于3</w:t>
      </w:r>
      <w:r>
        <w:rPr>
          <w:rFonts w:cs="宋体"/>
          <w:szCs w:val="21"/>
        </w:rPr>
        <w:t>0</w:t>
      </w:r>
      <w:r>
        <w:rPr>
          <w:rFonts w:hint="eastAsia" w:cs="宋体"/>
          <w:szCs w:val="21"/>
        </w:rPr>
        <w:t>万元以及保证其施工人员在施工期间受到意外伤害事故时能得到全额赔偿或补偿；不管因何种原因导致实际施工期超过保险期的，乙方应向保险公司另办续保手续，费用由乙方自负。如乙方</w:t>
      </w:r>
      <w:r>
        <w:rPr>
          <w:rFonts w:hint="eastAsia" w:cs="宋体"/>
          <w:b/>
          <w:szCs w:val="21"/>
        </w:rPr>
        <w:t>未办投保、续保手续或投保人员与伤亡人员不符时，一切后果及赔偿责任由乙方自负，与甲方无涉</w:t>
      </w:r>
      <w:r>
        <w:rPr>
          <w:rFonts w:hint="eastAsia" w:cs="宋体"/>
          <w:szCs w:val="21"/>
        </w:rPr>
        <w:t>。如</w:t>
      </w:r>
      <w:bookmarkStart w:id="121" w:name="OLE_LINK14"/>
      <w:r>
        <w:rPr>
          <w:rFonts w:hint="eastAsia" w:cs="宋体"/>
          <w:szCs w:val="21"/>
        </w:rPr>
        <w:t>甲方</w:t>
      </w:r>
      <w:bookmarkEnd w:id="121"/>
      <w:r>
        <w:rPr>
          <w:rFonts w:hint="eastAsia" w:cs="宋体"/>
          <w:szCs w:val="21"/>
        </w:rPr>
        <w:t>因此垫付相关费用的，有权向乙方追偿。</w:t>
      </w:r>
    </w:p>
    <w:p>
      <w:pPr>
        <w:snapToGrid w:val="0"/>
        <w:spacing w:line="440" w:lineRule="exact"/>
        <w:ind w:firstLine="420" w:firstLineChars="200"/>
        <w:rPr>
          <w:rFonts w:hint="eastAsia" w:cs="宋体"/>
          <w:szCs w:val="21"/>
        </w:rPr>
      </w:pPr>
      <w:r>
        <w:rPr>
          <w:rFonts w:hint="eastAsia" w:cs="宋体"/>
          <w:szCs w:val="21"/>
        </w:rPr>
        <w:t>5、乙方应将施工人员投保凭证复印件交由甲方存档。</w:t>
      </w:r>
      <w:r>
        <w:rPr>
          <w:rFonts w:hint="eastAsia" w:cs="宋体"/>
          <w:b/>
          <w:szCs w:val="21"/>
        </w:rPr>
        <w:t>如乙方违约不投保或未续保或遗漏投保，造成乙方受到意外伤害事故人员不能得到保险赔偿或补偿，引发受伤害家属干扰</w:t>
      </w:r>
      <w:r>
        <w:rPr>
          <w:rFonts w:hint="eastAsia" w:cs="宋体"/>
          <w:szCs w:val="21"/>
        </w:rPr>
        <w:t>甲方</w:t>
      </w:r>
      <w:r>
        <w:rPr>
          <w:rFonts w:hint="eastAsia" w:cs="宋体"/>
          <w:b/>
          <w:szCs w:val="21"/>
        </w:rPr>
        <w:t>生产、办公等秩序的，</w:t>
      </w:r>
      <w:r>
        <w:rPr>
          <w:rFonts w:hint="eastAsia" w:cs="宋体"/>
          <w:szCs w:val="21"/>
        </w:rPr>
        <w:t>甲方</w:t>
      </w:r>
      <w:r>
        <w:rPr>
          <w:rFonts w:hint="eastAsia" w:cs="宋体"/>
          <w:b/>
          <w:szCs w:val="21"/>
        </w:rPr>
        <w:t>有权解除本合同，同时乙方应承担合同金额</w:t>
      </w:r>
      <w:r>
        <w:rPr>
          <w:rFonts w:cs="宋体"/>
          <w:b/>
          <w:szCs w:val="21"/>
          <w:u w:val="single"/>
        </w:rPr>
        <w:t>1</w:t>
      </w:r>
      <w:r>
        <w:rPr>
          <w:rFonts w:hint="eastAsia" w:cs="宋体"/>
          <w:b/>
          <w:szCs w:val="21"/>
          <w:u w:val="single"/>
        </w:rPr>
        <w:t>0</w:t>
      </w:r>
      <w:r>
        <w:rPr>
          <w:rFonts w:hint="eastAsia" w:cs="宋体"/>
          <w:b/>
          <w:szCs w:val="21"/>
        </w:rPr>
        <w:t>%的违约金，违约金不能弥补</w:t>
      </w:r>
      <w:r>
        <w:rPr>
          <w:rFonts w:hint="eastAsia" w:cs="宋体"/>
          <w:szCs w:val="21"/>
        </w:rPr>
        <w:t>甲方</w:t>
      </w:r>
      <w:r>
        <w:rPr>
          <w:rFonts w:hint="eastAsia" w:cs="宋体"/>
          <w:b/>
          <w:szCs w:val="21"/>
        </w:rPr>
        <w:t>损失的，乙方还应当按</w:t>
      </w:r>
      <w:r>
        <w:rPr>
          <w:rFonts w:hint="eastAsia" w:cs="宋体"/>
          <w:szCs w:val="21"/>
        </w:rPr>
        <w:t>甲方</w:t>
      </w:r>
      <w:r>
        <w:rPr>
          <w:rFonts w:hint="eastAsia" w:cs="宋体"/>
          <w:b/>
          <w:szCs w:val="21"/>
        </w:rPr>
        <w:t>实际损失赔偿。</w:t>
      </w:r>
    </w:p>
    <w:p>
      <w:pPr>
        <w:snapToGrid w:val="0"/>
        <w:spacing w:line="440" w:lineRule="exact"/>
        <w:ind w:firstLine="422" w:firstLineChars="200"/>
        <w:rPr>
          <w:rFonts w:hint="eastAsia" w:cs="宋体"/>
          <w:b/>
          <w:bCs/>
          <w:szCs w:val="21"/>
        </w:rPr>
      </w:pPr>
      <w:r>
        <w:rPr>
          <w:rFonts w:hint="eastAsia" w:cs="宋体"/>
          <w:b/>
          <w:bCs/>
          <w:szCs w:val="21"/>
        </w:rPr>
        <w:t>第七条 施工要求</w:t>
      </w:r>
    </w:p>
    <w:p>
      <w:pPr>
        <w:snapToGrid w:val="0"/>
        <w:spacing w:line="440" w:lineRule="exact"/>
        <w:ind w:firstLine="420" w:firstLineChars="200"/>
        <w:rPr>
          <w:rFonts w:hint="eastAsia" w:cs="宋体"/>
          <w:szCs w:val="21"/>
        </w:rPr>
      </w:pPr>
      <w:r>
        <w:rPr>
          <w:rFonts w:hint="eastAsia" w:cs="宋体"/>
          <w:szCs w:val="21"/>
        </w:rPr>
        <w:t>1、乙方必须保证施工质量，因乙方原因造成工程质量未达到国家有关施工质量验收规范、标准或甲方要求的，甲方</w:t>
      </w:r>
      <w:r>
        <w:rPr>
          <w:rFonts w:hint="eastAsia" w:cs="宋体"/>
          <w:b/>
          <w:szCs w:val="21"/>
        </w:rPr>
        <w:t>有权要求乙方无条件返工直至工程质量达标为止，并由乙方承担由此增加的费用和（或）延误的工期</w:t>
      </w:r>
      <w:r>
        <w:rPr>
          <w:rFonts w:hint="eastAsia" w:cs="宋体"/>
          <w:szCs w:val="21"/>
        </w:rPr>
        <w:t>。</w:t>
      </w:r>
    </w:p>
    <w:p>
      <w:pPr>
        <w:snapToGrid w:val="0"/>
        <w:spacing w:line="440" w:lineRule="exact"/>
        <w:ind w:firstLine="420" w:firstLineChars="200"/>
        <w:rPr>
          <w:rFonts w:hint="eastAsia" w:cs="宋体"/>
          <w:szCs w:val="21"/>
        </w:rPr>
      </w:pPr>
      <w:r>
        <w:rPr>
          <w:rFonts w:hint="eastAsia" w:cs="宋体"/>
          <w:szCs w:val="21"/>
        </w:rPr>
        <w:t>2、乙方上道工序结束，经甲方验收合格后，方能进入下一道工序的施工；</w:t>
      </w:r>
      <w:r>
        <w:rPr>
          <w:rFonts w:hint="eastAsia" w:cs="宋体"/>
          <w:b/>
          <w:szCs w:val="21"/>
        </w:rPr>
        <w:t>如不合格，乙方必须无条件返工，并承担由此增加的费用和（或）延误的工期</w:t>
      </w:r>
      <w:r>
        <w:rPr>
          <w:rFonts w:hint="eastAsia" w:cs="宋体"/>
          <w:szCs w:val="21"/>
        </w:rPr>
        <w:t>。</w:t>
      </w:r>
    </w:p>
    <w:p>
      <w:pPr>
        <w:snapToGrid w:val="0"/>
        <w:spacing w:line="440" w:lineRule="exact"/>
        <w:ind w:firstLine="420" w:firstLineChars="200"/>
        <w:rPr>
          <w:rFonts w:hint="eastAsia" w:cs="宋体"/>
          <w:szCs w:val="21"/>
        </w:rPr>
      </w:pPr>
      <w:r>
        <w:rPr>
          <w:rFonts w:hint="eastAsia" w:cs="宋体"/>
          <w:szCs w:val="21"/>
        </w:rPr>
        <w:t>3、施工期间，乙方应遵守甲方的有关管理规定，</w:t>
      </w:r>
      <w:r>
        <w:rPr>
          <w:rFonts w:hint="eastAsia" w:cs="宋体"/>
          <w:b/>
          <w:szCs w:val="21"/>
        </w:rPr>
        <w:t>如因乙方原因造成事故或被有关部门处罚的，所造成的人员伤亡和/或财产损失赔偿责任以及一切不利后果概由乙方承担</w:t>
      </w:r>
      <w:r>
        <w:rPr>
          <w:rFonts w:hint="eastAsia" w:cs="宋体"/>
          <w:szCs w:val="21"/>
        </w:rPr>
        <w:t>。</w:t>
      </w:r>
    </w:p>
    <w:p>
      <w:pPr>
        <w:snapToGrid w:val="0"/>
        <w:spacing w:line="440" w:lineRule="exact"/>
        <w:ind w:firstLine="420" w:firstLineChars="200"/>
        <w:rPr>
          <w:rFonts w:hint="eastAsia" w:cs="宋体"/>
          <w:szCs w:val="21"/>
        </w:rPr>
      </w:pPr>
      <w:r>
        <w:rPr>
          <w:rFonts w:hint="eastAsia" w:cs="宋体"/>
          <w:szCs w:val="21"/>
        </w:rPr>
        <w:t>4、</w:t>
      </w:r>
      <w:bookmarkStart w:id="122" w:name="OLE_LINK3"/>
      <w:r>
        <w:rPr>
          <w:rFonts w:hint="eastAsia" w:cs="宋体"/>
          <w:szCs w:val="21"/>
        </w:rPr>
        <w:t>施工期间，</w:t>
      </w:r>
      <w:bookmarkEnd w:id="122"/>
      <w:r>
        <w:rPr>
          <w:rFonts w:hint="eastAsia" w:cs="宋体"/>
          <w:szCs w:val="21"/>
        </w:rPr>
        <w:t>乙方应服从甲方工作人员现场的安排，无条件配合</w:t>
      </w:r>
      <w:r>
        <w:rPr>
          <w:rFonts w:hint="eastAsia" w:cs="宋体"/>
          <w:kern w:val="0"/>
          <w:szCs w:val="21"/>
        </w:rPr>
        <w:t>甲方</w:t>
      </w:r>
      <w:r>
        <w:rPr>
          <w:rFonts w:hint="eastAsia" w:cs="宋体"/>
          <w:szCs w:val="21"/>
        </w:rPr>
        <w:t>管理。</w:t>
      </w:r>
    </w:p>
    <w:p>
      <w:pPr>
        <w:snapToGrid w:val="0"/>
        <w:spacing w:line="440" w:lineRule="exact"/>
        <w:ind w:firstLine="420" w:firstLineChars="200"/>
        <w:rPr>
          <w:rFonts w:hint="eastAsia" w:cs="宋体"/>
          <w:szCs w:val="21"/>
        </w:rPr>
      </w:pPr>
      <w:r>
        <w:rPr>
          <w:rFonts w:hint="eastAsia" w:cs="宋体"/>
          <w:szCs w:val="21"/>
        </w:rPr>
        <w:t xml:space="preserve">5、乙方现场施工结束，应做好工完场清。 </w:t>
      </w:r>
    </w:p>
    <w:p>
      <w:pPr>
        <w:snapToGrid w:val="0"/>
        <w:spacing w:line="440" w:lineRule="exact"/>
        <w:ind w:firstLine="422" w:firstLineChars="200"/>
        <w:rPr>
          <w:rFonts w:hint="eastAsia" w:cs="宋体"/>
          <w:b/>
          <w:szCs w:val="21"/>
        </w:rPr>
      </w:pPr>
      <w:r>
        <w:rPr>
          <w:rFonts w:hint="eastAsia" w:cs="宋体"/>
          <w:b/>
          <w:szCs w:val="21"/>
        </w:rPr>
        <w:t>第八条 施工与设计变更</w:t>
      </w:r>
    </w:p>
    <w:p>
      <w:pPr>
        <w:snapToGrid w:val="0"/>
        <w:spacing w:line="440" w:lineRule="exact"/>
        <w:ind w:firstLine="420" w:firstLineChars="200"/>
        <w:rPr>
          <w:rFonts w:hint="eastAsia" w:cs="宋体"/>
          <w:szCs w:val="21"/>
        </w:rPr>
      </w:pPr>
      <w:r>
        <w:rPr>
          <w:rFonts w:hint="eastAsia" w:cs="宋体"/>
          <w:szCs w:val="21"/>
        </w:rPr>
        <w:t>1、乙方在组织施工中，必须遵照国家、行业及设计要求的施工验收规范和质量检验标准组织施工。</w:t>
      </w:r>
    </w:p>
    <w:p>
      <w:pPr>
        <w:snapToGrid w:val="0"/>
        <w:spacing w:line="440" w:lineRule="exact"/>
        <w:ind w:firstLine="420" w:firstLineChars="200"/>
        <w:rPr>
          <w:rFonts w:hint="eastAsia" w:cs="宋体"/>
          <w:szCs w:val="21"/>
        </w:rPr>
      </w:pPr>
      <w:r>
        <w:rPr>
          <w:rFonts w:hint="eastAsia" w:cs="宋体"/>
          <w:szCs w:val="21"/>
        </w:rPr>
        <w:t>2、在组织施工中，如必须变更设计，应按下列程序办理：</w:t>
      </w:r>
    </w:p>
    <w:p>
      <w:pPr>
        <w:snapToGrid w:val="0"/>
        <w:spacing w:line="440" w:lineRule="exact"/>
        <w:ind w:firstLine="420" w:firstLineChars="200"/>
        <w:rPr>
          <w:rFonts w:hint="eastAsia" w:cs="宋体"/>
          <w:szCs w:val="21"/>
        </w:rPr>
      </w:pPr>
      <w:r>
        <w:rPr>
          <w:rFonts w:hint="eastAsia" w:cs="宋体"/>
          <w:szCs w:val="21"/>
        </w:rPr>
        <w:t>（1）施工中发现设计有错误或严重不合理的地方，乙方应书面通知甲方，由甲方在</w:t>
      </w:r>
      <w:r>
        <w:rPr>
          <w:rFonts w:hint="eastAsia" w:cs="宋体"/>
          <w:szCs w:val="21"/>
          <w:u w:val="single"/>
        </w:rPr>
        <w:t>5</w:t>
      </w:r>
      <w:r>
        <w:rPr>
          <w:rFonts w:hint="eastAsia" w:cs="宋体"/>
          <w:szCs w:val="21"/>
        </w:rPr>
        <w:t>个工作日内提出修改或变更设计文件，经甲乙双方办理签证手续后，方可继续施工。</w:t>
      </w:r>
    </w:p>
    <w:p>
      <w:pPr>
        <w:snapToGrid w:val="0"/>
        <w:spacing w:line="440" w:lineRule="exact"/>
        <w:ind w:firstLine="420" w:firstLineChars="200"/>
        <w:rPr>
          <w:rFonts w:hint="eastAsia" w:cs="宋体"/>
          <w:szCs w:val="21"/>
        </w:rPr>
      </w:pPr>
      <w:r>
        <w:rPr>
          <w:rFonts w:hint="eastAsia" w:cs="宋体"/>
          <w:szCs w:val="21"/>
        </w:rPr>
        <w:t>（2）施工中如遇变更超出原设计标准或规模时，须经批准审批同意，甲乙双方办理签证手续后方可继续施工。在设计变更未批准前，任何一方不能强行施工。</w:t>
      </w:r>
    </w:p>
    <w:p>
      <w:pPr>
        <w:snapToGrid w:val="0"/>
        <w:spacing w:line="440" w:lineRule="exact"/>
        <w:ind w:firstLine="420" w:firstLineChars="200"/>
        <w:rPr>
          <w:rFonts w:hint="eastAsia" w:cs="宋体"/>
          <w:szCs w:val="21"/>
        </w:rPr>
      </w:pPr>
      <w:r>
        <w:rPr>
          <w:rFonts w:hint="eastAsia" w:cs="宋体"/>
          <w:szCs w:val="21"/>
        </w:rPr>
        <w:t>（3）在施工中如遇中途停建、缓建，甲乙双方对在建工程应商定做到合理部位。</w:t>
      </w:r>
    </w:p>
    <w:p>
      <w:pPr>
        <w:snapToGrid w:val="0"/>
        <w:spacing w:line="440" w:lineRule="exact"/>
        <w:ind w:firstLine="420" w:firstLineChars="200"/>
        <w:rPr>
          <w:rFonts w:hint="eastAsia" w:cs="宋体"/>
          <w:szCs w:val="21"/>
        </w:rPr>
      </w:pPr>
      <w:r>
        <w:rPr>
          <w:rFonts w:hint="eastAsia" w:cs="宋体"/>
          <w:szCs w:val="21"/>
        </w:rPr>
        <w:t>3、在施工中由乙方本身的原因造成的停工、返工、材料构件的倒运、机械二次进场等损失，由乙方自行负担。</w:t>
      </w:r>
    </w:p>
    <w:p>
      <w:pPr>
        <w:snapToGrid w:val="0"/>
        <w:spacing w:line="440" w:lineRule="exact"/>
        <w:ind w:firstLine="420" w:firstLineChars="200"/>
        <w:rPr>
          <w:rFonts w:hint="eastAsia" w:cs="宋体"/>
          <w:szCs w:val="21"/>
        </w:rPr>
      </w:pPr>
      <w:r>
        <w:rPr>
          <w:rFonts w:hint="eastAsia" w:cs="宋体"/>
          <w:szCs w:val="21"/>
        </w:rPr>
        <w:t>4、乙方要严格执行隐蔽工程验收制度。隐蔽工程完成后必须经过验收合格做出记录，方能进入下一道工序的施工。凡隐蔽工程均应由乙方先行施工质量自检，自检合格后，乙方应提前</w:t>
      </w:r>
      <w:r>
        <w:rPr>
          <w:rFonts w:hint="eastAsia" w:cs="宋体"/>
          <w:szCs w:val="21"/>
          <w:u w:val="single"/>
        </w:rPr>
        <w:t>1</w:t>
      </w:r>
      <w:r>
        <w:rPr>
          <w:rFonts w:hint="eastAsia" w:cs="宋体"/>
          <w:szCs w:val="21"/>
        </w:rPr>
        <w:t>个工作日书面通知甲方，共同进行验收，并办理验收手续；届时如甲方无特殊原因拒不参加的，乙方可以自行检查验收，并应作好记录，甲方应予承认。如甲方以后提出检查时，其检查结果不符合要求的，检查费由乙方负担，符合要求检查费由甲方负担。</w:t>
      </w:r>
    </w:p>
    <w:p>
      <w:pPr>
        <w:snapToGrid w:val="0"/>
        <w:spacing w:line="440" w:lineRule="exact"/>
        <w:ind w:firstLine="420" w:firstLineChars="200"/>
        <w:rPr>
          <w:rFonts w:hint="eastAsia" w:cs="宋体"/>
          <w:kern w:val="0"/>
          <w:szCs w:val="21"/>
        </w:rPr>
      </w:pPr>
      <w:r>
        <w:rPr>
          <w:rFonts w:hint="eastAsia" w:cs="宋体"/>
          <w:szCs w:val="21"/>
        </w:rPr>
        <w:t>5、</w:t>
      </w:r>
      <w:r>
        <w:rPr>
          <w:rFonts w:hint="eastAsia" w:cs="宋体"/>
          <w:snapToGrid w:val="0"/>
          <w:kern w:val="0"/>
          <w:szCs w:val="21"/>
        </w:rPr>
        <w:t>在施工中</w:t>
      </w:r>
      <w:r>
        <w:rPr>
          <w:rFonts w:hint="eastAsia" w:cs="宋体"/>
          <w:szCs w:val="21"/>
        </w:rPr>
        <w:t>甲方</w:t>
      </w:r>
      <w:r>
        <w:rPr>
          <w:rFonts w:hint="eastAsia" w:cs="宋体"/>
          <w:snapToGrid w:val="0"/>
          <w:kern w:val="0"/>
          <w:szCs w:val="21"/>
        </w:rPr>
        <w:t>认为需要变更的工程项目的价格确定:</w:t>
      </w:r>
      <w:r>
        <w:rPr>
          <w:rFonts w:hint="eastAsia" w:cs="宋体"/>
          <w:kern w:val="0"/>
          <w:szCs w:val="21"/>
        </w:rPr>
        <w:t>（1）投标书和合同中已有适用于变更工程项目的价格，按投标书和合同已有的价格计算；（2）投标书和合同中只有类似于变更工程项目的价格，可以参照类似价格变更；（3）投标书和合同中没有适用或类似于变更工程项目的价格，按照合同第二条第2款执行。以上均须报经</w:t>
      </w:r>
      <w:r>
        <w:rPr>
          <w:rFonts w:hint="eastAsia" w:cs="宋体"/>
          <w:szCs w:val="21"/>
        </w:rPr>
        <w:t>甲方</w:t>
      </w:r>
      <w:r>
        <w:rPr>
          <w:rFonts w:hint="eastAsia" w:cs="宋体"/>
          <w:kern w:val="0"/>
          <w:szCs w:val="21"/>
        </w:rPr>
        <w:t>同意后方可作为变更价格。</w:t>
      </w:r>
    </w:p>
    <w:p>
      <w:pPr>
        <w:snapToGrid w:val="0"/>
        <w:spacing w:line="440" w:lineRule="exact"/>
        <w:ind w:firstLine="422" w:firstLineChars="200"/>
        <w:rPr>
          <w:rFonts w:hint="eastAsia" w:cs="宋体"/>
          <w:b/>
          <w:szCs w:val="21"/>
        </w:rPr>
      </w:pPr>
      <w:r>
        <w:rPr>
          <w:rFonts w:hint="eastAsia" w:cs="宋体"/>
          <w:b/>
          <w:szCs w:val="21"/>
        </w:rPr>
        <w:t>第九条 完工验收与保修</w:t>
      </w:r>
    </w:p>
    <w:p>
      <w:pPr>
        <w:snapToGrid w:val="0"/>
        <w:spacing w:line="440" w:lineRule="exact"/>
        <w:ind w:firstLine="420" w:firstLineChars="200"/>
        <w:rPr>
          <w:rFonts w:hint="eastAsia" w:cs="宋体"/>
          <w:szCs w:val="21"/>
        </w:rPr>
      </w:pPr>
      <w:r>
        <w:rPr>
          <w:rFonts w:hint="eastAsia" w:cs="宋体"/>
          <w:szCs w:val="21"/>
        </w:rPr>
        <w:t>1、本工程质量标准：按相关标准验收合格。</w:t>
      </w:r>
    </w:p>
    <w:p>
      <w:pPr>
        <w:snapToGrid w:val="0"/>
        <w:spacing w:line="440" w:lineRule="exact"/>
        <w:ind w:firstLine="420" w:firstLineChars="200"/>
        <w:rPr>
          <w:rFonts w:hint="eastAsia" w:cs="宋体"/>
          <w:szCs w:val="21"/>
        </w:rPr>
      </w:pPr>
      <w:r>
        <w:rPr>
          <w:rFonts w:hint="eastAsia" w:cs="宋体"/>
          <w:szCs w:val="21"/>
        </w:rPr>
        <w:t>2、保修及保修期限：工程经</w:t>
      </w:r>
      <w:r>
        <w:rPr>
          <w:rFonts w:hint="eastAsia" w:cs="宋体"/>
          <w:bCs/>
          <w:szCs w:val="21"/>
        </w:rPr>
        <w:t>甲方验收后</w:t>
      </w:r>
      <w:r>
        <w:rPr>
          <w:rFonts w:hint="eastAsia" w:cs="宋体"/>
          <w:szCs w:val="21"/>
        </w:rPr>
        <w:t>，乙方对施工的工程质量负责保修。</w:t>
      </w:r>
      <w:bookmarkStart w:id="123" w:name="OLE_LINK20"/>
      <w:r>
        <w:rPr>
          <w:rFonts w:hint="eastAsia" w:cs="宋体"/>
          <w:szCs w:val="21"/>
        </w:rPr>
        <w:t>保修期</w:t>
      </w:r>
      <w:bookmarkEnd w:id="123"/>
      <w:r>
        <w:rPr>
          <w:rFonts w:hint="eastAsia" w:cs="宋体"/>
          <w:szCs w:val="21"/>
        </w:rPr>
        <w:t xml:space="preserve">为 </w:t>
      </w:r>
      <w:r>
        <w:rPr>
          <w:rFonts w:hint="eastAsia" w:cs="宋体"/>
          <w:szCs w:val="21"/>
          <w:u w:val="single"/>
        </w:rPr>
        <w:t xml:space="preserve"> 2 </w:t>
      </w:r>
      <w:r>
        <w:rPr>
          <w:rFonts w:hint="eastAsia" w:cs="宋体"/>
          <w:szCs w:val="21"/>
        </w:rPr>
        <w:t xml:space="preserve"> 年。 </w:t>
      </w:r>
    </w:p>
    <w:p>
      <w:pPr>
        <w:snapToGrid w:val="0"/>
        <w:spacing w:line="440" w:lineRule="exact"/>
        <w:ind w:firstLine="422" w:firstLineChars="200"/>
        <w:rPr>
          <w:rFonts w:hint="eastAsia" w:cs="宋体"/>
          <w:b/>
          <w:szCs w:val="21"/>
        </w:rPr>
      </w:pPr>
      <w:r>
        <w:rPr>
          <w:rFonts w:hint="eastAsia" w:cs="宋体"/>
          <w:b/>
          <w:szCs w:val="21"/>
        </w:rPr>
        <w:t>第十条 违约责任</w:t>
      </w:r>
    </w:p>
    <w:p>
      <w:pPr>
        <w:snapToGrid w:val="0"/>
        <w:spacing w:line="440" w:lineRule="exact"/>
        <w:ind w:firstLine="420" w:firstLineChars="200"/>
        <w:rPr>
          <w:rFonts w:hint="eastAsia" w:cs="宋体"/>
          <w:szCs w:val="21"/>
        </w:rPr>
      </w:pPr>
      <w:r>
        <w:rPr>
          <w:rFonts w:hint="eastAsia" w:cs="宋体"/>
          <w:szCs w:val="21"/>
        </w:rPr>
        <w:t>1、</w:t>
      </w:r>
      <w:r>
        <w:rPr>
          <w:rFonts w:hint="eastAsia" w:cs="宋体"/>
          <w:b/>
          <w:szCs w:val="21"/>
        </w:rPr>
        <w:t>乙方未在合同约定的工期内完工并经甲方验收合格的，</w:t>
      </w:r>
      <w:r>
        <w:rPr>
          <w:rFonts w:hint="eastAsia" w:cs="宋体"/>
          <w:b/>
          <w:bCs/>
          <w:kern w:val="0"/>
          <w:szCs w:val="21"/>
        </w:rPr>
        <w:t>包括但不限于</w:t>
      </w:r>
      <w:r>
        <w:rPr>
          <w:rFonts w:cs="宋体"/>
          <w:b/>
          <w:bCs/>
          <w:kern w:val="0"/>
          <w:szCs w:val="21"/>
        </w:rPr>
        <w:t>不能按期开工或中途无故停工</w:t>
      </w:r>
      <w:r>
        <w:rPr>
          <w:rFonts w:hint="eastAsia" w:cs="宋体"/>
          <w:b/>
          <w:bCs/>
          <w:kern w:val="0"/>
          <w:szCs w:val="21"/>
        </w:rPr>
        <w:t>或因工程质量问题</w:t>
      </w:r>
      <w:r>
        <w:rPr>
          <w:rFonts w:hint="eastAsia" w:cs="宋体"/>
          <w:kern w:val="0"/>
          <w:szCs w:val="21"/>
        </w:rPr>
        <w:t>甲方</w:t>
      </w:r>
      <w:r>
        <w:rPr>
          <w:rFonts w:hint="eastAsia" w:cs="宋体"/>
          <w:b/>
          <w:bCs/>
          <w:kern w:val="0"/>
          <w:szCs w:val="21"/>
        </w:rPr>
        <w:t>验收不合格的</w:t>
      </w:r>
      <w:r>
        <w:rPr>
          <w:rFonts w:cs="宋体"/>
          <w:b/>
          <w:bCs/>
          <w:kern w:val="0"/>
          <w:szCs w:val="21"/>
        </w:rPr>
        <w:t>,</w:t>
      </w:r>
      <w:r>
        <w:rPr>
          <w:rFonts w:hint="eastAsia" w:cs="宋体"/>
          <w:b/>
          <w:szCs w:val="21"/>
        </w:rPr>
        <w:t>每逾期一天，乙方应向</w:t>
      </w:r>
      <w:r>
        <w:rPr>
          <w:rFonts w:hint="eastAsia" w:cs="宋体"/>
          <w:szCs w:val="21"/>
        </w:rPr>
        <w:t>甲方</w:t>
      </w:r>
      <w:r>
        <w:rPr>
          <w:rFonts w:hint="eastAsia" w:cs="宋体"/>
          <w:b/>
          <w:szCs w:val="21"/>
        </w:rPr>
        <w:t>支付合同价款</w:t>
      </w:r>
      <w:r>
        <w:rPr>
          <w:rFonts w:hint="eastAsia" w:cs="宋体"/>
          <w:b/>
          <w:szCs w:val="21"/>
          <w:u w:val="single"/>
        </w:rPr>
        <w:t>0.3</w:t>
      </w:r>
      <w:r>
        <w:rPr>
          <w:rFonts w:hint="eastAsia" w:cs="宋体"/>
          <w:b/>
          <w:szCs w:val="21"/>
        </w:rPr>
        <w:t>%的违约金；逾期三十日以上的，</w:t>
      </w:r>
      <w:r>
        <w:rPr>
          <w:rFonts w:hint="eastAsia" w:cs="宋体"/>
          <w:szCs w:val="21"/>
        </w:rPr>
        <w:t>甲方</w:t>
      </w:r>
      <w:r>
        <w:rPr>
          <w:rFonts w:hint="eastAsia" w:cs="宋体"/>
          <w:b/>
          <w:szCs w:val="21"/>
        </w:rPr>
        <w:t>有权单方解除本合同，要求乙方支付合同价款</w:t>
      </w:r>
      <w:r>
        <w:rPr>
          <w:rFonts w:hint="eastAsia" w:cs="宋体"/>
          <w:b/>
          <w:szCs w:val="21"/>
          <w:u w:val="single"/>
        </w:rPr>
        <w:t>20</w:t>
      </w:r>
      <w:r>
        <w:rPr>
          <w:rFonts w:hint="eastAsia" w:cs="宋体"/>
          <w:b/>
          <w:szCs w:val="21"/>
        </w:rPr>
        <w:t>%的违约金并赔偿</w:t>
      </w:r>
      <w:r>
        <w:rPr>
          <w:rFonts w:hint="eastAsia" w:cs="宋体"/>
          <w:szCs w:val="21"/>
        </w:rPr>
        <w:t>甲方</w:t>
      </w:r>
      <w:r>
        <w:rPr>
          <w:rFonts w:hint="eastAsia" w:cs="宋体"/>
          <w:b/>
          <w:szCs w:val="21"/>
        </w:rPr>
        <w:t>因此造成的全部损失</w:t>
      </w:r>
      <w:r>
        <w:rPr>
          <w:rFonts w:hint="eastAsia" w:cs="宋体"/>
          <w:szCs w:val="21"/>
        </w:rPr>
        <w:t>。</w:t>
      </w:r>
    </w:p>
    <w:p>
      <w:pPr>
        <w:snapToGrid w:val="0"/>
        <w:spacing w:line="440" w:lineRule="exact"/>
        <w:ind w:firstLine="420" w:firstLineChars="200"/>
        <w:rPr>
          <w:rFonts w:hint="eastAsia" w:cs="宋体"/>
          <w:b/>
          <w:szCs w:val="21"/>
        </w:rPr>
      </w:pPr>
      <w:r>
        <w:rPr>
          <w:rFonts w:hint="eastAsia" w:cs="宋体"/>
          <w:szCs w:val="21"/>
        </w:rPr>
        <w:t>2、</w:t>
      </w:r>
      <w:r>
        <w:rPr>
          <w:rFonts w:hint="eastAsia" w:cs="宋体"/>
          <w:b/>
          <w:szCs w:val="21"/>
        </w:rPr>
        <w:t>若乙方未遵守</w:t>
      </w:r>
      <w:r>
        <w:rPr>
          <w:rFonts w:hint="eastAsia" w:cs="宋体"/>
          <w:szCs w:val="21"/>
        </w:rPr>
        <w:t>甲方</w:t>
      </w:r>
      <w:r>
        <w:rPr>
          <w:rFonts w:hint="eastAsia" w:cs="宋体"/>
          <w:b/>
          <w:szCs w:val="21"/>
        </w:rPr>
        <w:t>的安全规章制度及《安全管理协议书》，违规作业造成事故的，乙方须承担相应的赔偿责任，乙方应根据</w:t>
      </w:r>
      <w:r>
        <w:rPr>
          <w:rFonts w:hint="eastAsia" w:cs="宋体"/>
          <w:szCs w:val="21"/>
        </w:rPr>
        <w:t>甲方</w:t>
      </w:r>
      <w:r>
        <w:rPr>
          <w:rFonts w:hint="eastAsia" w:cs="宋体"/>
          <w:b/>
          <w:szCs w:val="21"/>
        </w:rPr>
        <w:t>管理制度支付相应的违约金；如果因此造成</w:t>
      </w:r>
      <w:r>
        <w:rPr>
          <w:rFonts w:hint="eastAsia" w:cs="宋体"/>
          <w:szCs w:val="21"/>
        </w:rPr>
        <w:t>甲方</w:t>
      </w:r>
      <w:r>
        <w:rPr>
          <w:rFonts w:hint="eastAsia" w:cs="宋体"/>
          <w:b/>
          <w:szCs w:val="21"/>
        </w:rPr>
        <w:t>不能正常作业的，乙方应按合同价款的</w:t>
      </w:r>
      <w:r>
        <w:rPr>
          <w:rFonts w:cs="宋体"/>
          <w:b/>
          <w:szCs w:val="21"/>
          <w:u w:val="single"/>
        </w:rPr>
        <w:t>1</w:t>
      </w:r>
      <w:r>
        <w:rPr>
          <w:rFonts w:hint="eastAsia" w:cs="宋体"/>
          <w:b/>
          <w:szCs w:val="21"/>
          <w:u w:val="single"/>
        </w:rPr>
        <w:t>0</w:t>
      </w:r>
      <w:r>
        <w:rPr>
          <w:rFonts w:hint="eastAsia" w:cs="宋体"/>
          <w:b/>
          <w:szCs w:val="21"/>
        </w:rPr>
        <w:t>%承担违约金并赔偿</w:t>
      </w:r>
      <w:r>
        <w:rPr>
          <w:rFonts w:hint="eastAsia" w:cs="宋体"/>
          <w:szCs w:val="21"/>
        </w:rPr>
        <w:t>甲方</w:t>
      </w:r>
      <w:r>
        <w:rPr>
          <w:rFonts w:hint="eastAsia" w:cs="宋体"/>
          <w:b/>
          <w:szCs w:val="21"/>
        </w:rPr>
        <w:t>因此造成的全部损失。</w:t>
      </w:r>
    </w:p>
    <w:p>
      <w:pPr>
        <w:snapToGrid w:val="0"/>
        <w:spacing w:line="440" w:lineRule="exact"/>
        <w:ind w:firstLine="420" w:firstLineChars="200"/>
        <w:rPr>
          <w:rFonts w:hint="eastAsia" w:cs="宋体"/>
          <w:b/>
          <w:szCs w:val="21"/>
        </w:rPr>
      </w:pPr>
      <w:r>
        <w:rPr>
          <w:rFonts w:hint="eastAsia" w:cs="宋体"/>
          <w:szCs w:val="21"/>
        </w:rPr>
        <w:t>3、</w:t>
      </w:r>
      <w:r>
        <w:rPr>
          <w:rFonts w:hint="eastAsia" w:cs="宋体"/>
          <w:b/>
          <w:szCs w:val="21"/>
        </w:rPr>
        <w:t>乙方有其他违约行为，且经书面通知后5日内仍未纠正的，乙方必须支付</w:t>
      </w:r>
      <w:r>
        <w:rPr>
          <w:rFonts w:hint="eastAsia" w:cs="宋体"/>
          <w:kern w:val="0"/>
          <w:szCs w:val="21"/>
        </w:rPr>
        <w:t>甲方</w:t>
      </w:r>
      <w:r>
        <w:rPr>
          <w:rFonts w:hint="eastAsia" w:cs="宋体"/>
          <w:b/>
          <w:szCs w:val="21"/>
          <w:u w:val="single"/>
        </w:rPr>
        <w:t>500</w:t>
      </w:r>
      <w:r>
        <w:rPr>
          <w:rFonts w:hint="eastAsia" w:cs="宋体"/>
          <w:b/>
          <w:szCs w:val="21"/>
        </w:rPr>
        <w:t>元/次的违约金。</w:t>
      </w:r>
    </w:p>
    <w:p>
      <w:pPr>
        <w:snapToGrid w:val="0"/>
        <w:spacing w:line="440" w:lineRule="exact"/>
        <w:ind w:firstLine="422" w:firstLineChars="200"/>
        <w:rPr>
          <w:rFonts w:hint="eastAsia" w:cs="新宋体"/>
          <w:b/>
          <w:bCs/>
          <w:szCs w:val="21"/>
        </w:rPr>
      </w:pPr>
      <w:r>
        <w:rPr>
          <w:rFonts w:hint="eastAsia" w:cs="宋体"/>
          <w:b/>
          <w:szCs w:val="21"/>
        </w:rPr>
        <w:t>第十一条 清退条款</w:t>
      </w:r>
    </w:p>
    <w:p>
      <w:pPr>
        <w:snapToGrid w:val="0"/>
        <w:spacing w:line="400" w:lineRule="exact"/>
        <w:ind w:firstLine="422" w:firstLineChars="200"/>
        <w:rPr>
          <w:rFonts w:hint="eastAsia" w:cs="新宋体"/>
          <w:b/>
          <w:bCs/>
          <w:szCs w:val="21"/>
        </w:rPr>
      </w:pPr>
      <w:r>
        <w:rPr>
          <w:rFonts w:hint="eastAsia" w:cs="新宋体"/>
          <w:b/>
          <w:bCs/>
          <w:szCs w:val="21"/>
        </w:rPr>
        <w:t>1、合同签订后出现以下情形之一的，将启动清退程序：</w:t>
      </w:r>
    </w:p>
    <w:p>
      <w:pPr>
        <w:snapToGrid w:val="0"/>
        <w:spacing w:line="400" w:lineRule="exact"/>
        <w:ind w:firstLine="420" w:firstLineChars="200"/>
        <w:rPr>
          <w:rFonts w:hint="eastAsia" w:cs="新宋体"/>
          <w:szCs w:val="21"/>
        </w:rPr>
      </w:pPr>
      <w:bookmarkStart w:id="124" w:name="OLE_LINK33"/>
      <w:r>
        <w:rPr>
          <w:rFonts w:hint="eastAsia" w:cs="新宋体"/>
          <w:szCs w:val="21"/>
        </w:rPr>
        <w:t>（1）</w:t>
      </w:r>
      <w:bookmarkEnd w:id="124"/>
      <w:r>
        <w:rPr>
          <w:rFonts w:hint="eastAsia" w:cs="新宋体"/>
          <w:szCs w:val="21"/>
        </w:rPr>
        <w:t>合同期内，作业人员因违章指挥、违规作业或违反劳动纪律等行为，导致发生重伤及以上责任事故的。</w:t>
      </w:r>
    </w:p>
    <w:p>
      <w:pPr>
        <w:snapToGrid w:val="0"/>
        <w:spacing w:line="400" w:lineRule="exact"/>
        <w:ind w:firstLine="420" w:firstLineChars="200"/>
        <w:rPr>
          <w:rFonts w:hint="eastAsia" w:cs="新宋体"/>
          <w:szCs w:val="21"/>
        </w:rPr>
      </w:pPr>
      <w:r>
        <w:rPr>
          <w:rFonts w:hint="eastAsia" w:cs="新宋体"/>
          <w:szCs w:val="21"/>
        </w:rPr>
        <w:t>（2）违章冒险作业情节严重，存在较大亡人风险，且现场拒不停止作业的。</w:t>
      </w:r>
    </w:p>
    <w:p>
      <w:pPr>
        <w:snapToGrid w:val="0"/>
        <w:spacing w:line="400" w:lineRule="exact"/>
        <w:ind w:firstLine="420" w:firstLineChars="200"/>
        <w:rPr>
          <w:rFonts w:hint="eastAsia" w:cs="新宋体"/>
          <w:szCs w:val="21"/>
        </w:rPr>
      </w:pPr>
      <w:r>
        <w:rPr>
          <w:rFonts w:hint="eastAsia" w:cs="新宋体"/>
          <w:szCs w:val="21"/>
        </w:rPr>
        <w:t>（3）合同期内，作业人员吸毒或携带违禁物品进入作业现场，经现场抽查或举报查实的。</w:t>
      </w:r>
    </w:p>
    <w:p>
      <w:pPr>
        <w:snapToGrid w:val="0"/>
        <w:spacing w:line="400" w:lineRule="exact"/>
        <w:ind w:firstLine="420" w:firstLineChars="200"/>
        <w:rPr>
          <w:rFonts w:hint="eastAsia" w:cs="新宋体"/>
          <w:szCs w:val="21"/>
        </w:rPr>
      </w:pPr>
      <w:r>
        <w:rPr>
          <w:rFonts w:hint="eastAsia" w:cs="新宋体"/>
          <w:szCs w:val="21"/>
        </w:rPr>
        <w:t>（4）作业人员持用虚假证件、冒名顶替、伪造履历入职，或隐瞒重大职业健康禁忌，经查实的。</w:t>
      </w:r>
    </w:p>
    <w:p>
      <w:pPr>
        <w:snapToGrid w:val="0"/>
        <w:spacing w:line="400" w:lineRule="exact"/>
        <w:ind w:firstLine="420" w:firstLineChars="200"/>
        <w:rPr>
          <w:rFonts w:hint="eastAsia" w:cs="新宋体"/>
          <w:szCs w:val="21"/>
        </w:rPr>
      </w:pPr>
      <w:r>
        <w:rPr>
          <w:rFonts w:hint="eastAsia" w:cs="新宋体"/>
          <w:szCs w:val="21"/>
        </w:rPr>
        <w:t>（5）合同期内，作业人员接连发生习惯性违章行为，屡教不改的。</w:t>
      </w:r>
    </w:p>
    <w:p>
      <w:pPr>
        <w:snapToGrid w:val="0"/>
        <w:spacing w:line="400" w:lineRule="exact"/>
        <w:ind w:firstLine="420" w:firstLineChars="200"/>
        <w:rPr>
          <w:rFonts w:hint="eastAsia" w:cs="新宋体"/>
          <w:szCs w:val="21"/>
        </w:rPr>
      </w:pPr>
      <w:r>
        <w:rPr>
          <w:rFonts w:hint="eastAsia" w:cs="新宋体"/>
          <w:szCs w:val="21"/>
        </w:rPr>
        <w:t>（6）合同期内，作业人员因故意或过失，导致公司、各单位遭受50万元及以上直接经济损失或造成负面舆情影响的。</w:t>
      </w:r>
    </w:p>
    <w:p>
      <w:pPr>
        <w:snapToGrid w:val="0"/>
        <w:spacing w:line="400" w:lineRule="exact"/>
        <w:ind w:firstLine="420" w:firstLineChars="200"/>
        <w:rPr>
          <w:rFonts w:hint="eastAsia" w:cs="新宋体"/>
          <w:szCs w:val="21"/>
        </w:rPr>
      </w:pPr>
      <w:r>
        <w:rPr>
          <w:rFonts w:hint="eastAsia" w:cs="新宋体"/>
          <w:szCs w:val="21"/>
        </w:rPr>
        <w:t>（7）合同期内，专（兼）安全生产管理人员未按规定履行安全生产管理职责，存在未开展现场检查并形成检查记录、未开展安全教育并形成教育记录等履职不到位情形且不配合整改的。</w:t>
      </w:r>
    </w:p>
    <w:p>
      <w:pPr>
        <w:snapToGrid w:val="0"/>
        <w:spacing w:line="400" w:lineRule="exact"/>
        <w:ind w:firstLine="420" w:firstLineChars="200"/>
        <w:rPr>
          <w:rFonts w:hint="eastAsia" w:cs="新宋体"/>
          <w:szCs w:val="21"/>
        </w:rPr>
      </w:pPr>
      <w:r>
        <w:rPr>
          <w:rFonts w:hint="eastAsia" w:cs="新宋体"/>
          <w:szCs w:val="21"/>
        </w:rPr>
        <w:t>（8）合同期内，管理人员未按各单位合理要求落实整改或拒不整改的。</w:t>
      </w:r>
    </w:p>
    <w:p>
      <w:pPr>
        <w:snapToGrid w:val="0"/>
        <w:spacing w:line="440" w:lineRule="exact"/>
        <w:ind w:firstLine="420" w:firstLineChars="200"/>
        <w:rPr>
          <w:rFonts w:hint="eastAsia" w:cs="新宋体"/>
          <w:szCs w:val="21"/>
        </w:rPr>
      </w:pPr>
      <w:r>
        <w:rPr>
          <w:rFonts w:hint="eastAsia" w:cs="新宋体"/>
          <w:szCs w:val="21"/>
        </w:rPr>
        <w:t>（9）发生其他法定禁止行为的。</w:t>
      </w:r>
    </w:p>
    <w:p>
      <w:pPr>
        <w:snapToGrid w:val="0"/>
        <w:spacing w:line="440" w:lineRule="exact"/>
        <w:ind w:firstLine="422" w:firstLineChars="200"/>
        <w:rPr>
          <w:rFonts w:hint="eastAsia" w:cs="宋体"/>
          <w:b/>
          <w:szCs w:val="21"/>
        </w:rPr>
      </w:pPr>
      <w:r>
        <w:rPr>
          <w:rFonts w:hint="eastAsia" w:cs="宋体"/>
          <w:b/>
          <w:szCs w:val="21"/>
        </w:rPr>
        <w:t>第十二条 其他约定</w:t>
      </w:r>
    </w:p>
    <w:p>
      <w:pPr>
        <w:ind w:firstLine="422" w:firstLineChars="200"/>
        <w:rPr>
          <w:rFonts w:hint="eastAsia"/>
          <w:b/>
          <w:bCs/>
        </w:rPr>
      </w:pPr>
      <w:r>
        <w:rPr>
          <w:rFonts w:hint="eastAsia"/>
          <w:b/>
          <w:bCs/>
        </w:rPr>
        <w:t>1、</w:t>
      </w:r>
      <w:r>
        <w:rPr>
          <w:b/>
          <w:bCs/>
        </w:rPr>
        <w:t>本项目采购的闸机、刷脸识别设备，须自带</w:t>
      </w:r>
      <w:r>
        <w:rPr>
          <w:rFonts w:hint="eastAsia"/>
          <w:b/>
          <w:bCs/>
        </w:rPr>
        <w:t>同系统</w:t>
      </w:r>
      <w:r>
        <w:rPr>
          <w:b/>
          <w:bCs/>
        </w:rPr>
        <w:t>免费门禁管理系统平台，平台需集成固定人员管理、访客管理等核心功能，且支持手机端便捷操作。后续系统升级、功能迭代等衍生付费服务，</w:t>
      </w:r>
      <w:r>
        <w:rPr>
          <w:rFonts w:hint="eastAsia"/>
          <w:b/>
          <w:bCs/>
        </w:rPr>
        <w:t>甲方</w:t>
      </w:r>
      <w:r>
        <w:rPr>
          <w:b/>
          <w:bCs/>
        </w:rPr>
        <w:t>无需另行支付任何费用</w:t>
      </w:r>
      <w:r>
        <w:rPr>
          <w:rFonts w:hint="eastAsia"/>
          <w:b/>
          <w:bCs/>
        </w:rPr>
        <w:t>，该平台由厂家部署于互联网，不使用甲方局域网与互联网IP资源。甲方服务器通过物业宽带开放普通上网权限实现与该平台的数据对接，服务器不单独开放互联网IP及端口</w:t>
      </w:r>
      <w:r>
        <w:rPr>
          <w:b/>
          <w:bCs/>
        </w:rPr>
        <w:t>。</w:t>
      </w:r>
    </w:p>
    <w:p>
      <w:pPr>
        <w:spacing w:line="440" w:lineRule="exact"/>
        <w:ind w:firstLine="420" w:firstLineChars="200"/>
        <w:rPr>
          <w:rFonts w:hint="eastAsia" w:cs="宋体"/>
          <w:szCs w:val="21"/>
        </w:rPr>
      </w:pPr>
      <w:r>
        <w:rPr>
          <w:rFonts w:hint="eastAsia" w:cs="宋体"/>
          <w:szCs w:val="21"/>
        </w:rPr>
        <w:t>2、海港大厦1号楼一楼后门</w:t>
      </w:r>
      <w:r>
        <w:rPr>
          <w:rFonts w:hint="eastAsia"/>
        </w:rPr>
        <w:t>、</w:t>
      </w:r>
      <w:r>
        <w:rPr>
          <w:rFonts w:hint="eastAsia" w:cs="宋体"/>
          <w:szCs w:val="21"/>
        </w:rPr>
        <w:t>地下室防火门，</w:t>
      </w:r>
      <w:r>
        <w:rPr>
          <w:rFonts w:hint="eastAsia"/>
        </w:rPr>
        <w:t>应</w:t>
      </w:r>
      <w:r>
        <w:rPr>
          <w:rFonts w:hint="eastAsia" w:cs="宋体"/>
          <w:szCs w:val="21"/>
        </w:rPr>
        <w:t>备具消防联动功能，当消防信号触发时，门自动打开，快速引导人员疏散（具体按施工图纸操作</w:t>
      </w:r>
      <w:r>
        <w:rPr>
          <w:rFonts w:cs="宋体"/>
          <w:szCs w:val="21"/>
        </w:rPr>
        <w:t>）</w:t>
      </w:r>
      <w:r>
        <w:rPr>
          <w:rFonts w:hint="eastAsia" w:cs="宋体"/>
          <w:szCs w:val="21"/>
        </w:rPr>
        <w:t>。</w:t>
      </w:r>
    </w:p>
    <w:p>
      <w:pPr>
        <w:spacing w:line="440" w:lineRule="exact"/>
        <w:ind w:firstLine="420" w:firstLineChars="200"/>
        <w:rPr>
          <w:rFonts w:hint="eastAsia" w:cs="宋体"/>
          <w:szCs w:val="21"/>
        </w:rPr>
      </w:pPr>
      <w:r>
        <w:rPr>
          <w:rFonts w:hint="eastAsia" w:cs="宋体"/>
          <w:szCs w:val="21"/>
        </w:rPr>
        <w:t>3、本工程施工现场水电由甲方免费提供接口。</w:t>
      </w:r>
    </w:p>
    <w:p>
      <w:pPr>
        <w:snapToGrid w:val="0"/>
        <w:spacing w:line="440" w:lineRule="exact"/>
        <w:ind w:firstLine="420" w:firstLineChars="200"/>
        <w:rPr>
          <w:rFonts w:hint="eastAsia" w:cs="宋体"/>
          <w:szCs w:val="21"/>
        </w:rPr>
      </w:pPr>
      <w:r>
        <w:rPr>
          <w:rFonts w:hint="eastAsia" w:cs="宋体"/>
          <w:szCs w:val="21"/>
        </w:rPr>
        <w:t>4、乙方必须遵守国家有关安全生产的法律、法规。</w:t>
      </w:r>
    </w:p>
    <w:p>
      <w:pPr>
        <w:snapToGrid w:val="0"/>
        <w:spacing w:line="440" w:lineRule="exact"/>
        <w:ind w:firstLine="420" w:firstLineChars="200"/>
        <w:rPr>
          <w:rFonts w:hint="eastAsia" w:cs="宋体"/>
          <w:szCs w:val="21"/>
        </w:rPr>
      </w:pPr>
      <w:r>
        <w:rPr>
          <w:rFonts w:hint="eastAsia" w:cs="宋体"/>
          <w:szCs w:val="21"/>
        </w:rPr>
        <w:t>5、乙方应及时向其施工人员发放工资。对于乙方人员的用工、待遇、工伤等纠纷概由乙方负责，与甲方无关。</w:t>
      </w:r>
    </w:p>
    <w:p>
      <w:pPr>
        <w:snapToGrid w:val="0"/>
        <w:spacing w:line="440" w:lineRule="exact"/>
        <w:ind w:firstLine="422" w:firstLineChars="200"/>
        <w:rPr>
          <w:rFonts w:hint="eastAsia" w:cs="宋体"/>
          <w:b/>
          <w:szCs w:val="21"/>
        </w:rPr>
      </w:pPr>
      <w:r>
        <w:rPr>
          <w:rFonts w:hint="eastAsia" w:cs="宋体"/>
          <w:b/>
          <w:szCs w:val="21"/>
        </w:rPr>
        <w:t>第十三条 附则</w:t>
      </w:r>
    </w:p>
    <w:p>
      <w:pPr>
        <w:snapToGrid w:val="0"/>
        <w:spacing w:line="440" w:lineRule="exact"/>
        <w:ind w:firstLine="420" w:firstLineChars="200"/>
        <w:rPr>
          <w:rFonts w:hint="eastAsia" w:cs="宋体"/>
          <w:szCs w:val="21"/>
        </w:rPr>
      </w:pPr>
      <w:r>
        <w:rPr>
          <w:rFonts w:hint="eastAsia" w:cs="宋体"/>
          <w:szCs w:val="21"/>
        </w:rPr>
        <w:t>1、甲乙双方签订本合同时，必须同时签订《工程质量保修书》《工程建设项目廉政责任书》、《安全管理协议书》、《环保卫生管理协议书》、《消防安全管理协议书》、《不拖欠民工工资承诺书》、《合作伙伴合规承诺书》。</w:t>
      </w:r>
    </w:p>
    <w:p>
      <w:pPr>
        <w:snapToGrid w:val="0"/>
        <w:spacing w:line="440" w:lineRule="exact"/>
        <w:ind w:firstLine="420" w:firstLineChars="200"/>
        <w:rPr>
          <w:rFonts w:hint="eastAsia" w:cs="宋体"/>
          <w:szCs w:val="21"/>
        </w:rPr>
      </w:pPr>
      <w:r>
        <w:rPr>
          <w:rFonts w:hint="eastAsia" w:cs="宋体"/>
          <w:szCs w:val="21"/>
        </w:rPr>
        <w:t>2、《工程质量保修书》《工程建设项目廉政责任书》、《安全管理协议书》、《环保卫生管理协议书》、《消防安全管理协议书》、《不拖欠民工工资承诺书》、《合作伙伴合规承诺书》。与本合同同时生效，具有相同的法律效力，甲乙双方必须共同遵守。</w:t>
      </w:r>
    </w:p>
    <w:p>
      <w:pPr>
        <w:snapToGrid w:val="0"/>
        <w:spacing w:line="440" w:lineRule="exact"/>
        <w:ind w:firstLine="420" w:firstLineChars="200"/>
        <w:rPr>
          <w:rFonts w:hint="eastAsia" w:cs="宋体"/>
          <w:szCs w:val="21"/>
        </w:rPr>
      </w:pPr>
      <w:r>
        <w:rPr>
          <w:rFonts w:hint="eastAsia" w:cs="宋体"/>
          <w:szCs w:val="21"/>
        </w:rPr>
        <w:t>3、本合同条款如有未尽事宜，双方可根据具体情况结合有关规定签订补充协议；补充协议系本合同的有效组成部分，与本合同具有同等法律效力。</w:t>
      </w:r>
    </w:p>
    <w:p>
      <w:pPr>
        <w:snapToGrid w:val="0"/>
        <w:spacing w:line="440" w:lineRule="exact"/>
        <w:ind w:firstLine="420" w:firstLineChars="200"/>
        <w:rPr>
          <w:rFonts w:hint="eastAsia" w:cs="宋体"/>
          <w:spacing w:val="3"/>
          <w:szCs w:val="21"/>
        </w:rPr>
      </w:pPr>
      <w:r>
        <w:rPr>
          <w:rFonts w:hint="eastAsia" w:cs="宋体"/>
          <w:szCs w:val="21"/>
        </w:rPr>
        <w:t>4、本合同有关的一切争议，由双方协商解决；协商不成，双方均可</w:t>
      </w:r>
      <w:r>
        <w:rPr>
          <w:rFonts w:hint="eastAsia" w:cs="宋体"/>
          <w:spacing w:val="3"/>
          <w:szCs w:val="21"/>
        </w:rPr>
        <w:t>向</w:t>
      </w:r>
      <w:r>
        <w:rPr>
          <w:rFonts w:cs="宋体"/>
          <w:spacing w:val="3"/>
          <w:szCs w:val="21"/>
        </w:rPr>
        <w:t>工程所在地人民法院提起诉讼</w:t>
      </w:r>
      <w:r>
        <w:rPr>
          <w:rFonts w:hint="eastAsia" w:cs="宋体"/>
          <w:spacing w:val="3"/>
          <w:szCs w:val="21"/>
        </w:rPr>
        <w:t>。</w:t>
      </w:r>
    </w:p>
    <w:p>
      <w:pPr>
        <w:snapToGrid w:val="0"/>
        <w:spacing w:line="440" w:lineRule="exact"/>
        <w:ind w:firstLine="420" w:firstLineChars="200"/>
        <w:rPr>
          <w:rFonts w:hint="eastAsia" w:cs="宋体"/>
          <w:szCs w:val="21"/>
        </w:rPr>
      </w:pPr>
      <w:r>
        <w:rPr>
          <w:rFonts w:hint="eastAsia" w:cs="宋体"/>
          <w:szCs w:val="21"/>
        </w:rPr>
        <w:t>5、本合同自乙方提供履约担保且双方签字盖章之日起生效。</w:t>
      </w:r>
    </w:p>
    <w:p>
      <w:pPr>
        <w:snapToGrid w:val="0"/>
        <w:spacing w:line="440" w:lineRule="exact"/>
        <w:ind w:firstLine="420" w:firstLineChars="200"/>
        <w:rPr>
          <w:rFonts w:hint="eastAsia" w:cs="宋体"/>
          <w:spacing w:val="3"/>
          <w:szCs w:val="21"/>
        </w:rPr>
      </w:pPr>
      <w:r>
        <w:rPr>
          <w:rFonts w:hint="eastAsia" w:cs="宋体"/>
          <w:szCs w:val="21"/>
        </w:rPr>
        <w:t>6、本合同共</w:t>
      </w:r>
      <w:r>
        <w:rPr>
          <w:rFonts w:hint="eastAsia" w:cs="宋体"/>
          <w:szCs w:val="21"/>
          <w:u w:val="single"/>
        </w:rPr>
        <w:t>肆</w:t>
      </w:r>
      <w:r>
        <w:rPr>
          <w:rFonts w:hint="eastAsia" w:cs="宋体"/>
          <w:szCs w:val="21"/>
        </w:rPr>
        <w:t>份，甲方执</w:t>
      </w:r>
      <w:r>
        <w:rPr>
          <w:rFonts w:hint="eastAsia" w:cs="宋体"/>
          <w:szCs w:val="21"/>
          <w:u w:val="single"/>
        </w:rPr>
        <w:t>贰</w:t>
      </w:r>
      <w:r>
        <w:rPr>
          <w:rFonts w:hint="eastAsia" w:cs="宋体"/>
          <w:szCs w:val="21"/>
        </w:rPr>
        <w:t>份，乙方执</w:t>
      </w:r>
      <w:r>
        <w:rPr>
          <w:rFonts w:hint="eastAsia" w:cs="宋体"/>
          <w:szCs w:val="21"/>
          <w:u w:val="single"/>
        </w:rPr>
        <w:t>贰</w:t>
      </w:r>
      <w:r>
        <w:rPr>
          <w:rFonts w:hint="eastAsia" w:cs="宋体"/>
          <w:szCs w:val="21"/>
        </w:rPr>
        <w:t>份。</w:t>
      </w:r>
    </w:p>
    <w:p>
      <w:pPr>
        <w:snapToGrid w:val="0"/>
        <w:spacing w:line="440" w:lineRule="exact"/>
        <w:ind w:firstLine="422" w:firstLineChars="200"/>
        <w:rPr>
          <w:rFonts w:hint="eastAsia" w:cs="宋体"/>
          <w:b/>
          <w:szCs w:val="21"/>
        </w:rPr>
      </w:pPr>
      <w:r>
        <w:rPr>
          <w:rFonts w:hint="eastAsia" w:cs="宋体"/>
          <w:b/>
          <w:szCs w:val="21"/>
        </w:rPr>
        <w:t>第十四条 合同文件构成</w:t>
      </w:r>
    </w:p>
    <w:p>
      <w:pPr>
        <w:spacing w:line="440" w:lineRule="exact"/>
        <w:ind w:firstLine="420" w:firstLineChars="200"/>
        <w:rPr>
          <w:rFonts w:hint="eastAsia" w:cs="宋体"/>
          <w:szCs w:val="21"/>
        </w:rPr>
      </w:pPr>
      <w:r>
        <w:rPr>
          <w:rFonts w:hint="eastAsia" w:cs="宋体"/>
          <w:szCs w:val="21"/>
        </w:rPr>
        <w:t>下列文件一起构成合同文件：</w:t>
      </w:r>
    </w:p>
    <w:p>
      <w:pPr>
        <w:autoSpaceDE w:val="0"/>
        <w:autoSpaceDN w:val="0"/>
        <w:spacing w:line="440" w:lineRule="exact"/>
        <w:ind w:firstLine="420" w:firstLineChars="200"/>
        <w:rPr>
          <w:rFonts w:hint="eastAsia" w:cs="宋体"/>
          <w:szCs w:val="21"/>
        </w:rPr>
      </w:pPr>
      <w:r>
        <w:rPr>
          <w:rFonts w:hint="eastAsia" w:cs="宋体"/>
          <w:szCs w:val="21"/>
        </w:rPr>
        <w:t>（1）工程承包合同及其附件、补充协议；</w:t>
      </w:r>
    </w:p>
    <w:p>
      <w:pPr>
        <w:autoSpaceDE w:val="0"/>
        <w:autoSpaceDN w:val="0"/>
        <w:spacing w:line="440" w:lineRule="exact"/>
        <w:ind w:firstLine="420" w:firstLineChars="200"/>
        <w:rPr>
          <w:rFonts w:hint="eastAsia" w:cs="宋体"/>
          <w:szCs w:val="21"/>
        </w:rPr>
      </w:pPr>
      <w:r>
        <w:rPr>
          <w:rFonts w:hint="eastAsia" w:cs="宋体"/>
          <w:szCs w:val="21"/>
        </w:rPr>
        <w:t>（2）中标通知书；</w:t>
      </w:r>
    </w:p>
    <w:p>
      <w:pPr>
        <w:autoSpaceDE w:val="0"/>
        <w:autoSpaceDN w:val="0"/>
        <w:spacing w:line="440" w:lineRule="exact"/>
        <w:ind w:firstLine="420" w:firstLineChars="200"/>
        <w:rPr>
          <w:rFonts w:hint="eastAsia" w:cs="宋体"/>
          <w:szCs w:val="21"/>
        </w:rPr>
      </w:pPr>
      <w:r>
        <w:rPr>
          <w:rFonts w:hint="eastAsia" w:cs="宋体"/>
          <w:szCs w:val="21"/>
        </w:rPr>
        <w:t xml:space="preserve">（3）投标函及其附录； </w:t>
      </w:r>
    </w:p>
    <w:p>
      <w:pPr>
        <w:autoSpaceDE w:val="0"/>
        <w:autoSpaceDN w:val="0"/>
        <w:spacing w:line="440" w:lineRule="exact"/>
        <w:ind w:firstLine="420" w:firstLineChars="200"/>
        <w:rPr>
          <w:rFonts w:hint="eastAsia" w:cs="宋体"/>
          <w:szCs w:val="21"/>
        </w:rPr>
      </w:pPr>
      <w:r>
        <w:rPr>
          <w:rFonts w:hint="eastAsia" w:cs="宋体"/>
          <w:szCs w:val="21"/>
        </w:rPr>
        <w:t>（4）已标价工程量清单或预算书；</w:t>
      </w:r>
    </w:p>
    <w:p>
      <w:pPr>
        <w:autoSpaceDE w:val="0"/>
        <w:autoSpaceDN w:val="0"/>
        <w:spacing w:line="440" w:lineRule="exact"/>
        <w:ind w:firstLine="420" w:firstLineChars="200"/>
        <w:rPr>
          <w:rFonts w:hint="eastAsia" w:cs="宋体"/>
          <w:szCs w:val="21"/>
        </w:rPr>
      </w:pPr>
      <w:r>
        <w:rPr>
          <w:rFonts w:hint="eastAsia" w:cs="宋体"/>
          <w:szCs w:val="21"/>
        </w:rPr>
        <w:t>（5）技术标准和要求；</w:t>
      </w:r>
    </w:p>
    <w:p>
      <w:pPr>
        <w:autoSpaceDE w:val="0"/>
        <w:autoSpaceDN w:val="0"/>
        <w:spacing w:line="440" w:lineRule="exact"/>
        <w:ind w:firstLine="420" w:firstLineChars="200"/>
        <w:rPr>
          <w:rFonts w:hint="eastAsia" w:cs="宋体"/>
          <w:szCs w:val="21"/>
        </w:rPr>
      </w:pPr>
      <w:r>
        <w:rPr>
          <w:rFonts w:hint="eastAsia" w:cs="宋体"/>
          <w:szCs w:val="21"/>
        </w:rPr>
        <w:t>（6）其他合同文件。</w:t>
      </w:r>
    </w:p>
    <w:p>
      <w:pPr>
        <w:autoSpaceDE w:val="0"/>
        <w:autoSpaceDN w:val="0"/>
        <w:spacing w:line="440" w:lineRule="exact"/>
        <w:ind w:left="1" w:firstLine="867" w:firstLineChars="413"/>
        <w:rPr>
          <w:rFonts w:hint="eastAsia" w:cs="宋体"/>
          <w:szCs w:val="21"/>
        </w:rPr>
      </w:pPr>
      <w:r>
        <w:rPr>
          <w:rFonts w:cs="宋体"/>
          <w:szCs w:val="21"/>
        </w:rPr>
        <w:t>1）</w:t>
      </w:r>
      <w:bookmarkStart w:id="125" w:name="OLE_LINK12"/>
      <w:r>
        <w:rPr>
          <w:rFonts w:hint="eastAsia" w:cs="宋体"/>
          <w:szCs w:val="21"/>
        </w:rPr>
        <w:t>《工程质量保修书》</w:t>
      </w:r>
      <w:bookmarkEnd w:id="125"/>
    </w:p>
    <w:p>
      <w:pPr>
        <w:autoSpaceDE w:val="0"/>
        <w:autoSpaceDN w:val="0"/>
        <w:spacing w:line="440" w:lineRule="exact"/>
        <w:ind w:left="1" w:firstLine="867" w:firstLineChars="413"/>
        <w:rPr>
          <w:rFonts w:hint="eastAsia"/>
        </w:rPr>
      </w:pPr>
      <w:r>
        <w:rPr>
          <w:rFonts w:hint="eastAsia" w:cs="宋体"/>
          <w:szCs w:val="21"/>
        </w:rPr>
        <w:t>2</w:t>
      </w:r>
      <w:r>
        <w:rPr>
          <w:rFonts w:cs="宋体"/>
          <w:szCs w:val="21"/>
        </w:rPr>
        <w:t>）</w:t>
      </w:r>
      <w:r>
        <w:rPr>
          <w:rFonts w:hint="eastAsia" w:cs="宋体"/>
          <w:szCs w:val="21"/>
        </w:rPr>
        <w:t>《工程建设项目廉政责任书》</w:t>
      </w:r>
    </w:p>
    <w:p>
      <w:pPr>
        <w:spacing w:line="420" w:lineRule="exact"/>
        <w:ind w:firstLine="840" w:firstLineChars="400"/>
        <w:rPr>
          <w:rFonts w:hint="eastAsia"/>
        </w:rPr>
      </w:pPr>
      <w:r>
        <w:rPr>
          <w:rFonts w:hint="eastAsia" w:cs="宋体"/>
          <w:szCs w:val="21"/>
        </w:rPr>
        <w:t>3</w:t>
      </w:r>
      <w:r>
        <w:rPr>
          <w:rFonts w:cs="宋体"/>
          <w:szCs w:val="21"/>
        </w:rPr>
        <w:t>）</w:t>
      </w:r>
      <w:r>
        <w:rPr>
          <w:rFonts w:hint="eastAsia" w:cs="宋体"/>
          <w:szCs w:val="21"/>
        </w:rPr>
        <w:t>《安全管理协议书》</w:t>
      </w:r>
    </w:p>
    <w:p>
      <w:pPr>
        <w:spacing w:line="420" w:lineRule="exact"/>
        <w:ind w:firstLine="840" w:firstLineChars="400"/>
        <w:rPr>
          <w:rFonts w:hint="eastAsia"/>
        </w:rPr>
      </w:pPr>
      <w:r>
        <w:rPr>
          <w:rFonts w:hint="eastAsia" w:cs="宋体"/>
          <w:szCs w:val="21"/>
        </w:rPr>
        <w:t>4</w:t>
      </w:r>
      <w:r>
        <w:rPr>
          <w:rFonts w:cs="宋体"/>
          <w:szCs w:val="21"/>
        </w:rPr>
        <w:t>）</w:t>
      </w:r>
      <w:r>
        <w:rPr>
          <w:rFonts w:hint="eastAsia" w:cs="宋体"/>
          <w:szCs w:val="21"/>
        </w:rPr>
        <w:t>《环保卫生管理协议书》</w:t>
      </w:r>
    </w:p>
    <w:p>
      <w:pPr>
        <w:spacing w:line="420" w:lineRule="exact"/>
        <w:ind w:firstLine="840" w:firstLineChars="400"/>
        <w:rPr>
          <w:rFonts w:hint="eastAsia"/>
          <w:b/>
        </w:rPr>
      </w:pPr>
      <w:r>
        <w:rPr>
          <w:rFonts w:hint="eastAsia" w:cs="宋体"/>
          <w:szCs w:val="21"/>
        </w:rPr>
        <w:t>5</w:t>
      </w:r>
      <w:r>
        <w:rPr>
          <w:rFonts w:cs="宋体"/>
          <w:szCs w:val="21"/>
        </w:rPr>
        <w:t>）</w:t>
      </w:r>
      <w:r>
        <w:rPr>
          <w:rFonts w:hint="eastAsia" w:cs="宋体"/>
          <w:szCs w:val="21"/>
        </w:rPr>
        <w:t>《消防安全管理协议书》</w:t>
      </w:r>
    </w:p>
    <w:p>
      <w:pPr>
        <w:autoSpaceDE w:val="0"/>
        <w:autoSpaceDN w:val="0"/>
        <w:spacing w:line="440" w:lineRule="exact"/>
        <w:ind w:left="1" w:firstLine="867" w:firstLineChars="413"/>
        <w:rPr>
          <w:rFonts w:hint="eastAsia" w:cs="宋体"/>
          <w:szCs w:val="21"/>
        </w:rPr>
      </w:pPr>
      <w:r>
        <w:rPr>
          <w:rFonts w:hint="eastAsia" w:cs="宋体"/>
          <w:szCs w:val="21"/>
        </w:rPr>
        <w:t>6）《不拖欠民工工资承诺书》</w:t>
      </w:r>
    </w:p>
    <w:p>
      <w:pPr>
        <w:autoSpaceDE w:val="0"/>
        <w:autoSpaceDN w:val="0"/>
        <w:spacing w:line="440" w:lineRule="exact"/>
        <w:ind w:left="1" w:firstLine="867" w:firstLineChars="413"/>
        <w:rPr>
          <w:rFonts w:hint="eastAsia" w:cs="宋体"/>
          <w:szCs w:val="21"/>
        </w:rPr>
      </w:pPr>
      <w:r>
        <w:rPr>
          <w:rFonts w:hint="eastAsia" w:cs="宋体"/>
          <w:szCs w:val="21"/>
        </w:rPr>
        <w:t>7）《合作伙伴合规承诺书》</w:t>
      </w:r>
    </w:p>
    <w:p>
      <w:pPr>
        <w:autoSpaceDE w:val="0"/>
        <w:autoSpaceDN w:val="0"/>
        <w:spacing w:line="440" w:lineRule="exact"/>
        <w:ind w:firstLine="420" w:firstLineChars="200"/>
        <w:rPr>
          <w:rFonts w:hint="eastAsia" w:cs="宋体"/>
          <w:szCs w:val="21"/>
        </w:rPr>
      </w:pPr>
      <w:r>
        <w:rPr>
          <w:rFonts w:hint="eastAsia" w:cs="宋体"/>
          <w:szCs w:val="21"/>
        </w:rPr>
        <w:t>上述文件如有约定不一致之处，以排列在前的文件为准。</w:t>
      </w:r>
    </w:p>
    <w:p>
      <w:pPr>
        <w:autoSpaceDE w:val="0"/>
        <w:autoSpaceDN w:val="0"/>
        <w:spacing w:line="440" w:lineRule="exact"/>
        <w:ind w:firstLine="420" w:firstLineChars="200"/>
        <w:rPr>
          <w:rFonts w:hint="eastAsia"/>
          <w:szCs w:val="21"/>
        </w:rPr>
      </w:pPr>
      <w:r>
        <w:rPr>
          <w:rFonts w:hint="eastAsia" w:cs="宋体"/>
          <w:szCs w:val="21"/>
        </w:rPr>
        <w:t>甲方</w:t>
      </w:r>
      <w:r>
        <w:rPr>
          <w:rFonts w:hint="eastAsia"/>
          <w:szCs w:val="21"/>
        </w:rPr>
        <w:t>（盖章）：                                乙方（盖章）：</w:t>
      </w:r>
    </w:p>
    <w:p>
      <w:pPr>
        <w:snapToGrid w:val="0"/>
        <w:spacing w:line="440" w:lineRule="exact"/>
        <w:ind w:firstLine="420" w:firstLineChars="200"/>
        <w:rPr>
          <w:rFonts w:hint="eastAsia"/>
          <w:szCs w:val="21"/>
        </w:rPr>
      </w:pPr>
      <w:r>
        <w:rPr>
          <w:rFonts w:hint="eastAsia"/>
          <w:szCs w:val="21"/>
        </w:rPr>
        <w:t>代表：                                        代表：</w:t>
      </w:r>
    </w:p>
    <w:p>
      <w:pPr>
        <w:snapToGrid w:val="0"/>
        <w:spacing w:line="440" w:lineRule="exact"/>
        <w:rPr>
          <w:rFonts w:hint="eastAsia"/>
          <w:szCs w:val="21"/>
        </w:rPr>
      </w:pPr>
      <w:r>
        <w:rPr>
          <w:rFonts w:hint="eastAsia"/>
          <w:szCs w:val="21"/>
        </w:rPr>
        <w:t xml:space="preserve">    日期：   年    月    日                       日期：    年    月    日</w:t>
      </w:r>
    </w:p>
    <w:p>
      <w:pPr>
        <w:pStyle w:val="14"/>
        <w:widowControl/>
        <w:snapToGrid w:val="0"/>
        <w:spacing w:before="120" w:beforeLines="50" w:after="120" w:afterLines="50" w:line="440" w:lineRule="atLeast"/>
        <w:jc w:val="left"/>
        <w:outlineLvl w:val="0"/>
      </w:pPr>
      <w:r>
        <w:br w:type="page"/>
      </w:r>
    </w:p>
    <w:bookmarkEnd w:id="99"/>
    <w:bookmarkEnd w:id="100"/>
    <w:bookmarkEnd w:id="101"/>
    <w:bookmarkEnd w:id="102"/>
    <w:bookmarkEnd w:id="103"/>
    <w:bookmarkEnd w:id="104"/>
    <w:bookmarkEnd w:id="106"/>
    <w:bookmarkEnd w:id="107"/>
    <w:bookmarkEnd w:id="108"/>
    <w:bookmarkEnd w:id="109"/>
    <w:bookmarkEnd w:id="110"/>
    <w:bookmarkEnd w:id="111"/>
    <w:bookmarkEnd w:id="112"/>
    <w:bookmarkEnd w:id="113"/>
    <w:bookmarkEnd w:id="114"/>
    <w:bookmarkEnd w:id="115"/>
    <w:bookmarkEnd w:id="116"/>
    <w:bookmarkEnd w:id="117"/>
    <w:bookmarkEnd w:id="118"/>
    <w:p>
      <w:pPr>
        <w:pStyle w:val="14"/>
        <w:widowControl/>
        <w:snapToGrid w:val="0"/>
        <w:spacing w:before="120" w:beforeLines="50" w:after="120" w:afterLines="50" w:line="360" w:lineRule="auto"/>
        <w:ind w:firstLine="281"/>
        <w:jc w:val="left"/>
        <w:outlineLvl w:val="0"/>
        <w:rPr>
          <w:rFonts w:hint="eastAsia" w:hAnsi="宋体" w:cs="宋体"/>
          <w:b/>
        </w:rPr>
      </w:pPr>
      <w:bookmarkStart w:id="126" w:name="_Toc152045772"/>
      <w:bookmarkStart w:id="127" w:name="_Toc144974834"/>
      <w:bookmarkStart w:id="128" w:name="_Toc18674"/>
      <w:bookmarkStart w:id="129" w:name="_Toc179632789"/>
      <w:bookmarkStart w:id="130" w:name="_Toc152042554"/>
      <w:r>
        <w:rPr>
          <w:rFonts w:hint="eastAsia" w:hAnsi="宋体" w:cs="宋体"/>
          <w:b/>
          <w:kern w:val="0"/>
        </w:rPr>
        <w:t xml:space="preserve">附件1：  </w:t>
      </w:r>
      <w:r>
        <w:rPr>
          <w:rFonts w:hAnsi="宋体" w:cs="宋体"/>
          <w:b/>
        </w:rPr>
        <w:t xml:space="preserve">  </w:t>
      </w:r>
    </w:p>
    <w:p>
      <w:pPr>
        <w:spacing w:before="120" w:beforeLines="50" w:after="120" w:afterLines="50" w:line="360" w:lineRule="auto"/>
        <w:jc w:val="center"/>
        <w:rPr>
          <w:rFonts w:hint="eastAsia" w:cs="宋体"/>
          <w:b/>
          <w:szCs w:val="21"/>
        </w:rPr>
      </w:pPr>
      <w:r>
        <w:rPr>
          <w:rFonts w:hint="eastAsia" w:cs="宋体"/>
          <w:b/>
          <w:szCs w:val="21"/>
        </w:rPr>
        <w:t>工程质量保修书</w:t>
      </w:r>
    </w:p>
    <w:p>
      <w:pPr>
        <w:spacing w:line="360" w:lineRule="auto"/>
        <w:ind w:firstLine="420" w:firstLineChars="200"/>
        <w:rPr>
          <w:rFonts w:hint="eastAsia" w:cs="宋体"/>
          <w:szCs w:val="21"/>
        </w:rPr>
      </w:pPr>
      <w:r>
        <w:rPr>
          <w:rFonts w:hint="eastAsia" w:cs="宋体"/>
          <w:szCs w:val="21"/>
        </w:rPr>
        <w:t>甲方（全称）：</w:t>
      </w:r>
      <w:r>
        <w:rPr>
          <w:rFonts w:hint="eastAsia" w:cs="宋体"/>
          <w:szCs w:val="21"/>
          <w:u w:val="single"/>
        </w:rPr>
        <w:t xml:space="preserve">                     </w:t>
      </w:r>
    </w:p>
    <w:p>
      <w:pPr>
        <w:spacing w:line="360" w:lineRule="auto"/>
        <w:ind w:firstLine="420" w:firstLineChars="200"/>
        <w:rPr>
          <w:rFonts w:hint="eastAsia" w:cs="宋体"/>
          <w:szCs w:val="21"/>
        </w:rPr>
      </w:pPr>
      <w:r>
        <w:rPr>
          <w:rFonts w:hint="eastAsia" w:cs="宋体"/>
          <w:szCs w:val="21"/>
        </w:rPr>
        <w:t>乙方（全称）：</w:t>
      </w:r>
      <w:r>
        <w:rPr>
          <w:rFonts w:hint="eastAsia" w:cs="宋体"/>
          <w:szCs w:val="21"/>
          <w:u w:val="single"/>
        </w:rPr>
        <w:t xml:space="preserve">  </w:t>
      </w:r>
      <w:r>
        <w:rPr>
          <w:rFonts w:hint="eastAsia"/>
          <w:szCs w:val="21"/>
          <w:u w:val="single"/>
        </w:rPr>
        <w:t xml:space="preserve">                   </w:t>
      </w:r>
    </w:p>
    <w:p>
      <w:pPr>
        <w:spacing w:line="360" w:lineRule="auto"/>
        <w:ind w:firstLine="420" w:firstLineChars="200"/>
        <w:rPr>
          <w:rFonts w:hint="eastAsia" w:cs="宋体"/>
          <w:szCs w:val="21"/>
        </w:rPr>
      </w:pPr>
      <w:r>
        <w:rPr>
          <w:rFonts w:hint="eastAsia" w:cs="宋体"/>
          <w:szCs w:val="21"/>
        </w:rPr>
        <w:t>甲方和乙方根据《中华人民共和国建筑法》和《建设工程质量管理条例》，经协商一致就</w:t>
      </w:r>
      <w:r>
        <w:rPr>
          <w:rFonts w:hint="eastAsia" w:cs="宋体"/>
          <w:szCs w:val="21"/>
          <w:u w:val="single"/>
        </w:rPr>
        <w:t>物管公司海港大厦1号楼人员进出智能化改造项目</w:t>
      </w:r>
      <w:r>
        <w:rPr>
          <w:rFonts w:hint="eastAsia" w:cs="宋体"/>
          <w:szCs w:val="21"/>
        </w:rPr>
        <w:t>工程签订工程质量保修书。</w:t>
      </w:r>
      <w:r>
        <w:rPr>
          <w:rFonts w:hint="eastAsia" w:cs="宋体"/>
          <w:szCs w:val="21"/>
        </w:rPr>
        <w:tab/>
      </w:r>
    </w:p>
    <w:p>
      <w:pPr>
        <w:spacing w:line="360" w:lineRule="auto"/>
        <w:ind w:firstLine="420" w:firstLineChars="200"/>
        <w:rPr>
          <w:rFonts w:hint="eastAsia" w:cs="仿宋"/>
        </w:rPr>
      </w:pPr>
      <w:r>
        <w:rPr>
          <w:rFonts w:hint="eastAsia" w:cs="仿宋"/>
        </w:rPr>
        <w:t>一、工程质量保修范围和内容</w:t>
      </w:r>
    </w:p>
    <w:p>
      <w:pPr>
        <w:spacing w:line="360" w:lineRule="auto"/>
        <w:ind w:firstLine="420" w:firstLineChars="200"/>
        <w:rPr>
          <w:rFonts w:hint="eastAsia" w:cs="仿宋"/>
        </w:rPr>
      </w:pPr>
      <w:r>
        <w:rPr>
          <w:rFonts w:hint="eastAsia" w:cs="仿宋"/>
        </w:rPr>
        <w:t>乙方在质量保修期内，按照有关法律规定和合同约定，承担工程质量保修责任。</w:t>
      </w:r>
    </w:p>
    <w:p>
      <w:pPr>
        <w:spacing w:line="360" w:lineRule="auto"/>
        <w:ind w:firstLine="420" w:firstLineChars="200"/>
        <w:rPr>
          <w:rFonts w:hint="eastAsia" w:cs="仿宋"/>
        </w:rPr>
      </w:pPr>
      <w:r>
        <w:rPr>
          <w:rFonts w:hint="eastAsia" w:cs="仿宋"/>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仿宋"/>
          <w:u w:val="single"/>
        </w:rPr>
        <w:t>本工程施工合同范围内的所有投标人施工的工程内容</w:t>
      </w:r>
      <w:r>
        <w:rPr>
          <w:rFonts w:hint="eastAsia" w:cs="仿宋"/>
        </w:rPr>
        <w:t>。</w:t>
      </w:r>
    </w:p>
    <w:p>
      <w:pPr>
        <w:spacing w:line="360" w:lineRule="auto"/>
        <w:ind w:firstLine="420" w:firstLineChars="200"/>
        <w:rPr>
          <w:rFonts w:hint="eastAsia" w:cs="仿宋"/>
          <w:szCs w:val="21"/>
        </w:rPr>
      </w:pPr>
      <w:r>
        <w:rPr>
          <w:rFonts w:hint="eastAsia" w:cs="仿宋"/>
        </w:rPr>
        <w:t>二、质量保修期</w:t>
      </w:r>
    </w:p>
    <w:p>
      <w:pPr>
        <w:spacing w:line="360" w:lineRule="auto"/>
        <w:ind w:firstLine="420" w:firstLineChars="200"/>
        <w:rPr>
          <w:rFonts w:hint="eastAsia" w:cs="仿宋"/>
        </w:rPr>
      </w:pPr>
      <w:r>
        <w:rPr>
          <w:rFonts w:hint="eastAsia" w:cs="仿宋"/>
        </w:rPr>
        <w:t>根据《建设工程质量管理条例》及有关规定，工程的质量保修期如下：</w:t>
      </w:r>
    </w:p>
    <w:p>
      <w:pPr>
        <w:numPr>
          <w:ilvl w:val="0"/>
          <w:numId w:val="5"/>
        </w:numPr>
        <w:spacing w:line="360" w:lineRule="auto"/>
        <w:ind w:firstLine="420" w:firstLineChars="200"/>
        <w:rPr>
          <w:rFonts w:hint="eastAsia" w:cs="仿宋"/>
        </w:rPr>
      </w:pPr>
      <w:r>
        <w:rPr>
          <w:rFonts w:hint="eastAsia" w:cs="仿宋"/>
        </w:rPr>
        <w:t>地基基础工程和主体结构工程为设计文件规定的工程合理使用年限；</w:t>
      </w:r>
    </w:p>
    <w:p>
      <w:pPr>
        <w:numPr>
          <w:ilvl w:val="0"/>
          <w:numId w:val="5"/>
        </w:numPr>
        <w:spacing w:line="360" w:lineRule="auto"/>
        <w:ind w:firstLine="420" w:firstLineChars="200"/>
        <w:rPr>
          <w:rFonts w:hint="eastAsia" w:cs="仿宋"/>
        </w:rPr>
      </w:pPr>
      <w:r>
        <w:rPr>
          <w:rFonts w:hint="eastAsia" w:cs="仿宋"/>
        </w:rPr>
        <w:t>屋面防水工程、有防水要求的卫生间、房间和外墙面的防渗为</w:t>
      </w:r>
      <w:r>
        <w:rPr>
          <w:rFonts w:hint="eastAsia" w:cs="仿宋"/>
          <w:u w:val="single"/>
        </w:rPr>
        <w:t>/</w:t>
      </w:r>
      <w:r>
        <w:rPr>
          <w:rFonts w:hint="eastAsia" w:cs="仿宋"/>
        </w:rPr>
        <w:t>年；</w:t>
      </w:r>
    </w:p>
    <w:p>
      <w:pPr>
        <w:numPr>
          <w:ilvl w:val="0"/>
          <w:numId w:val="5"/>
        </w:numPr>
        <w:spacing w:line="360" w:lineRule="auto"/>
        <w:ind w:firstLine="420" w:firstLineChars="200"/>
        <w:rPr>
          <w:rFonts w:hint="eastAsia" w:cs="仿宋"/>
        </w:rPr>
      </w:pPr>
      <w:r>
        <w:rPr>
          <w:rFonts w:hint="eastAsia" w:cs="仿宋"/>
        </w:rPr>
        <w:t>装修工程为</w:t>
      </w:r>
      <w:r>
        <w:rPr>
          <w:rFonts w:hint="eastAsia" w:cs="仿宋"/>
        </w:rPr>
        <w:fldChar w:fldCharType="begin"/>
      </w:r>
      <w:r>
        <w:rPr>
          <w:rFonts w:hint="eastAsia" w:cs="仿宋"/>
        </w:rPr>
        <w:instrText xml:space="preserve"> INCLUDEPICTURE "http://ba.wzzj.net.cn/images/help.gif" \* MERGEFORMATINET </w:instrText>
      </w:r>
      <w:r>
        <w:rPr>
          <w:rFonts w:hint="eastAsia" w:cs="仿宋"/>
        </w:rPr>
        <w:fldChar w:fldCharType="separate"/>
      </w:r>
      <w:r>
        <w:rPr>
          <w:rFonts w:hint="eastAsia" w:cs="仿宋"/>
        </w:rPr>
        <w:fldChar w:fldCharType="end"/>
      </w:r>
      <w:r>
        <w:rPr>
          <w:rFonts w:hint="eastAsia" w:cs="仿宋"/>
        </w:rPr>
        <w:t>/年；</w:t>
      </w:r>
    </w:p>
    <w:p>
      <w:pPr>
        <w:numPr>
          <w:ilvl w:val="0"/>
          <w:numId w:val="5"/>
        </w:numPr>
        <w:spacing w:line="360" w:lineRule="auto"/>
        <w:ind w:firstLine="420" w:firstLineChars="200"/>
        <w:rPr>
          <w:rFonts w:hint="eastAsia" w:cs="仿宋"/>
        </w:rPr>
      </w:pPr>
      <w:r>
        <w:rPr>
          <w:rFonts w:hint="eastAsia" w:cs="仿宋"/>
        </w:rPr>
        <w:t>电气管线、给排水管道、设备安装工程为</w:t>
      </w:r>
      <w:r>
        <w:rPr>
          <w:rFonts w:hint="eastAsia" w:cs="仿宋"/>
        </w:rPr>
        <w:fldChar w:fldCharType="begin"/>
      </w:r>
      <w:r>
        <w:rPr>
          <w:rFonts w:hint="eastAsia" w:cs="仿宋"/>
        </w:rPr>
        <w:instrText xml:space="preserve"> INCLUDEPICTURE "http://ba.wzzj.net.cn/images/help.gif" \* MERGEFORMATINET </w:instrText>
      </w:r>
      <w:r>
        <w:rPr>
          <w:rFonts w:hint="eastAsia" w:cs="仿宋"/>
        </w:rPr>
        <w:fldChar w:fldCharType="separate"/>
      </w:r>
      <w:r>
        <w:rPr>
          <w:rFonts w:hint="eastAsia" w:cs="仿宋"/>
        </w:rPr>
        <w:fldChar w:fldCharType="end"/>
      </w:r>
      <w:r>
        <w:rPr>
          <w:rFonts w:hint="eastAsia" w:cs="仿宋"/>
        </w:rPr>
        <w:t>2年；</w:t>
      </w:r>
    </w:p>
    <w:p>
      <w:pPr>
        <w:numPr>
          <w:ilvl w:val="0"/>
          <w:numId w:val="5"/>
        </w:numPr>
        <w:spacing w:line="360" w:lineRule="auto"/>
        <w:ind w:firstLine="420" w:firstLineChars="200"/>
        <w:rPr>
          <w:rFonts w:hint="eastAsia" w:cs="仿宋"/>
        </w:rPr>
      </w:pPr>
      <w:r>
        <w:rPr>
          <w:rFonts w:hint="eastAsia" w:cs="仿宋"/>
        </w:rPr>
        <w:t>供热与供冷系统为</w:t>
      </w:r>
      <w:r>
        <w:rPr>
          <w:rFonts w:hint="eastAsia" w:cs="仿宋"/>
          <w:u w:val="single"/>
        </w:rPr>
        <w:t>/</w:t>
      </w:r>
      <w:r>
        <w:rPr>
          <w:rFonts w:hint="eastAsia" w:cs="仿宋"/>
        </w:rPr>
        <w:t>个采暖期、供冷期；</w:t>
      </w:r>
    </w:p>
    <w:p>
      <w:pPr>
        <w:numPr>
          <w:ilvl w:val="0"/>
          <w:numId w:val="5"/>
        </w:numPr>
        <w:spacing w:line="360" w:lineRule="auto"/>
        <w:ind w:firstLine="420" w:firstLineChars="200"/>
        <w:rPr>
          <w:rFonts w:hint="eastAsia" w:cs="仿宋"/>
        </w:rPr>
      </w:pPr>
      <w:r>
        <w:rPr>
          <w:rFonts w:hint="eastAsia" w:cs="仿宋"/>
        </w:rPr>
        <w:t>住宅小区内的给排水设施、道路等配套工程为</w:t>
      </w:r>
      <w:r>
        <w:rPr>
          <w:rFonts w:hint="eastAsia" w:cs="仿宋"/>
          <w:u w:val="single"/>
        </w:rPr>
        <w:t xml:space="preserve">/ </w:t>
      </w:r>
      <w:r>
        <w:rPr>
          <w:rFonts w:hint="eastAsia" w:cs="仿宋"/>
        </w:rPr>
        <w:t>年；</w:t>
      </w:r>
    </w:p>
    <w:p>
      <w:pPr>
        <w:numPr>
          <w:ilvl w:val="0"/>
          <w:numId w:val="5"/>
        </w:numPr>
        <w:spacing w:line="360" w:lineRule="auto"/>
        <w:ind w:firstLine="420" w:firstLineChars="200"/>
        <w:rPr>
          <w:rFonts w:hint="eastAsia" w:cs="仿宋"/>
        </w:rPr>
      </w:pPr>
      <w:r>
        <w:rPr>
          <w:rFonts w:hint="eastAsia" w:cs="仿宋"/>
        </w:rPr>
        <w:t>其他项目保修期限约定如下：本工程保修期为2年。</w:t>
      </w:r>
      <w:r>
        <w:rPr>
          <w:rFonts w:hint="eastAsia" w:cs="仿宋"/>
        </w:rPr>
        <w:fldChar w:fldCharType="begin"/>
      </w:r>
      <w:r>
        <w:rPr>
          <w:rFonts w:hint="eastAsia" w:cs="仿宋"/>
        </w:rPr>
        <w:instrText xml:space="preserve"> INCLUDEPICTURE "http://ba.wzzj.net.cn/images/help.gif" \* MERGEFORMATINET </w:instrText>
      </w:r>
      <w:r>
        <w:rPr>
          <w:rFonts w:hint="eastAsia" w:cs="仿宋"/>
        </w:rPr>
        <w:fldChar w:fldCharType="separate"/>
      </w:r>
      <w:r>
        <w:rPr>
          <w:rFonts w:hint="eastAsia" w:cs="仿宋"/>
        </w:rPr>
        <w:fldChar w:fldCharType="end"/>
      </w:r>
      <w:r>
        <w:rPr>
          <w:rFonts w:hint="eastAsia" w:cs="仿宋"/>
        </w:rPr>
        <w:t>延保期从保修完成之日（甲方要求更换之日）开始计算，未列明的其他内容的保修期国家省市有规定的从其规定，没有规定的则保修期为2年。</w:t>
      </w:r>
      <w:r>
        <w:rPr>
          <w:rFonts w:cs="Calibri"/>
        </w:rPr>
        <w:t> </w:t>
      </w:r>
    </w:p>
    <w:p>
      <w:pPr>
        <w:spacing w:line="360" w:lineRule="auto"/>
        <w:ind w:firstLine="420" w:firstLineChars="200"/>
        <w:rPr>
          <w:rFonts w:hint="eastAsia" w:cs="仿宋"/>
        </w:rPr>
      </w:pPr>
      <w:r>
        <w:rPr>
          <w:rFonts w:hint="eastAsia" w:cs="仿宋"/>
        </w:rPr>
        <w:t>质量保修期自工程验收合格之日起计算。</w:t>
      </w:r>
    </w:p>
    <w:p>
      <w:pPr>
        <w:ind w:firstLine="420" w:firstLineChars="200"/>
        <w:rPr>
          <w:rFonts w:hint="eastAsia" w:cs="仿宋"/>
          <w:szCs w:val="21"/>
        </w:rPr>
      </w:pPr>
      <w:r>
        <w:rPr>
          <w:rFonts w:hint="eastAsia" w:cs="仿宋"/>
          <w:szCs w:val="21"/>
        </w:rPr>
        <w:t>三、质量保修责任</w:t>
      </w:r>
    </w:p>
    <w:p>
      <w:pPr>
        <w:ind w:firstLine="430" w:firstLineChars="205"/>
        <w:rPr>
          <w:rFonts w:hint="eastAsia" w:cs="仿宋"/>
          <w:szCs w:val="21"/>
        </w:rPr>
      </w:pPr>
      <w:r>
        <w:rPr>
          <w:rFonts w:hint="eastAsia" w:cs="仿宋"/>
          <w:szCs w:val="21"/>
        </w:rPr>
        <w:t>1．属于保修范围、内容的项目，乙方应当在接到招标人通知应在不超过3小时内做出响应，不超过10小时内到达现场并开始维修服务，并提供较为完善的售后服务方案。乙方不在约定期限内派人保修的，甲方可以委托他人修理，费用由乙方承担。</w:t>
      </w:r>
    </w:p>
    <w:p>
      <w:pPr>
        <w:ind w:firstLine="430" w:firstLineChars="205"/>
        <w:rPr>
          <w:rFonts w:hint="eastAsia" w:cs="仿宋"/>
          <w:szCs w:val="21"/>
        </w:rPr>
      </w:pPr>
      <w:r>
        <w:rPr>
          <w:rFonts w:hint="eastAsia" w:cs="仿宋"/>
          <w:szCs w:val="21"/>
        </w:rPr>
        <w:t>2．发生紧急事故需抢修的，乙方在接到事故通知后，应当立即到达事故现场抢修。</w:t>
      </w:r>
    </w:p>
    <w:p>
      <w:pPr>
        <w:ind w:firstLine="430" w:firstLineChars="205"/>
        <w:rPr>
          <w:rFonts w:hint="eastAsia" w:cs="仿宋"/>
          <w:szCs w:val="21"/>
        </w:rPr>
      </w:pPr>
      <w:r>
        <w:rPr>
          <w:rFonts w:hint="eastAsia" w:cs="仿宋"/>
          <w:szCs w:val="21"/>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ind w:firstLine="430" w:firstLineChars="205"/>
        <w:rPr>
          <w:rFonts w:hint="eastAsia" w:cs="仿宋"/>
          <w:szCs w:val="21"/>
        </w:rPr>
      </w:pPr>
      <w:r>
        <w:rPr>
          <w:rFonts w:hint="eastAsia" w:cs="仿宋"/>
          <w:szCs w:val="21"/>
        </w:rPr>
        <w:t>四、双方约定的其他工程质量保修事项：</w:t>
      </w:r>
      <w:r>
        <w:rPr>
          <w:rFonts w:hint="eastAsia" w:cs="仿宋"/>
          <w:u w:val="single"/>
        </w:rPr>
        <w:t>工程</w:t>
      </w:r>
      <w:r>
        <w:rPr>
          <w:rFonts w:hint="eastAsia"/>
        </w:rPr>
        <w:t>验</w:t>
      </w:r>
      <w:r>
        <w:rPr>
          <w:rFonts w:hint="eastAsia" w:cs="仿宋"/>
          <w:u w:val="single"/>
        </w:rPr>
        <w:t>收合格后，乙方</w:t>
      </w:r>
      <w:r>
        <w:rPr>
          <w:rFonts w:hint="eastAsia" w:cs="宋体"/>
          <w:b/>
        </w:rPr>
        <w:t>余款的1.5%</w:t>
      </w:r>
      <w:r>
        <w:rPr>
          <w:rFonts w:hint="eastAsia" w:cs="仿宋"/>
          <w:szCs w:val="21"/>
          <w:u w:val="single"/>
        </w:rPr>
        <w:t>作为</w:t>
      </w:r>
      <w:r>
        <w:rPr>
          <w:rFonts w:hint="eastAsia" w:cs="宋体"/>
          <w:b/>
        </w:rPr>
        <w:t>工程质量保修金</w:t>
      </w:r>
      <w:r>
        <w:rPr>
          <w:rFonts w:hint="eastAsia" w:cs="仿宋"/>
          <w:szCs w:val="21"/>
          <w:u w:val="single"/>
        </w:rPr>
        <w:t>，待质保期满后无质量问题，一次性退还）。</w:t>
      </w:r>
    </w:p>
    <w:p>
      <w:pPr>
        <w:ind w:firstLine="430" w:firstLineChars="205"/>
        <w:rPr>
          <w:rFonts w:hint="eastAsia" w:cs="仿宋"/>
          <w:szCs w:val="21"/>
        </w:rPr>
      </w:pPr>
    </w:p>
    <w:p>
      <w:pPr>
        <w:ind w:firstLine="399" w:firstLineChars="190"/>
        <w:rPr>
          <w:rFonts w:hint="eastAsia" w:ascii="仿宋" w:hAnsi="仿宋" w:eastAsia="仿宋" w:cs="仿宋"/>
          <w:szCs w:val="21"/>
        </w:rPr>
      </w:pPr>
      <w:r>
        <w:rPr>
          <w:rFonts w:hint="eastAsia" w:cs="仿宋"/>
          <w:szCs w:val="21"/>
        </w:rPr>
        <w:t>工程质量保修书由甲方、乙方在工程验收前共同签署，作为施工合同附件，其有效期限至保修期满</w:t>
      </w:r>
      <w:r>
        <w:rPr>
          <w:rFonts w:hint="eastAsia" w:ascii="仿宋" w:hAnsi="仿宋" w:eastAsia="仿宋" w:cs="仿宋"/>
          <w:szCs w:val="21"/>
        </w:rPr>
        <w:t>。</w:t>
      </w:r>
    </w:p>
    <w:tbl>
      <w:tblPr>
        <w:tblStyle w:val="25"/>
        <w:tblpPr w:leftFromText="180" w:rightFromText="180" w:vertAnchor="text" w:horzAnchor="margin" w:tblpY="386"/>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tcPr>
          <w:p>
            <w:pPr>
              <w:spacing w:line="360" w:lineRule="auto"/>
              <w:rPr>
                <w:rFonts w:hint="eastAsia"/>
                <w:szCs w:val="21"/>
              </w:rPr>
            </w:pPr>
            <w:r>
              <w:rPr>
                <w:rFonts w:hint="eastAsia" w:cs="宋体"/>
                <w:kern w:val="0"/>
                <w:szCs w:val="21"/>
              </w:rPr>
              <w:t>甲方</w:t>
            </w:r>
            <w:r>
              <w:rPr>
                <w:rFonts w:hint="eastAsia"/>
                <w:szCs w:val="21"/>
              </w:rPr>
              <w:t>(公章)：</w:t>
            </w:r>
            <w:r>
              <w:rPr>
                <w:rFonts w:hint="eastAsia"/>
                <w:szCs w:val="21"/>
                <w:u w:val="single"/>
              </w:rPr>
              <w:t xml:space="preserve">        </w:t>
            </w:r>
            <w:r>
              <w:rPr>
                <w:rFonts w:hint="eastAsia"/>
                <w:szCs w:val="21"/>
              </w:rPr>
              <w:t xml:space="preserve">  </w:t>
            </w:r>
          </w:p>
        </w:tc>
        <w:tc>
          <w:tcPr>
            <w:tcW w:w="4148" w:type="dxa"/>
          </w:tcPr>
          <w:p>
            <w:pPr>
              <w:spacing w:line="360" w:lineRule="auto"/>
              <w:ind w:firstLine="210" w:firstLineChars="100"/>
              <w:rPr>
                <w:rFonts w:hint="eastAsia"/>
                <w:szCs w:val="21"/>
              </w:rPr>
            </w:pPr>
            <w:r>
              <w:rPr>
                <w:rFonts w:hint="eastAsia"/>
                <w:szCs w:val="21"/>
              </w:rPr>
              <w:t>乙方(公章)：</w:t>
            </w:r>
            <w:r>
              <w:rPr>
                <w:rFonts w:hint="eastAsia"/>
                <w:szCs w:val="21"/>
                <w:u w:val="single"/>
              </w:rPr>
              <w:t xml:space="preserve">                </w:t>
            </w:r>
          </w:p>
        </w:tc>
      </w:tr>
      <w:tr>
        <w:tblPrEx>
          <w:tblCellMar>
            <w:top w:w="0" w:type="dxa"/>
            <w:left w:w="108" w:type="dxa"/>
            <w:bottom w:w="0" w:type="dxa"/>
            <w:right w:w="108" w:type="dxa"/>
          </w:tblCellMar>
        </w:tblPrEx>
        <w:tc>
          <w:tcPr>
            <w:tcW w:w="4148" w:type="dxa"/>
          </w:tcPr>
          <w:p>
            <w:pPr>
              <w:spacing w:line="360" w:lineRule="auto"/>
              <w:rPr>
                <w:rFonts w:hint="eastAsia"/>
                <w:szCs w:val="21"/>
              </w:rPr>
            </w:pPr>
            <w:r>
              <w:rPr>
                <w:rFonts w:hint="eastAsia"/>
                <w:szCs w:val="21"/>
              </w:rPr>
              <w:t>地  址：</w:t>
            </w:r>
            <w:r>
              <w:rPr>
                <w:rFonts w:hint="eastAsia"/>
                <w:szCs w:val="21"/>
                <w:u w:val="single"/>
              </w:rPr>
              <w:t xml:space="preserve">                    </w:t>
            </w:r>
          </w:p>
        </w:tc>
        <w:tc>
          <w:tcPr>
            <w:tcW w:w="4148" w:type="dxa"/>
          </w:tcPr>
          <w:p>
            <w:pPr>
              <w:spacing w:line="360" w:lineRule="auto"/>
              <w:ind w:firstLine="210" w:firstLineChars="100"/>
              <w:rPr>
                <w:rFonts w:hint="eastAsia"/>
                <w:szCs w:val="21"/>
                <w:u w:val="single"/>
              </w:rPr>
            </w:pPr>
            <w:r>
              <w:rPr>
                <w:rFonts w:hint="eastAsia"/>
                <w:szCs w:val="21"/>
              </w:rPr>
              <w:t xml:space="preserve">地  址： </w:t>
            </w:r>
            <w:r>
              <w:rPr>
                <w:rFonts w:hint="eastAsia"/>
                <w:szCs w:val="21"/>
                <w:u w:val="single"/>
              </w:rPr>
              <w:t xml:space="preserve">                      </w:t>
            </w:r>
          </w:p>
          <w:p>
            <w:pPr>
              <w:pStyle w:val="11"/>
              <w:spacing w:line="360" w:lineRule="auto"/>
              <w:ind w:firstLine="210"/>
              <w:rPr>
                <w:rFonts w:hint="eastAsia"/>
                <w:szCs w:val="21"/>
                <w:u w:val="single"/>
              </w:rPr>
            </w:pPr>
            <w:r>
              <w:rPr>
                <w:rFonts w:hint="eastAsia"/>
                <w:szCs w:val="21"/>
              </w:rPr>
              <w:t xml:space="preserve"> </w:t>
            </w:r>
          </w:p>
        </w:tc>
      </w:tr>
      <w:tr>
        <w:tblPrEx>
          <w:tblCellMar>
            <w:top w:w="0" w:type="dxa"/>
            <w:left w:w="108" w:type="dxa"/>
            <w:bottom w:w="0" w:type="dxa"/>
            <w:right w:w="108" w:type="dxa"/>
          </w:tblCellMar>
        </w:tblPrEx>
        <w:tc>
          <w:tcPr>
            <w:tcW w:w="4148" w:type="dxa"/>
          </w:tcPr>
          <w:p>
            <w:pPr>
              <w:spacing w:line="360" w:lineRule="auto"/>
              <w:rPr>
                <w:rFonts w:hint="eastAsia"/>
                <w:szCs w:val="21"/>
              </w:rPr>
            </w:pPr>
            <w:r>
              <w:rPr>
                <w:rFonts w:hint="eastAsia"/>
                <w:szCs w:val="21"/>
              </w:rPr>
              <w:t xml:space="preserve">法定代表人或  </w:t>
            </w:r>
          </w:p>
          <w:p>
            <w:pPr>
              <w:spacing w:line="360" w:lineRule="auto"/>
              <w:rPr>
                <w:rFonts w:hint="eastAsia"/>
                <w:szCs w:val="21"/>
              </w:rPr>
            </w:pPr>
            <w:r>
              <w:rPr>
                <w:rFonts w:hint="eastAsia"/>
                <w:szCs w:val="21"/>
              </w:rPr>
              <w:t>委托代理人(签字)：</w:t>
            </w:r>
            <w:r>
              <w:rPr>
                <w:rFonts w:hint="eastAsia"/>
                <w:szCs w:val="21"/>
                <w:u w:val="single"/>
              </w:rPr>
              <w:t xml:space="preserve">           </w:t>
            </w:r>
            <w:r>
              <w:rPr>
                <w:rFonts w:hint="eastAsia"/>
                <w:szCs w:val="21"/>
              </w:rPr>
              <w:t xml:space="preserve"> </w:t>
            </w:r>
          </w:p>
        </w:tc>
        <w:tc>
          <w:tcPr>
            <w:tcW w:w="4148" w:type="dxa"/>
          </w:tcPr>
          <w:p>
            <w:pPr>
              <w:spacing w:line="360" w:lineRule="auto"/>
              <w:ind w:firstLine="210" w:firstLineChars="100"/>
              <w:rPr>
                <w:rFonts w:hint="eastAsia"/>
                <w:szCs w:val="21"/>
              </w:rPr>
            </w:pPr>
            <w:r>
              <w:rPr>
                <w:rFonts w:hint="eastAsia"/>
                <w:szCs w:val="21"/>
              </w:rPr>
              <w:t xml:space="preserve">法定代表人或  </w:t>
            </w:r>
          </w:p>
          <w:p>
            <w:pPr>
              <w:spacing w:line="360" w:lineRule="auto"/>
              <w:ind w:firstLine="210" w:firstLineChars="100"/>
              <w:rPr>
                <w:rFonts w:hint="eastAsia"/>
                <w:szCs w:val="21"/>
                <w:u w:val="single"/>
              </w:rPr>
            </w:pPr>
            <w:r>
              <w:rPr>
                <w:rFonts w:hint="eastAsia"/>
                <w:szCs w:val="21"/>
              </w:rPr>
              <w:t xml:space="preserve">委托代理人(签字)： </w:t>
            </w:r>
            <w:r>
              <w:rPr>
                <w:rFonts w:hint="eastAsia"/>
                <w:szCs w:val="21"/>
                <w:u w:val="single"/>
              </w:rPr>
              <w:t xml:space="preserve">             </w:t>
            </w:r>
          </w:p>
        </w:tc>
      </w:tr>
      <w:tr>
        <w:tblPrEx>
          <w:tblCellMar>
            <w:top w:w="0" w:type="dxa"/>
            <w:left w:w="108" w:type="dxa"/>
            <w:bottom w:w="0" w:type="dxa"/>
            <w:right w:w="108" w:type="dxa"/>
          </w:tblCellMar>
        </w:tblPrEx>
        <w:tc>
          <w:tcPr>
            <w:tcW w:w="4148" w:type="dxa"/>
          </w:tcPr>
          <w:p>
            <w:pPr>
              <w:spacing w:line="360" w:lineRule="auto"/>
              <w:rPr>
                <w:rFonts w:hint="eastAsia"/>
                <w:szCs w:val="21"/>
              </w:rPr>
            </w:pPr>
            <w:r>
              <w:rPr>
                <w:rFonts w:hint="eastAsia"/>
                <w:szCs w:val="21"/>
              </w:rPr>
              <w:t xml:space="preserve">电  话： </w:t>
            </w:r>
            <w:r>
              <w:rPr>
                <w:rFonts w:hint="eastAsia"/>
                <w:szCs w:val="21"/>
                <w:u w:val="single"/>
              </w:rPr>
              <w:t xml:space="preserve">            </w:t>
            </w:r>
          </w:p>
        </w:tc>
        <w:tc>
          <w:tcPr>
            <w:tcW w:w="4148" w:type="dxa"/>
          </w:tcPr>
          <w:p>
            <w:pPr>
              <w:spacing w:line="360" w:lineRule="auto"/>
              <w:ind w:firstLine="210" w:firstLineChars="100"/>
              <w:rPr>
                <w:rFonts w:hint="eastAsia"/>
                <w:szCs w:val="21"/>
                <w:u w:val="single"/>
              </w:rPr>
            </w:pPr>
            <w:r>
              <w:rPr>
                <w:rFonts w:hint="eastAsia"/>
                <w:szCs w:val="21"/>
              </w:rPr>
              <w:t>电  话：</w:t>
            </w:r>
            <w:r>
              <w:rPr>
                <w:rFonts w:hint="eastAsia"/>
                <w:szCs w:val="21"/>
                <w:u w:val="single"/>
              </w:rPr>
              <w:t xml:space="preserve">                           </w:t>
            </w:r>
          </w:p>
        </w:tc>
      </w:tr>
      <w:tr>
        <w:tblPrEx>
          <w:tblCellMar>
            <w:top w:w="0" w:type="dxa"/>
            <w:left w:w="108" w:type="dxa"/>
            <w:bottom w:w="0" w:type="dxa"/>
            <w:right w:w="108" w:type="dxa"/>
          </w:tblCellMar>
        </w:tblPrEx>
        <w:tc>
          <w:tcPr>
            <w:tcW w:w="4148" w:type="dxa"/>
          </w:tcPr>
          <w:p>
            <w:pPr>
              <w:spacing w:line="360" w:lineRule="auto"/>
              <w:rPr>
                <w:rFonts w:hint="eastAsia"/>
                <w:szCs w:val="21"/>
              </w:rPr>
            </w:pPr>
            <w:r>
              <w:rPr>
                <w:rFonts w:hint="eastAsia"/>
                <w:szCs w:val="21"/>
              </w:rPr>
              <w:t>开户银行：</w:t>
            </w:r>
            <w:r>
              <w:rPr>
                <w:rFonts w:hint="eastAsia"/>
                <w:szCs w:val="21"/>
                <w:u w:val="single"/>
              </w:rPr>
              <w:t xml:space="preserve">                      </w:t>
            </w:r>
          </w:p>
        </w:tc>
        <w:tc>
          <w:tcPr>
            <w:tcW w:w="4148" w:type="dxa"/>
          </w:tcPr>
          <w:p>
            <w:pPr>
              <w:spacing w:line="360" w:lineRule="auto"/>
              <w:ind w:firstLine="210" w:firstLineChars="100"/>
              <w:rPr>
                <w:rFonts w:hint="eastAsia"/>
                <w:szCs w:val="21"/>
                <w:u w:val="single"/>
              </w:rPr>
            </w:pPr>
            <w:r>
              <w:rPr>
                <w:rFonts w:hint="eastAsia"/>
                <w:szCs w:val="21"/>
              </w:rPr>
              <w:t xml:space="preserve">开户银行： </w:t>
            </w:r>
            <w:r>
              <w:rPr>
                <w:rFonts w:hint="eastAsia"/>
                <w:szCs w:val="21"/>
                <w:u w:val="single"/>
              </w:rPr>
              <w:t xml:space="preserve">                      </w:t>
            </w:r>
          </w:p>
          <w:p>
            <w:pPr>
              <w:spacing w:line="360" w:lineRule="auto"/>
              <w:rPr>
                <w:rFonts w:hint="eastAsia"/>
                <w:szCs w:val="21"/>
              </w:rPr>
            </w:pPr>
            <w:r>
              <w:rPr>
                <w:rFonts w:hint="eastAsia"/>
                <w:szCs w:val="21"/>
              </w:rPr>
              <w:t xml:space="preserve">                                     </w:t>
            </w:r>
          </w:p>
        </w:tc>
      </w:tr>
      <w:tr>
        <w:tblPrEx>
          <w:tblCellMar>
            <w:top w:w="0" w:type="dxa"/>
            <w:left w:w="108" w:type="dxa"/>
            <w:bottom w:w="0" w:type="dxa"/>
            <w:right w:w="108" w:type="dxa"/>
          </w:tblCellMar>
        </w:tblPrEx>
        <w:tc>
          <w:tcPr>
            <w:tcW w:w="4148" w:type="dxa"/>
          </w:tcPr>
          <w:p>
            <w:pPr>
              <w:spacing w:line="360" w:lineRule="auto"/>
              <w:rPr>
                <w:rFonts w:hint="eastAsia"/>
                <w:szCs w:val="21"/>
              </w:rPr>
            </w:pPr>
            <w:r>
              <w:rPr>
                <w:rFonts w:hint="eastAsia"/>
                <w:szCs w:val="21"/>
              </w:rPr>
              <w:t>账  号：</w:t>
            </w:r>
            <w:r>
              <w:rPr>
                <w:szCs w:val="21"/>
              </w:rPr>
              <w:t xml:space="preserve"> </w:t>
            </w:r>
            <w:r>
              <w:rPr>
                <w:rFonts w:hint="eastAsia"/>
                <w:szCs w:val="21"/>
                <w:u w:val="single"/>
              </w:rPr>
              <w:t xml:space="preserve">                      </w:t>
            </w:r>
          </w:p>
        </w:tc>
        <w:tc>
          <w:tcPr>
            <w:tcW w:w="4148" w:type="dxa"/>
          </w:tcPr>
          <w:p>
            <w:pPr>
              <w:spacing w:line="360" w:lineRule="auto"/>
              <w:ind w:firstLine="210" w:firstLineChars="100"/>
              <w:rPr>
                <w:rFonts w:hint="eastAsia"/>
                <w:szCs w:val="21"/>
              </w:rPr>
            </w:pPr>
            <w:r>
              <w:rPr>
                <w:rFonts w:hint="eastAsia"/>
                <w:szCs w:val="21"/>
              </w:rPr>
              <w:t>账  号：</w:t>
            </w:r>
            <w:r>
              <w:rPr>
                <w:rFonts w:hint="eastAsia"/>
                <w:szCs w:val="21"/>
                <w:u w:val="single"/>
              </w:rPr>
              <w:t xml:space="preserve">                    </w:t>
            </w:r>
            <w:r>
              <w:rPr>
                <w:rFonts w:hint="eastAsia"/>
                <w:szCs w:val="21"/>
              </w:rPr>
              <w:t xml:space="preserve"> </w:t>
            </w:r>
          </w:p>
        </w:tc>
      </w:tr>
    </w:tbl>
    <w:p>
      <w:pPr>
        <w:spacing w:line="360" w:lineRule="auto"/>
        <w:rPr>
          <w:rFonts w:hint="eastAsia"/>
          <w:szCs w:val="21"/>
        </w:rPr>
      </w:pPr>
    </w:p>
    <w:p>
      <w:pPr>
        <w:pStyle w:val="11"/>
        <w:spacing w:line="360" w:lineRule="auto"/>
        <w:ind w:firstLine="210"/>
        <w:rPr>
          <w:rFonts w:hint="eastAsia"/>
          <w:szCs w:val="21"/>
        </w:rPr>
      </w:pPr>
    </w:p>
    <w:p>
      <w:pPr>
        <w:pStyle w:val="12"/>
        <w:spacing w:line="360" w:lineRule="auto"/>
        <w:rPr>
          <w:rFonts w:hint="eastAsia" w:ascii="宋体" w:hAnsi="宋体"/>
          <w:szCs w:val="21"/>
        </w:rPr>
      </w:pPr>
    </w:p>
    <w:p>
      <w:pPr>
        <w:spacing w:line="360" w:lineRule="auto"/>
        <w:rPr>
          <w:rFonts w:hint="eastAsia"/>
          <w:szCs w:val="21"/>
        </w:rPr>
      </w:pPr>
    </w:p>
    <w:p>
      <w:pPr>
        <w:pStyle w:val="11"/>
        <w:spacing w:line="360" w:lineRule="auto"/>
        <w:ind w:firstLine="210"/>
        <w:rPr>
          <w:rFonts w:hint="eastAsia"/>
          <w:szCs w:val="21"/>
        </w:rPr>
      </w:pPr>
    </w:p>
    <w:p>
      <w:pPr>
        <w:pStyle w:val="12"/>
        <w:spacing w:line="360" w:lineRule="auto"/>
        <w:rPr>
          <w:rFonts w:hint="eastAsia" w:ascii="宋体" w:hAnsi="宋体"/>
          <w:szCs w:val="21"/>
        </w:rPr>
      </w:pPr>
    </w:p>
    <w:p>
      <w:pPr>
        <w:spacing w:line="360" w:lineRule="auto"/>
        <w:rPr>
          <w:rFonts w:hint="eastAsia"/>
          <w:szCs w:val="21"/>
        </w:rPr>
      </w:pPr>
    </w:p>
    <w:p>
      <w:pPr>
        <w:pStyle w:val="11"/>
        <w:spacing w:line="360" w:lineRule="auto"/>
        <w:ind w:firstLine="210"/>
        <w:rPr>
          <w:rFonts w:hint="eastAsia"/>
          <w:szCs w:val="21"/>
        </w:rPr>
      </w:pPr>
    </w:p>
    <w:p>
      <w:pPr>
        <w:pStyle w:val="12"/>
        <w:spacing w:line="360" w:lineRule="auto"/>
        <w:rPr>
          <w:rFonts w:hint="eastAsia" w:ascii="宋体" w:hAnsi="宋体"/>
          <w:szCs w:val="21"/>
        </w:rPr>
      </w:pPr>
    </w:p>
    <w:p>
      <w:pPr>
        <w:spacing w:line="360" w:lineRule="auto"/>
        <w:rPr>
          <w:rFonts w:hint="eastAsia"/>
          <w:szCs w:val="21"/>
        </w:rPr>
      </w:pPr>
    </w:p>
    <w:p>
      <w:pPr>
        <w:pStyle w:val="11"/>
        <w:spacing w:line="360" w:lineRule="auto"/>
        <w:ind w:firstLine="210"/>
        <w:rPr>
          <w:rFonts w:hint="eastAsia"/>
          <w:szCs w:val="21"/>
        </w:rPr>
      </w:pPr>
    </w:p>
    <w:p>
      <w:pPr>
        <w:pStyle w:val="12"/>
      </w:pPr>
    </w:p>
    <w:p>
      <w:pPr>
        <w:rPr>
          <w:rFonts w:hint="eastAsia"/>
        </w:rPr>
      </w:pPr>
    </w:p>
    <w:p>
      <w:pPr>
        <w:rPr>
          <w:rFonts w:hint="eastAsia"/>
        </w:rPr>
      </w:pPr>
    </w:p>
    <w:p>
      <w:pPr>
        <w:rPr>
          <w:rFonts w:hint="eastAsia"/>
        </w:rPr>
      </w:pPr>
    </w:p>
    <w:p>
      <w:pPr>
        <w:rPr>
          <w:rFonts w:hint="eastAsia"/>
        </w:rPr>
      </w:pPr>
    </w:p>
    <w:p>
      <w:pPr>
        <w:pStyle w:val="14"/>
        <w:widowControl/>
        <w:snapToGrid w:val="0"/>
        <w:spacing w:before="120" w:beforeLines="50" w:after="120" w:afterLines="50" w:line="360" w:lineRule="auto"/>
        <w:ind w:firstLine="281"/>
        <w:jc w:val="left"/>
        <w:outlineLvl w:val="0"/>
        <w:rPr>
          <w:rFonts w:hint="eastAsia" w:hAnsi="宋体" w:cs="宋体"/>
          <w:b/>
          <w:kern w:val="0"/>
        </w:rPr>
      </w:pPr>
      <w:r>
        <w:rPr>
          <w:rFonts w:hint="eastAsia" w:hAnsi="宋体" w:cs="宋体"/>
          <w:b/>
          <w:kern w:val="0"/>
        </w:rPr>
        <w:t>附件2：</w:t>
      </w:r>
    </w:p>
    <w:p>
      <w:pPr>
        <w:spacing w:line="360" w:lineRule="auto"/>
        <w:jc w:val="center"/>
        <w:rPr>
          <w:rFonts w:hint="eastAsia"/>
          <w:b/>
          <w:szCs w:val="21"/>
        </w:rPr>
      </w:pPr>
      <w:r>
        <w:rPr>
          <w:rFonts w:hint="eastAsia"/>
          <w:b/>
          <w:szCs w:val="21"/>
        </w:rPr>
        <w:t>工程建设项目廉政责任书</w:t>
      </w:r>
    </w:p>
    <w:p>
      <w:pPr>
        <w:spacing w:line="360" w:lineRule="auto"/>
        <w:ind w:firstLine="420" w:firstLineChars="200"/>
        <w:rPr>
          <w:rFonts w:hint="eastAsia"/>
          <w:szCs w:val="21"/>
        </w:rPr>
      </w:pPr>
      <w:r>
        <w:rPr>
          <w:rFonts w:hint="eastAsia"/>
          <w:szCs w:val="21"/>
        </w:rPr>
        <w:t>甲方（建设单位）：</w:t>
      </w:r>
    </w:p>
    <w:p>
      <w:pPr>
        <w:spacing w:line="360" w:lineRule="auto"/>
        <w:ind w:firstLine="420" w:firstLineChars="200"/>
        <w:rPr>
          <w:rFonts w:hint="eastAsia"/>
          <w:szCs w:val="21"/>
        </w:rPr>
      </w:pPr>
      <w:r>
        <w:rPr>
          <w:rFonts w:hint="eastAsia"/>
          <w:szCs w:val="21"/>
        </w:rPr>
        <w:t>地址：</w:t>
      </w:r>
      <w:r>
        <w:rPr>
          <w:rFonts w:hint="eastAsia" w:cs="Arial"/>
          <w:bCs/>
          <w:szCs w:val="21"/>
        </w:rPr>
        <w:t xml:space="preserve">                 </w:t>
      </w:r>
      <w:r>
        <w:rPr>
          <w:rFonts w:hint="eastAsia"/>
          <w:szCs w:val="21"/>
        </w:rPr>
        <w:t xml:space="preserve"> </w:t>
      </w:r>
    </w:p>
    <w:p>
      <w:pPr>
        <w:spacing w:line="360" w:lineRule="auto"/>
        <w:ind w:firstLine="420" w:firstLineChars="200"/>
        <w:rPr>
          <w:rFonts w:hint="eastAsia"/>
          <w:szCs w:val="21"/>
        </w:rPr>
      </w:pPr>
      <w:r>
        <w:rPr>
          <w:rFonts w:hint="eastAsia"/>
          <w:szCs w:val="21"/>
        </w:rPr>
        <w:t xml:space="preserve">乙方（施工单位）： </w:t>
      </w:r>
    </w:p>
    <w:p>
      <w:pPr>
        <w:spacing w:line="360" w:lineRule="auto"/>
        <w:ind w:firstLine="420" w:firstLineChars="200"/>
        <w:rPr>
          <w:rFonts w:hint="eastAsia"/>
          <w:szCs w:val="21"/>
        </w:rPr>
      </w:pPr>
      <w:r>
        <w:rPr>
          <w:rFonts w:hint="eastAsia"/>
          <w:szCs w:val="21"/>
        </w:rPr>
        <w:t xml:space="preserve">地址：                  </w:t>
      </w:r>
    </w:p>
    <w:p>
      <w:pPr>
        <w:widowControl/>
        <w:spacing w:line="400" w:lineRule="exact"/>
        <w:ind w:firstLine="420" w:firstLineChars="200"/>
        <w:rPr>
          <w:rFonts w:hint="eastAsia" w:cs="仿宋"/>
          <w:kern w:val="0"/>
          <w:szCs w:val="21"/>
        </w:rPr>
      </w:pPr>
      <w:r>
        <w:rPr>
          <w:rFonts w:hint="eastAsia" w:cs="仿宋"/>
          <w:kern w:val="0"/>
          <w:szCs w:val="21"/>
        </w:rPr>
        <w:t>双方本年度生产经营合同（以下简称主合同）:</w:t>
      </w:r>
      <w:r>
        <w:rPr>
          <w:rFonts w:ascii="Helvetica" w:hAnsi="Helvetica" w:eastAsia="Helvetica" w:cs="Helvetica"/>
          <w:color w:val="000000"/>
          <w:szCs w:val="21"/>
        </w:rPr>
        <w:t xml:space="preserve"> </w:t>
      </w:r>
      <w:r>
        <w:rPr>
          <w:rFonts w:hint="eastAsia" w:ascii="Helvetica" w:hAnsi="Helvetica" w:eastAsia="Helvetica" w:cs="Helvetica"/>
          <w:color w:val="000000"/>
          <w:szCs w:val="21"/>
          <w:u w:val="single"/>
        </w:rPr>
        <w:t>物管公司海港大厦</w:t>
      </w:r>
      <w:r>
        <w:rPr>
          <w:rFonts w:ascii="Helvetica" w:hAnsi="Helvetica" w:eastAsia="Helvetica" w:cs="Helvetica"/>
          <w:color w:val="000000"/>
          <w:szCs w:val="21"/>
          <w:u w:val="single"/>
        </w:rPr>
        <w:t>1</w:t>
      </w:r>
      <w:r>
        <w:rPr>
          <w:rFonts w:hint="eastAsia" w:ascii="Helvetica" w:hAnsi="Helvetica" w:eastAsia="Helvetica" w:cs="Helvetica"/>
          <w:color w:val="000000"/>
          <w:szCs w:val="21"/>
          <w:u w:val="single"/>
        </w:rPr>
        <w:t>号楼人员进出智能化改造项目</w:t>
      </w:r>
      <w:r>
        <w:rPr>
          <w:rFonts w:hint="eastAsia" w:cs="仿宋"/>
          <w:kern w:val="0"/>
          <w:szCs w:val="21"/>
        </w:rPr>
        <w:t>，为进一步完善监督制约机制，确保工作质量和预防职务犯罪，规范生产经营从业人员的行为，加强个人廉洁自律，根据国家及温州港集团有限公司物业管理服务分公司有关廉洁建设规定，并结合实际特订立本协议如下：</w:t>
      </w:r>
    </w:p>
    <w:p>
      <w:pPr>
        <w:widowControl/>
        <w:spacing w:line="400" w:lineRule="exact"/>
        <w:ind w:firstLine="420" w:firstLineChars="200"/>
        <w:rPr>
          <w:rFonts w:hint="eastAsia" w:cs="仿宋"/>
          <w:kern w:val="0"/>
          <w:szCs w:val="21"/>
        </w:rPr>
      </w:pPr>
      <w:r>
        <w:rPr>
          <w:rFonts w:hint="eastAsia" w:cs="仿宋"/>
          <w:kern w:val="0"/>
          <w:szCs w:val="21"/>
        </w:rPr>
        <w:t>一、双方职责</w:t>
      </w:r>
    </w:p>
    <w:p>
      <w:pPr>
        <w:widowControl/>
        <w:spacing w:line="400" w:lineRule="exact"/>
        <w:ind w:firstLine="420" w:firstLineChars="200"/>
        <w:rPr>
          <w:rFonts w:hint="eastAsia" w:cs="仿宋"/>
          <w:kern w:val="0"/>
          <w:szCs w:val="21"/>
        </w:rPr>
      </w:pPr>
      <w:r>
        <w:rPr>
          <w:rFonts w:hint="eastAsia" w:cs="仿宋"/>
          <w:kern w:val="0"/>
          <w:szCs w:val="21"/>
        </w:rPr>
        <w:t>1.甲乙双方应当自觉遵守国家法律法规以及有关廉洁建设的各项规定。</w:t>
      </w:r>
    </w:p>
    <w:p>
      <w:pPr>
        <w:widowControl/>
        <w:spacing w:line="400" w:lineRule="exact"/>
        <w:ind w:firstLine="420" w:firstLineChars="200"/>
        <w:rPr>
          <w:rFonts w:hint="eastAsia" w:cs="仿宋"/>
          <w:kern w:val="0"/>
          <w:szCs w:val="21"/>
        </w:rPr>
      </w:pPr>
      <w:r>
        <w:rPr>
          <w:rFonts w:hint="eastAsia" w:cs="仿宋"/>
          <w:kern w:val="0"/>
          <w:szCs w:val="21"/>
        </w:rPr>
        <w:t>2.甲乙双方应当严格执行合同规定，自觉按合同办事。</w:t>
      </w:r>
    </w:p>
    <w:p>
      <w:pPr>
        <w:widowControl/>
        <w:spacing w:line="400" w:lineRule="exact"/>
        <w:ind w:firstLine="420" w:firstLineChars="200"/>
        <w:rPr>
          <w:rFonts w:hint="eastAsia" w:cs="仿宋"/>
          <w:kern w:val="0"/>
          <w:szCs w:val="21"/>
        </w:rPr>
      </w:pPr>
      <w:r>
        <w:rPr>
          <w:rFonts w:hint="eastAsia" w:cs="仿宋"/>
          <w:kern w:val="0"/>
          <w:szCs w:val="21"/>
        </w:rPr>
        <w:t>3.双方业务活动坚持公开、公正、诚信的原则（除法律认定的商业秘密或合同文件另有规定之外），不得损害国家利益和企业利益。</w:t>
      </w:r>
    </w:p>
    <w:p>
      <w:pPr>
        <w:widowControl/>
        <w:spacing w:line="400" w:lineRule="exact"/>
        <w:ind w:firstLine="420" w:firstLineChars="200"/>
        <w:rPr>
          <w:rFonts w:hint="eastAsia" w:cs="仿宋"/>
          <w:kern w:val="0"/>
          <w:szCs w:val="21"/>
        </w:rPr>
      </w:pPr>
      <w:r>
        <w:rPr>
          <w:rFonts w:hint="eastAsia" w:cs="仿宋"/>
          <w:kern w:val="0"/>
          <w:szCs w:val="21"/>
        </w:rPr>
        <w:t>二、双方廉洁义务</w:t>
      </w:r>
    </w:p>
    <w:p>
      <w:pPr>
        <w:widowControl/>
        <w:spacing w:line="400" w:lineRule="exact"/>
        <w:ind w:firstLine="420" w:firstLineChars="200"/>
        <w:rPr>
          <w:rFonts w:hint="eastAsia" w:cs="仿宋"/>
          <w:kern w:val="0"/>
          <w:szCs w:val="21"/>
        </w:rPr>
      </w:pPr>
      <w:r>
        <w:rPr>
          <w:rFonts w:hint="eastAsia" w:cs="仿宋"/>
          <w:kern w:val="0"/>
          <w:szCs w:val="21"/>
        </w:rPr>
        <w:t>1.</w:t>
      </w:r>
      <w:r>
        <w:rPr>
          <w:rFonts w:hint="eastAsia" w:cs="宋体"/>
          <w:szCs w:val="21"/>
        </w:rPr>
        <w:t xml:space="preserve"> </w:t>
      </w:r>
      <w:r>
        <w:rPr>
          <w:rFonts w:hint="eastAsia" w:cs="仿宋"/>
          <w:kern w:val="0"/>
          <w:szCs w:val="21"/>
        </w:rPr>
        <w:t>甲方义务</w:t>
      </w:r>
    </w:p>
    <w:p>
      <w:pPr>
        <w:widowControl/>
        <w:spacing w:line="400" w:lineRule="exact"/>
        <w:ind w:firstLine="420" w:firstLineChars="200"/>
        <w:rPr>
          <w:rFonts w:hint="eastAsia" w:cs="仿宋"/>
          <w:kern w:val="0"/>
          <w:szCs w:val="21"/>
        </w:rPr>
      </w:pPr>
      <w:r>
        <w:rPr>
          <w:rFonts w:hint="eastAsia" w:cs="仿宋"/>
          <w:kern w:val="0"/>
          <w:szCs w:val="21"/>
        </w:rPr>
        <w:t>（1）甲方工作人员应保持与乙方正常的工作交往，不得接受乙方的礼金、有价证券和贵重物品，不得要求乙方报销任何应由个人支付的费用，不得以任何形式向乙方索要和收受回扣或变相收受贿赂。</w:t>
      </w:r>
    </w:p>
    <w:p>
      <w:pPr>
        <w:widowControl/>
        <w:spacing w:line="400" w:lineRule="exact"/>
        <w:ind w:firstLine="420" w:firstLineChars="200"/>
        <w:rPr>
          <w:rFonts w:hint="eastAsia" w:cs="仿宋"/>
          <w:kern w:val="0"/>
          <w:szCs w:val="21"/>
        </w:rPr>
      </w:pPr>
      <w:r>
        <w:rPr>
          <w:rFonts w:hint="eastAsia" w:cs="仿宋"/>
          <w:kern w:val="0"/>
          <w:szCs w:val="21"/>
        </w:rPr>
        <w:t>（2）甲方工作人员不得参加可能对公正执行公务有影响的宴请和娱乐活动。</w:t>
      </w:r>
    </w:p>
    <w:p>
      <w:pPr>
        <w:widowControl/>
        <w:spacing w:line="400" w:lineRule="exact"/>
        <w:ind w:firstLine="420" w:firstLineChars="200"/>
        <w:rPr>
          <w:rFonts w:hint="eastAsia" w:cs="仿宋"/>
          <w:kern w:val="0"/>
          <w:szCs w:val="21"/>
        </w:rPr>
      </w:pPr>
      <w:r>
        <w:rPr>
          <w:rFonts w:hint="eastAsia" w:cs="仿宋"/>
          <w:kern w:val="0"/>
          <w:szCs w:val="21"/>
        </w:rPr>
        <w:t>（3）甲方工作人员不得要求或者接收乙方为其住房装修、婚丧嫁娶、家属和子女的工作安排以及出国等提供方便。</w:t>
      </w:r>
    </w:p>
    <w:p>
      <w:pPr>
        <w:widowControl/>
        <w:spacing w:line="400" w:lineRule="exact"/>
        <w:ind w:firstLine="420" w:firstLineChars="200"/>
        <w:rPr>
          <w:rFonts w:hint="eastAsia" w:cs="仿宋"/>
          <w:kern w:val="0"/>
          <w:szCs w:val="21"/>
        </w:rPr>
      </w:pPr>
      <w:r>
        <w:rPr>
          <w:rFonts w:hint="eastAsia" w:cs="仿宋"/>
          <w:kern w:val="0"/>
          <w:szCs w:val="21"/>
        </w:rPr>
        <w:t>（4）甲方工作人员不得向乙方介绍亲属或亲友从事与甲方工作有关的经济活动。</w:t>
      </w:r>
    </w:p>
    <w:p>
      <w:pPr>
        <w:widowControl/>
        <w:spacing w:line="400" w:lineRule="exact"/>
        <w:ind w:firstLine="420" w:firstLineChars="200"/>
        <w:rPr>
          <w:rFonts w:hint="eastAsia" w:cs="仿宋"/>
          <w:kern w:val="0"/>
          <w:szCs w:val="21"/>
        </w:rPr>
      </w:pPr>
      <w:r>
        <w:rPr>
          <w:rFonts w:hint="eastAsia" w:cs="仿宋"/>
          <w:kern w:val="0"/>
          <w:szCs w:val="21"/>
        </w:rPr>
        <w:t>2.乙方义务</w:t>
      </w:r>
    </w:p>
    <w:p>
      <w:pPr>
        <w:widowControl/>
        <w:spacing w:line="400" w:lineRule="exact"/>
        <w:ind w:firstLine="420" w:firstLineChars="200"/>
        <w:rPr>
          <w:rFonts w:hint="eastAsia" w:cs="仿宋"/>
          <w:kern w:val="0"/>
          <w:szCs w:val="21"/>
        </w:rPr>
      </w:pPr>
      <w:r>
        <w:rPr>
          <w:rFonts w:hint="eastAsia" w:cs="仿宋"/>
          <w:kern w:val="0"/>
          <w:szCs w:val="21"/>
        </w:rPr>
        <w:t>（1）乙方应当通过正规途径开展相关业务工作，不得向甲方工作人员及第三方赠送礼金、有价证券和贵重物品等。</w:t>
      </w:r>
    </w:p>
    <w:p>
      <w:pPr>
        <w:widowControl/>
        <w:spacing w:line="400" w:lineRule="exact"/>
        <w:ind w:firstLine="420" w:firstLineChars="200"/>
        <w:rPr>
          <w:rFonts w:hint="eastAsia" w:cs="仿宋"/>
          <w:kern w:val="0"/>
          <w:szCs w:val="21"/>
        </w:rPr>
      </w:pPr>
      <w:r>
        <w:rPr>
          <w:rFonts w:hint="eastAsia" w:cs="仿宋"/>
          <w:kern w:val="0"/>
          <w:szCs w:val="21"/>
        </w:rPr>
        <w:t>（2）乙方不得为谋取私利擅自与甲方工作人员及中介机构就有关工作问题进行私下商谈或达成默契。</w:t>
      </w:r>
    </w:p>
    <w:p>
      <w:pPr>
        <w:widowControl/>
        <w:spacing w:line="400" w:lineRule="exact"/>
        <w:ind w:firstLine="420" w:firstLineChars="200"/>
        <w:rPr>
          <w:rFonts w:hint="eastAsia" w:cs="仿宋"/>
          <w:kern w:val="0"/>
          <w:szCs w:val="21"/>
        </w:rPr>
      </w:pPr>
      <w:r>
        <w:rPr>
          <w:rFonts w:hint="eastAsia" w:cs="仿宋"/>
          <w:kern w:val="0"/>
          <w:szCs w:val="21"/>
        </w:rPr>
        <w:t>（3）乙方不得以洽谈业务、签订经济合同为借口，邀请甲方工作人员外出旅游和进入营业性高消费娱乐场所。</w:t>
      </w:r>
    </w:p>
    <w:p>
      <w:pPr>
        <w:widowControl/>
        <w:spacing w:line="400" w:lineRule="exact"/>
        <w:ind w:firstLine="420" w:firstLineChars="200"/>
        <w:rPr>
          <w:rFonts w:hint="eastAsia" w:cs="仿宋"/>
          <w:kern w:val="0"/>
          <w:szCs w:val="21"/>
        </w:rPr>
      </w:pPr>
      <w:r>
        <w:rPr>
          <w:rFonts w:hint="eastAsia" w:cs="仿宋"/>
          <w:kern w:val="0"/>
          <w:szCs w:val="21"/>
        </w:rPr>
        <w:t>（4）乙方不得为甲方单位或个人购置或者提供通信工具、交通工具、家电、高档办公用品等。</w:t>
      </w:r>
    </w:p>
    <w:p>
      <w:pPr>
        <w:widowControl/>
        <w:spacing w:line="400" w:lineRule="exact"/>
        <w:ind w:firstLine="420" w:firstLineChars="200"/>
        <w:rPr>
          <w:rFonts w:hint="eastAsia" w:cs="仿宋"/>
          <w:kern w:val="0"/>
          <w:szCs w:val="21"/>
        </w:rPr>
      </w:pPr>
      <w:r>
        <w:rPr>
          <w:rFonts w:hint="eastAsia" w:cs="仿宋"/>
          <w:kern w:val="0"/>
          <w:szCs w:val="21"/>
        </w:rPr>
        <w:t xml:space="preserve">（5）乙方如发现甲方工作人员有违反上述协议者，应向甲方上级主管单位举报。甲方不得以任何借口对乙方进行报复。 </w:t>
      </w:r>
    </w:p>
    <w:p>
      <w:pPr>
        <w:widowControl/>
        <w:spacing w:line="400" w:lineRule="exact"/>
        <w:ind w:firstLine="420" w:firstLineChars="200"/>
        <w:rPr>
          <w:rFonts w:hint="eastAsia" w:cs="仿宋"/>
          <w:kern w:val="0"/>
          <w:szCs w:val="21"/>
        </w:rPr>
      </w:pPr>
      <w:r>
        <w:rPr>
          <w:rFonts w:hint="eastAsia" w:cs="仿宋"/>
          <w:kern w:val="0"/>
          <w:szCs w:val="21"/>
        </w:rPr>
        <w:t>（6）甲方工作人员明示或暗示乙方给予贿赂或报酬的，乙方必须予以拒绝，并将情况通报甲方纪检监察部门。</w:t>
      </w:r>
    </w:p>
    <w:p>
      <w:pPr>
        <w:widowControl/>
        <w:spacing w:line="400" w:lineRule="exact"/>
        <w:ind w:firstLine="525" w:firstLineChars="250"/>
        <w:rPr>
          <w:rFonts w:hint="eastAsia" w:cs="仿宋"/>
          <w:kern w:val="0"/>
          <w:szCs w:val="21"/>
        </w:rPr>
      </w:pPr>
      <w:r>
        <w:rPr>
          <w:rFonts w:hint="eastAsia" w:cs="仿宋"/>
          <w:kern w:val="0"/>
          <w:szCs w:val="21"/>
        </w:rPr>
        <w:t>三、违约责任</w:t>
      </w:r>
    </w:p>
    <w:p>
      <w:pPr>
        <w:widowControl/>
        <w:spacing w:line="400" w:lineRule="exact"/>
        <w:ind w:firstLine="420" w:firstLineChars="200"/>
        <w:rPr>
          <w:rFonts w:hint="eastAsia" w:cs="仿宋"/>
          <w:kern w:val="0"/>
          <w:szCs w:val="21"/>
        </w:rPr>
      </w:pPr>
      <w:r>
        <w:rPr>
          <w:rFonts w:hint="eastAsia" w:cs="仿宋"/>
          <w:kern w:val="0"/>
          <w:szCs w:val="21"/>
        </w:rPr>
        <w:t>1.如发现甲方工作人员违反上述协议者，甲方视情况予以批评、通报、警告直至开除；情况严重者将追究其经济与法律责任。</w:t>
      </w:r>
    </w:p>
    <w:p>
      <w:pPr>
        <w:pStyle w:val="8"/>
        <w:widowControl/>
        <w:spacing w:line="400" w:lineRule="exact"/>
        <w:ind w:firstLine="420" w:firstLineChars="200"/>
        <w:rPr>
          <w:rFonts w:hint="eastAsia" w:cs="仿宋"/>
          <w:kern w:val="0"/>
          <w:szCs w:val="21"/>
        </w:rPr>
      </w:pPr>
      <w:r>
        <w:rPr>
          <w:rFonts w:hint="eastAsia" w:cs="仿宋"/>
          <w:kern w:val="0"/>
          <w:szCs w:val="21"/>
        </w:rPr>
        <w:t>2.如发现乙方工作人员违反上述协议，按乙方制度进行调查，并由乙方按其制度进行处理；情节严重的，甲方有权解除合同。</w:t>
      </w:r>
    </w:p>
    <w:p>
      <w:pPr>
        <w:widowControl/>
        <w:spacing w:line="400" w:lineRule="exact"/>
        <w:ind w:firstLine="420" w:firstLineChars="200"/>
        <w:rPr>
          <w:rFonts w:hint="eastAsia" w:cs="仿宋"/>
          <w:kern w:val="0"/>
          <w:szCs w:val="21"/>
        </w:rPr>
      </w:pPr>
      <w:r>
        <w:rPr>
          <w:rFonts w:hint="eastAsia" w:cs="仿宋"/>
          <w:kern w:val="0"/>
          <w:szCs w:val="21"/>
        </w:rPr>
        <w:t>3.甲乙双方监督单位为其上级主管部门。</w:t>
      </w:r>
    </w:p>
    <w:p>
      <w:pPr>
        <w:widowControl/>
        <w:spacing w:line="400" w:lineRule="exact"/>
        <w:ind w:firstLine="525" w:firstLineChars="250"/>
        <w:rPr>
          <w:rFonts w:hint="eastAsia" w:cs="仿宋"/>
          <w:kern w:val="0"/>
          <w:szCs w:val="21"/>
        </w:rPr>
      </w:pPr>
      <w:r>
        <w:rPr>
          <w:rFonts w:hint="eastAsia" w:cs="仿宋"/>
          <w:kern w:val="0"/>
          <w:szCs w:val="21"/>
        </w:rPr>
        <w:t>四、附则</w:t>
      </w:r>
    </w:p>
    <w:p>
      <w:pPr>
        <w:widowControl/>
        <w:spacing w:line="400" w:lineRule="exact"/>
        <w:ind w:firstLine="420" w:firstLineChars="200"/>
        <w:rPr>
          <w:rFonts w:hint="eastAsia" w:cs="仿宋"/>
          <w:kern w:val="0"/>
          <w:szCs w:val="21"/>
        </w:rPr>
      </w:pPr>
      <w:r>
        <w:rPr>
          <w:rFonts w:hint="eastAsia" w:cs="仿宋"/>
          <w:kern w:val="0"/>
          <w:szCs w:val="21"/>
        </w:rPr>
        <w:t>1.本协议作为合同的附件，与合同具有同等法律效力。经双方签名并加盖公章或合同章后立即生效。</w:t>
      </w:r>
    </w:p>
    <w:p>
      <w:pPr>
        <w:widowControl/>
        <w:spacing w:line="400" w:lineRule="exact"/>
        <w:ind w:firstLine="420" w:firstLineChars="200"/>
        <w:rPr>
          <w:rFonts w:hint="eastAsia" w:cs="仿宋"/>
          <w:kern w:val="0"/>
          <w:szCs w:val="21"/>
        </w:rPr>
      </w:pPr>
      <w:r>
        <w:rPr>
          <w:rFonts w:hint="eastAsia" w:cs="仿宋"/>
          <w:kern w:val="0"/>
          <w:szCs w:val="21"/>
        </w:rPr>
        <w:t>2.本协议的有效期为双方签署之日起至该合同完成时止。</w:t>
      </w:r>
    </w:p>
    <w:p>
      <w:pPr>
        <w:widowControl/>
        <w:spacing w:line="400" w:lineRule="exact"/>
        <w:ind w:firstLine="420" w:firstLineChars="200"/>
        <w:rPr>
          <w:rFonts w:hint="eastAsia" w:cs="仿宋"/>
          <w:kern w:val="0"/>
          <w:szCs w:val="21"/>
        </w:rPr>
      </w:pPr>
      <w:r>
        <w:rPr>
          <w:rFonts w:hint="eastAsia" w:cs="仿宋"/>
          <w:kern w:val="0"/>
          <w:szCs w:val="21"/>
        </w:rPr>
        <w:t>3.本协议一式四份，由甲乙双方各执二份。</w:t>
      </w:r>
    </w:p>
    <w:p>
      <w:pPr>
        <w:spacing w:line="360" w:lineRule="auto"/>
        <w:ind w:firstLine="371" w:firstLineChars="177"/>
        <w:rPr>
          <w:rFonts w:hint="eastAsia"/>
          <w:szCs w:val="21"/>
        </w:rPr>
      </w:pPr>
    </w:p>
    <w:p>
      <w:pPr>
        <w:spacing w:line="360" w:lineRule="auto"/>
        <w:rPr>
          <w:rFonts w:hint="eastAsia"/>
          <w:szCs w:val="21"/>
        </w:rPr>
      </w:pPr>
    </w:p>
    <w:tbl>
      <w:tblPr>
        <w:tblStyle w:val="25"/>
        <w:tblW w:w="0" w:type="auto"/>
        <w:tblInd w:w="0" w:type="dxa"/>
        <w:tblLayout w:type="autofit"/>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rPr>
          <w:trHeight w:val="928" w:hRule="atLeast"/>
        </w:trPr>
        <w:tc>
          <w:tcPr>
            <w:tcW w:w="4148" w:type="dxa"/>
            <w:vAlign w:val="center"/>
          </w:tcPr>
          <w:p>
            <w:pPr>
              <w:spacing w:line="360" w:lineRule="auto"/>
              <w:rPr>
                <w:rFonts w:hint="eastAsia"/>
                <w:szCs w:val="21"/>
              </w:rPr>
            </w:pPr>
            <w:r>
              <w:rPr>
                <w:rFonts w:hint="eastAsia"/>
                <w:szCs w:val="21"/>
              </w:rPr>
              <w:t>甲方单位（盖章）：</w:t>
            </w:r>
          </w:p>
        </w:tc>
        <w:tc>
          <w:tcPr>
            <w:tcW w:w="4148" w:type="dxa"/>
            <w:vAlign w:val="center"/>
          </w:tcPr>
          <w:p>
            <w:pPr>
              <w:spacing w:line="360" w:lineRule="auto"/>
              <w:rPr>
                <w:rFonts w:hint="eastAsia"/>
                <w:szCs w:val="21"/>
              </w:rPr>
            </w:pPr>
            <w:r>
              <w:rPr>
                <w:rFonts w:hint="eastAsia"/>
                <w:szCs w:val="21"/>
              </w:rPr>
              <w:t>乙方单位（盖章）：</w:t>
            </w:r>
          </w:p>
        </w:tc>
      </w:tr>
      <w:tr>
        <w:tblPrEx>
          <w:tblCellMar>
            <w:top w:w="0" w:type="dxa"/>
            <w:left w:w="108" w:type="dxa"/>
            <w:bottom w:w="0" w:type="dxa"/>
            <w:right w:w="108" w:type="dxa"/>
          </w:tblCellMar>
        </w:tblPrEx>
        <w:tc>
          <w:tcPr>
            <w:tcW w:w="4148" w:type="dxa"/>
            <w:vAlign w:val="center"/>
          </w:tcPr>
          <w:p>
            <w:pPr>
              <w:spacing w:line="360" w:lineRule="auto"/>
              <w:rPr>
                <w:rFonts w:hint="eastAsia"/>
                <w:szCs w:val="21"/>
              </w:rPr>
            </w:pPr>
            <w:r>
              <w:rPr>
                <w:rFonts w:hint="eastAsia"/>
                <w:szCs w:val="21"/>
              </w:rPr>
              <w:t xml:space="preserve">法定代表人或  </w:t>
            </w:r>
          </w:p>
          <w:p>
            <w:pPr>
              <w:spacing w:line="360" w:lineRule="auto"/>
              <w:rPr>
                <w:rFonts w:hint="eastAsia"/>
                <w:szCs w:val="21"/>
              </w:rPr>
            </w:pPr>
            <w:r>
              <w:rPr>
                <w:rFonts w:hint="eastAsia"/>
                <w:szCs w:val="21"/>
              </w:rPr>
              <w:t>委托代理人(签字)：</w:t>
            </w:r>
            <w:r>
              <w:rPr>
                <w:rFonts w:hint="eastAsia"/>
                <w:szCs w:val="21"/>
                <w:u w:val="single"/>
              </w:rPr>
              <w:t xml:space="preserve">           </w:t>
            </w:r>
            <w:r>
              <w:rPr>
                <w:rFonts w:hint="eastAsia"/>
                <w:szCs w:val="21"/>
              </w:rPr>
              <w:t xml:space="preserve"> </w:t>
            </w:r>
          </w:p>
        </w:tc>
        <w:tc>
          <w:tcPr>
            <w:tcW w:w="4148" w:type="dxa"/>
            <w:vAlign w:val="center"/>
          </w:tcPr>
          <w:p>
            <w:pPr>
              <w:spacing w:line="360" w:lineRule="auto"/>
              <w:rPr>
                <w:rFonts w:hint="eastAsia"/>
                <w:szCs w:val="21"/>
              </w:rPr>
            </w:pPr>
            <w:r>
              <w:rPr>
                <w:rFonts w:hint="eastAsia"/>
                <w:szCs w:val="21"/>
              </w:rPr>
              <w:t xml:space="preserve">法定代表人或  </w:t>
            </w:r>
          </w:p>
          <w:p>
            <w:pPr>
              <w:spacing w:line="360" w:lineRule="auto"/>
              <w:rPr>
                <w:rFonts w:hint="eastAsia"/>
                <w:szCs w:val="21"/>
              </w:rPr>
            </w:pPr>
            <w:r>
              <w:rPr>
                <w:rFonts w:hint="eastAsia"/>
                <w:szCs w:val="21"/>
              </w:rPr>
              <w:t>委托代理人(签字)：</w:t>
            </w:r>
            <w:r>
              <w:rPr>
                <w:rFonts w:hint="eastAsia"/>
                <w:szCs w:val="21"/>
                <w:u w:val="single"/>
              </w:rPr>
              <w:t xml:space="preserve">                 </w:t>
            </w:r>
            <w:r>
              <w:rPr>
                <w:rFonts w:hint="eastAsia"/>
                <w:szCs w:val="21"/>
              </w:rPr>
              <w:t xml:space="preserve"> </w:t>
            </w:r>
          </w:p>
        </w:tc>
      </w:tr>
      <w:tr>
        <w:tblPrEx>
          <w:tblCellMar>
            <w:top w:w="0" w:type="dxa"/>
            <w:left w:w="108" w:type="dxa"/>
            <w:bottom w:w="0" w:type="dxa"/>
            <w:right w:w="108" w:type="dxa"/>
          </w:tblCellMar>
        </w:tblPrEx>
        <w:trPr>
          <w:trHeight w:val="1147" w:hRule="atLeast"/>
        </w:trPr>
        <w:tc>
          <w:tcPr>
            <w:tcW w:w="4148" w:type="dxa"/>
            <w:vAlign w:val="center"/>
          </w:tcPr>
          <w:p>
            <w:pPr>
              <w:spacing w:line="360" w:lineRule="auto"/>
              <w:rPr>
                <w:rFonts w:hint="eastAsia"/>
                <w:szCs w:val="21"/>
              </w:rPr>
            </w:pPr>
            <w:r>
              <w:rPr>
                <w:rFonts w:hint="eastAsia"/>
                <w:szCs w:val="21"/>
              </w:rPr>
              <w:t>地  址：</w:t>
            </w:r>
          </w:p>
        </w:tc>
        <w:tc>
          <w:tcPr>
            <w:tcW w:w="4148" w:type="dxa"/>
            <w:vAlign w:val="center"/>
          </w:tcPr>
          <w:p>
            <w:pPr>
              <w:spacing w:line="360" w:lineRule="auto"/>
              <w:rPr>
                <w:rFonts w:hint="eastAsia"/>
                <w:szCs w:val="21"/>
              </w:rPr>
            </w:pPr>
            <w:r>
              <w:rPr>
                <w:rFonts w:hint="eastAsia"/>
                <w:szCs w:val="21"/>
              </w:rPr>
              <w:t xml:space="preserve">地  址：                        </w:t>
            </w:r>
          </w:p>
        </w:tc>
      </w:tr>
      <w:tr>
        <w:tblPrEx>
          <w:tblCellMar>
            <w:top w:w="0" w:type="dxa"/>
            <w:left w:w="108" w:type="dxa"/>
            <w:bottom w:w="0" w:type="dxa"/>
            <w:right w:w="108" w:type="dxa"/>
          </w:tblCellMar>
        </w:tblPrEx>
        <w:trPr>
          <w:trHeight w:val="699" w:hRule="atLeast"/>
        </w:trPr>
        <w:tc>
          <w:tcPr>
            <w:tcW w:w="4148" w:type="dxa"/>
            <w:vAlign w:val="center"/>
          </w:tcPr>
          <w:p>
            <w:pPr>
              <w:spacing w:line="360" w:lineRule="auto"/>
              <w:rPr>
                <w:rFonts w:hint="eastAsia"/>
                <w:szCs w:val="21"/>
              </w:rPr>
            </w:pPr>
            <w:r>
              <w:rPr>
                <w:rFonts w:hint="eastAsia"/>
                <w:szCs w:val="21"/>
              </w:rPr>
              <w:t xml:space="preserve">电  话： </w:t>
            </w:r>
          </w:p>
        </w:tc>
        <w:tc>
          <w:tcPr>
            <w:tcW w:w="4148" w:type="dxa"/>
            <w:vAlign w:val="center"/>
          </w:tcPr>
          <w:p>
            <w:pPr>
              <w:spacing w:line="360" w:lineRule="auto"/>
              <w:rPr>
                <w:rFonts w:hint="eastAsia"/>
                <w:szCs w:val="21"/>
              </w:rPr>
            </w:pPr>
            <w:r>
              <w:rPr>
                <w:rFonts w:hint="eastAsia"/>
                <w:szCs w:val="21"/>
              </w:rPr>
              <w:t xml:space="preserve">电  话：                        </w:t>
            </w:r>
          </w:p>
        </w:tc>
      </w:tr>
    </w:tbl>
    <w:p>
      <w:pPr>
        <w:pStyle w:val="14"/>
        <w:widowControl/>
        <w:snapToGrid w:val="0"/>
        <w:spacing w:before="120" w:beforeLines="50" w:after="120" w:afterLines="50" w:line="360" w:lineRule="auto"/>
        <w:jc w:val="left"/>
        <w:outlineLvl w:val="0"/>
        <w:rPr>
          <w:rFonts w:hint="eastAsia" w:hAnsi="宋体"/>
        </w:rPr>
      </w:pPr>
      <w:r>
        <w:rPr>
          <w:rFonts w:hAnsi="宋体"/>
        </w:rPr>
        <w:br w:type="page"/>
      </w:r>
      <w:r>
        <w:rPr>
          <w:rFonts w:hint="eastAsia" w:hAnsi="宋体" w:cs="宋体"/>
          <w:b/>
          <w:kern w:val="0"/>
        </w:rPr>
        <w:t>附件3:</w:t>
      </w:r>
    </w:p>
    <w:p>
      <w:pPr>
        <w:snapToGrid w:val="0"/>
        <w:spacing w:line="360" w:lineRule="auto"/>
        <w:jc w:val="center"/>
        <w:rPr>
          <w:rFonts w:hint="eastAsia"/>
          <w:b/>
          <w:bCs/>
          <w:szCs w:val="21"/>
        </w:rPr>
      </w:pPr>
      <w:r>
        <w:rPr>
          <w:rFonts w:hint="eastAsia"/>
          <w:b/>
          <w:bCs/>
          <w:szCs w:val="21"/>
        </w:rPr>
        <w:t>安全管理协议书</w:t>
      </w:r>
    </w:p>
    <w:p>
      <w:pPr>
        <w:snapToGrid w:val="0"/>
        <w:spacing w:line="360" w:lineRule="auto"/>
        <w:rPr>
          <w:rFonts w:hint="eastAsia" w:cs="宋体"/>
          <w:szCs w:val="21"/>
        </w:rPr>
      </w:pPr>
      <w:r>
        <w:rPr>
          <w:rFonts w:hint="eastAsia" w:cs="宋体"/>
          <w:szCs w:val="21"/>
        </w:rPr>
        <w:t>甲方：</w:t>
      </w:r>
    </w:p>
    <w:p>
      <w:pPr>
        <w:snapToGrid w:val="0"/>
        <w:spacing w:line="360" w:lineRule="auto"/>
        <w:rPr>
          <w:rFonts w:hint="eastAsia" w:cs="宋体"/>
          <w:szCs w:val="21"/>
        </w:rPr>
      </w:pPr>
      <w:r>
        <w:rPr>
          <w:rFonts w:hint="eastAsia" w:cs="宋体"/>
          <w:szCs w:val="21"/>
        </w:rPr>
        <w:t>住所：</w:t>
      </w:r>
    </w:p>
    <w:p>
      <w:pPr>
        <w:snapToGrid w:val="0"/>
        <w:spacing w:line="360" w:lineRule="auto"/>
        <w:rPr>
          <w:rFonts w:hint="eastAsia" w:cs="宋体"/>
          <w:szCs w:val="21"/>
        </w:rPr>
      </w:pPr>
      <w:r>
        <w:rPr>
          <w:rFonts w:hint="eastAsia" w:cs="宋体"/>
          <w:szCs w:val="21"/>
        </w:rPr>
        <w:t>乙方：</w:t>
      </w:r>
    </w:p>
    <w:p>
      <w:pPr>
        <w:snapToGrid w:val="0"/>
        <w:spacing w:line="360" w:lineRule="auto"/>
        <w:rPr>
          <w:rFonts w:hint="eastAsia" w:cs="宋体"/>
          <w:szCs w:val="21"/>
        </w:rPr>
      </w:pPr>
      <w:r>
        <w:rPr>
          <w:rFonts w:hint="eastAsia" w:cs="宋体"/>
          <w:szCs w:val="21"/>
        </w:rPr>
        <w:t>住所：</w:t>
      </w:r>
    </w:p>
    <w:p>
      <w:pPr>
        <w:tabs>
          <w:tab w:val="left" w:pos="2790"/>
        </w:tabs>
        <w:spacing w:line="420" w:lineRule="exact"/>
        <w:ind w:firstLine="420" w:firstLineChars="200"/>
        <w:rPr>
          <w:rFonts w:hint="eastAsia" w:cs="仿宋"/>
          <w:szCs w:val="21"/>
        </w:rPr>
      </w:pPr>
      <w:r>
        <w:rPr>
          <w:rFonts w:hint="eastAsia" w:cs="仿宋"/>
          <w:szCs w:val="21"/>
        </w:rPr>
        <w:t xml:space="preserve">为了加强在温州港集团有限公司物业管理服务分公司管辖范围内外来施工单位作业活动的安全管理，规范施工单位作业人员的安全生产行为，在实施过程中创造安全、高效的施工环境，按照《中华人民共和国安全生产法》、《浙江省安全生产条例》等规定，切实搞好本项目的安全管理工作，确保施工范围内甲方设施设备安全，经甲乙双方协商一致达成以下协议： </w:t>
      </w:r>
    </w:p>
    <w:p>
      <w:pPr>
        <w:tabs>
          <w:tab w:val="left" w:pos="2790"/>
        </w:tabs>
        <w:spacing w:line="420" w:lineRule="exact"/>
        <w:ind w:firstLine="420" w:firstLineChars="200"/>
        <w:rPr>
          <w:rFonts w:hint="eastAsia" w:cs="仿宋"/>
          <w:szCs w:val="21"/>
        </w:rPr>
      </w:pPr>
      <w:r>
        <w:rPr>
          <w:rFonts w:hint="eastAsia" w:cs="仿宋"/>
          <w:szCs w:val="21"/>
        </w:rPr>
        <w:t>1.确定协议管理内容：承包</w:t>
      </w:r>
      <w:r>
        <w:rPr>
          <w:rFonts w:cs="Helvetica"/>
          <w:color w:val="000000"/>
          <w:szCs w:val="21"/>
          <w:u w:val="single"/>
        </w:rPr>
        <w:t>物管公司海港大厦1号楼人员进出智能化改造</w:t>
      </w:r>
      <w:r>
        <w:rPr>
          <w:rFonts w:hint="eastAsia" w:cs="仿宋"/>
          <w:szCs w:val="21"/>
        </w:rPr>
        <w:t>项目；甲方同意乙方在承包项目范围内从事施工作业。</w:t>
      </w:r>
    </w:p>
    <w:p>
      <w:pPr>
        <w:shd w:val="clear" w:color="auto" w:fill="FFFFFF"/>
        <w:ind w:firstLine="420" w:firstLineChars="200"/>
        <w:rPr>
          <w:rFonts w:hint="eastAsia" w:cs="仿宋"/>
          <w:szCs w:val="21"/>
        </w:rPr>
      </w:pPr>
      <w:r>
        <w:rPr>
          <w:rFonts w:hint="eastAsia" w:cs="仿宋"/>
          <w:szCs w:val="21"/>
        </w:rPr>
        <w:t>2. 甲方指派</w:t>
      </w:r>
      <w:r>
        <w:rPr>
          <w:rFonts w:hint="eastAsia" w:cs="仿宋"/>
          <w:szCs w:val="21"/>
          <w:u w:val="single"/>
        </w:rPr>
        <w:t xml:space="preserve">           </w:t>
      </w:r>
      <w:r>
        <w:rPr>
          <w:rFonts w:hint="eastAsia" w:cs="仿宋"/>
          <w:szCs w:val="21"/>
        </w:rPr>
        <w:t>（电话：         ）、乙方指</w:t>
      </w:r>
      <w:r>
        <w:rPr>
          <w:rFonts w:hint="eastAsia" w:cs="仿宋"/>
          <w:szCs w:val="21"/>
          <w:u w:val="single"/>
        </w:rPr>
        <w:t xml:space="preserve">        </w:t>
      </w:r>
      <w:r>
        <w:rPr>
          <w:rFonts w:hint="eastAsia" w:cs="仿宋"/>
          <w:szCs w:val="21"/>
        </w:rPr>
        <w:t>（电话：     ）作为各自单位负责本协议现场安全有关事项的联系、协调工作。同时负有管理、检查、督促职责。</w:t>
      </w:r>
    </w:p>
    <w:p>
      <w:pPr>
        <w:tabs>
          <w:tab w:val="left" w:pos="2790"/>
        </w:tabs>
        <w:spacing w:line="420" w:lineRule="exact"/>
        <w:ind w:firstLine="420" w:firstLineChars="200"/>
        <w:rPr>
          <w:rFonts w:hint="eastAsia" w:cs="仿宋"/>
          <w:szCs w:val="21"/>
        </w:rPr>
      </w:pPr>
      <w:r>
        <w:rPr>
          <w:rFonts w:hint="eastAsia" w:cs="仿宋"/>
          <w:szCs w:val="21"/>
        </w:rPr>
        <w:t>3.</w:t>
      </w:r>
      <w:r>
        <w:rPr>
          <w:rFonts w:hint="eastAsia" w:cs="宋体"/>
          <w:szCs w:val="21"/>
        </w:rPr>
        <w:t xml:space="preserve"> </w:t>
      </w:r>
      <w:r>
        <w:rPr>
          <w:rFonts w:hint="eastAsia" w:cs="仿宋"/>
          <w:szCs w:val="21"/>
        </w:rPr>
        <w:t>甲方责任</w:t>
      </w:r>
    </w:p>
    <w:p>
      <w:pPr>
        <w:tabs>
          <w:tab w:val="left" w:pos="2790"/>
        </w:tabs>
        <w:spacing w:line="420" w:lineRule="exact"/>
        <w:ind w:firstLine="420" w:firstLineChars="200"/>
        <w:rPr>
          <w:rFonts w:hint="eastAsia" w:cs="仿宋"/>
          <w:szCs w:val="21"/>
        </w:rPr>
      </w:pPr>
      <w:r>
        <w:rPr>
          <w:rFonts w:hint="eastAsia" w:cs="仿宋"/>
          <w:szCs w:val="21"/>
        </w:rPr>
        <w:t>(1)严格遵守国家有关安全生产的法律法规，认真执行项目承包合同或施工合同中的有关安全要求。</w:t>
      </w:r>
    </w:p>
    <w:p>
      <w:pPr>
        <w:tabs>
          <w:tab w:val="left" w:pos="2790"/>
        </w:tabs>
        <w:spacing w:line="420" w:lineRule="exact"/>
        <w:ind w:firstLine="420" w:firstLineChars="200"/>
        <w:rPr>
          <w:rFonts w:hint="eastAsia" w:cs="仿宋"/>
          <w:szCs w:val="21"/>
        </w:rPr>
      </w:pPr>
      <w:r>
        <w:rPr>
          <w:rFonts w:hint="eastAsia" w:cs="仿宋"/>
          <w:szCs w:val="21"/>
        </w:rPr>
        <w:t>(2)按照“安全第一、预防为主、综合治理”和坚持“管生产必须管安全”的原则进行安全生产管理，项目使用人或所在地管理方为安全生产管理主要责任人。</w:t>
      </w:r>
    </w:p>
    <w:p>
      <w:pPr>
        <w:tabs>
          <w:tab w:val="left" w:pos="2790"/>
        </w:tabs>
        <w:spacing w:line="420" w:lineRule="exact"/>
        <w:ind w:firstLine="420" w:firstLineChars="200"/>
        <w:rPr>
          <w:rFonts w:hint="eastAsia" w:cs="仿宋"/>
          <w:szCs w:val="21"/>
        </w:rPr>
      </w:pPr>
      <w:r>
        <w:rPr>
          <w:rFonts w:hint="eastAsia" w:cs="仿宋"/>
          <w:szCs w:val="21"/>
        </w:rPr>
        <w:t>(3) 施工前对乙方进行安全交底。</w:t>
      </w:r>
    </w:p>
    <w:p>
      <w:pPr>
        <w:tabs>
          <w:tab w:val="left" w:pos="2790"/>
        </w:tabs>
        <w:spacing w:line="420" w:lineRule="exact"/>
        <w:ind w:firstLine="420" w:firstLineChars="200"/>
        <w:rPr>
          <w:rFonts w:hint="eastAsia" w:cs="仿宋"/>
          <w:szCs w:val="21"/>
        </w:rPr>
      </w:pPr>
      <w:r>
        <w:rPr>
          <w:rFonts w:hint="eastAsia" w:cs="仿宋"/>
          <w:szCs w:val="21"/>
        </w:rPr>
        <w:t>(4) 组织对乙方施工现场进行安全生产检查，监督乙方及时处理发现的各种安全隐患，对乙方不符合安全生产要求的行为有权要求其整改。</w:t>
      </w:r>
    </w:p>
    <w:p>
      <w:pPr>
        <w:tabs>
          <w:tab w:val="left" w:pos="2790"/>
        </w:tabs>
        <w:spacing w:line="420" w:lineRule="exact"/>
        <w:ind w:firstLine="420" w:firstLineChars="200"/>
        <w:rPr>
          <w:rFonts w:hint="eastAsia" w:cs="仿宋"/>
          <w:szCs w:val="21"/>
        </w:rPr>
      </w:pPr>
      <w:r>
        <w:rPr>
          <w:rFonts w:hint="eastAsia" w:cs="仿宋"/>
          <w:szCs w:val="21"/>
        </w:rPr>
        <w:t>4.乙方职责</w:t>
      </w:r>
    </w:p>
    <w:p>
      <w:pPr>
        <w:tabs>
          <w:tab w:val="left" w:pos="2790"/>
        </w:tabs>
        <w:spacing w:line="420" w:lineRule="exact"/>
        <w:ind w:firstLine="420" w:firstLineChars="200"/>
        <w:rPr>
          <w:rFonts w:hint="eastAsia" w:cs="仿宋"/>
          <w:szCs w:val="21"/>
        </w:rPr>
      </w:pPr>
      <w:r>
        <w:rPr>
          <w:rFonts w:hint="eastAsia" w:cs="仿宋"/>
          <w:szCs w:val="21"/>
        </w:rPr>
        <w:t>(1)严格遵守《中华人民共和国安全生产法》、《浙江省安全生产条例》等有关安全生产的法律法规的规定；认真执行项目承包合同或施工合同中的有关安全要求。</w:t>
      </w:r>
    </w:p>
    <w:p>
      <w:pPr>
        <w:tabs>
          <w:tab w:val="left" w:pos="2790"/>
        </w:tabs>
        <w:spacing w:line="420" w:lineRule="exact"/>
        <w:ind w:firstLine="420" w:firstLineChars="200"/>
        <w:rPr>
          <w:rFonts w:hint="eastAsia" w:cs="仿宋"/>
          <w:szCs w:val="21"/>
        </w:rPr>
      </w:pPr>
      <w:r>
        <w:rPr>
          <w:rFonts w:hint="eastAsia" w:cs="仿宋"/>
          <w:szCs w:val="21"/>
        </w:rPr>
        <w:t>(2)坚持“安全第一、预防为主、综合治理”和“管生产必须管安全”的原则，加强安全生产宣传教育，增强全员安全生产意识，项目经理、工程技术人员、生产管理人员和具体操作人员，必须熟悉和遵守本协议的各项规定，做到生产与安全工作同时计划、布置、检查、总结和评比。</w:t>
      </w:r>
    </w:p>
    <w:p>
      <w:pPr>
        <w:tabs>
          <w:tab w:val="left" w:pos="2790"/>
        </w:tabs>
        <w:spacing w:line="420" w:lineRule="exact"/>
        <w:ind w:firstLine="420" w:firstLineChars="200"/>
        <w:rPr>
          <w:rFonts w:hint="eastAsia" w:cs="仿宋"/>
          <w:szCs w:val="21"/>
        </w:rPr>
      </w:pPr>
      <w:r>
        <w:rPr>
          <w:rFonts w:hint="eastAsia" w:cs="仿宋"/>
          <w:szCs w:val="21"/>
        </w:rPr>
        <w:t>(3)建立健全安全生产责任制，及时发现并消除安全隐患。确保安全生产经费有效投入，各防护用品到位，并能正确使用，防止事故发生。乙方应根据安全生产相关法律法规的规定配备相应资质的安全生产人员，确保安全生产。</w:t>
      </w:r>
    </w:p>
    <w:p>
      <w:pPr>
        <w:tabs>
          <w:tab w:val="left" w:pos="2790"/>
        </w:tabs>
        <w:spacing w:line="420" w:lineRule="exact"/>
        <w:ind w:firstLine="420" w:firstLineChars="200"/>
        <w:rPr>
          <w:rFonts w:hint="eastAsia" w:cs="仿宋"/>
          <w:szCs w:val="21"/>
        </w:rPr>
      </w:pPr>
      <w:r>
        <w:rPr>
          <w:rFonts w:hint="eastAsia" w:cs="仿宋"/>
          <w:szCs w:val="21"/>
        </w:rPr>
        <w:t>(4)乙方在任何时候都应采取各种合理的预防措施，防止其员工发生任何违法、违禁、暴力或妨碍治安的行为。</w:t>
      </w:r>
    </w:p>
    <w:p>
      <w:pPr>
        <w:tabs>
          <w:tab w:val="left" w:pos="2790"/>
        </w:tabs>
        <w:spacing w:line="420" w:lineRule="exact"/>
        <w:ind w:firstLine="420" w:firstLineChars="200"/>
        <w:rPr>
          <w:rFonts w:hint="eastAsia" w:cs="仿宋"/>
          <w:szCs w:val="21"/>
        </w:rPr>
      </w:pPr>
      <w:r>
        <w:rPr>
          <w:rFonts w:hint="eastAsia" w:cs="仿宋"/>
          <w:szCs w:val="21"/>
        </w:rPr>
        <w:t>(5)乙方参加施工的人员，必须严格执行国家有关法律、法规和甲方的有关规定，对有关人员进行安全教育和相关培训，并熟知和遵守本工种的各项安全技术操作规程。特种作业人员必须持证上岗，施工现场如出现特种作业无证操作现象时，项目经理或负责人必须承担管理责任。</w:t>
      </w:r>
    </w:p>
    <w:p>
      <w:pPr>
        <w:tabs>
          <w:tab w:val="left" w:pos="2790"/>
        </w:tabs>
        <w:spacing w:line="420" w:lineRule="exact"/>
        <w:ind w:firstLine="420" w:firstLineChars="200"/>
        <w:rPr>
          <w:rFonts w:hint="eastAsia" w:cs="仿宋"/>
          <w:szCs w:val="21"/>
        </w:rPr>
      </w:pPr>
      <w:r>
        <w:rPr>
          <w:rFonts w:hint="eastAsia" w:cs="仿宋"/>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tabs>
          <w:tab w:val="left" w:pos="2790"/>
        </w:tabs>
        <w:spacing w:line="420" w:lineRule="exact"/>
        <w:ind w:firstLine="420" w:firstLineChars="200"/>
        <w:rPr>
          <w:rFonts w:hint="eastAsia" w:cs="仿宋"/>
          <w:bCs/>
          <w:szCs w:val="21"/>
        </w:rPr>
      </w:pPr>
      <w:r>
        <w:rPr>
          <w:rFonts w:hint="eastAsia" w:cs="仿宋"/>
          <w:bCs/>
          <w:szCs w:val="21"/>
        </w:rPr>
        <w:t>(7)操作人员上岗，必须按规定穿戴防护用品。施工负责人或安全检查员应随时检查劳动防护用品的穿戴情况，不按规定穿戴防护用品的人员不得上岗。</w:t>
      </w:r>
    </w:p>
    <w:p>
      <w:pPr>
        <w:tabs>
          <w:tab w:val="left" w:pos="2790"/>
        </w:tabs>
        <w:spacing w:line="420" w:lineRule="exact"/>
        <w:ind w:firstLine="420" w:firstLineChars="200"/>
        <w:rPr>
          <w:rFonts w:hint="eastAsia" w:cs="仿宋"/>
          <w:szCs w:val="21"/>
        </w:rPr>
      </w:pPr>
      <w:r>
        <w:rPr>
          <w:rFonts w:hint="eastAsia" w:cs="仿宋"/>
          <w:szCs w:val="21"/>
        </w:rPr>
        <w:t>(8)所有施工机具设备和高空作业 的设备均应定期检查，并有安全员的签字记录，保证其经常处于完好状态；不合格的机具、设备和劳动保护用品严禁使用。一经开工，就表示乙方已确认该施工现场、作业环境、设施设备和工器具等符合安全生产要求和处于安全状态。作业过程中因乙方原因或由于上述因素不良而导致的事故及造成第三责任事故均由乙方承担事故责任，并赔偿其事故的一切经济损失。</w:t>
      </w:r>
    </w:p>
    <w:p>
      <w:pPr>
        <w:tabs>
          <w:tab w:val="left" w:pos="2790"/>
        </w:tabs>
        <w:spacing w:line="420" w:lineRule="exact"/>
        <w:ind w:firstLine="420" w:firstLineChars="200"/>
        <w:rPr>
          <w:rFonts w:hint="eastAsia" w:cs="仿宋"/>
          <w:szCs w:val="21"/>
        </w:rPr>
      </w:pPr>
      <w:r>
        <w:rPr>
          <w:rFonts w:hint="eastAsia" w:cs="仿宋"/>
          <w:szCs w:val="21"/>
        </w:rPr>
        <w:t>(9)施工中采用新技术、新工艺、新设备、新材料时，必须制定相应的安全技术措施，施工现场必须具有相关的安全标志牌。</w:t>
      </w:r>
    </w:p>
    <w:p>
      <w:pPr>
        <w:tabs>
          <w:tab w:val="left" w:pos="2790"/>
        </w:tabs>
        <w:spacing w:line="420" w:lineRule="exact"/>
        <w:ind w:firstLine="420" w:firstLineChars="200"/>
        <w:rPr>
          <w:rFonts w:hint="eastAsia" w:cs="仿宋"/>
          <w:szCs w:val="21"/>
        </w:rPr>
      </w:pPr>
      <w:r>
        <w:rPr>
          <w:rFonts w:hint="eastAsia" w:cs="仿宋"/>
          <w:szCs w:val="21"/>
        </w:rPr>
        <w:t>(10)乙方施工过程中如需使用水、电、动用明火或借用甲方设备设施等，乙方必须事先向甲方主管部门办理审批手续，经甲方同意后，由专人负责落实。</w:t>
      </w:r>
    </w:p>
    <w:p>
      <w:pPr>
        <w:tabs>
          <w:tab w:val="left" w:pos="2790"/>
        </w:tabs>
        <w:spacing w:line="420" w:lineRule="exact"/>
        <w:ind w:firstLine="420" w:firstLineChars="200"/>
        <w:rPr>
          <w:rFonts w:hint="eastAsia" w:cs="仿宋"/>
          <w:szCs w:val="21"/>
        </w:rPr>
      </w:pPr>
      <w:r>
        <w:rPr>
          <w:rFonts w:hint="eastAsia" w:cs="仿宋"/>
          <w:szCs w:val="21"/>
        </w:rPr>
        <w:t>（11）乙方人员下班后应切断电源，确保用电 安全。如遇大风、大雾天、雷暴雨等恶劣气候影响作业安全时，禁止作业。</w:t>
      </w:r>
    </w:p>
    <w:p>
      <w:pPr>
        <w:tabs>
          <w:tab w:val="left" w:pos="2790"/>
        </w:tabs>
        <w:spacing w:line="420" w:lineRule="exact"/>
        <w:ind w:firstLine="420" w:firstLineChars="200"/>
        <w:rPr>
          <w:rFonts w:hint="eastAsia" w:cs="仿宋"/>
          <w:szCs w:val="21"/>
        </w:rPr>
      </w:pPr>
      <w:r>
        <w:rPr>
          <w:rFonts w:hint="eastAsia" w:cs="仿宋"/>
          <w:szCs w:val="21"/>
        </w:rPr>
        <w:t>（12）乙方在施工（作业）结束后，必须对施工现场彻底清理，做到工完、料尽、场地清，并及时通知甲方项目负责人验收。</w:t>
      </w:r>
    </w:p>
    <w:p>
      <w:pPr>
        <w:tabs>
          <w:tab w:val="left" w:pos="2790"/>
        </w:tabs>
        <w:spacing w:line="420" w:lineRule="exact"/>
        <w:ind w:firstLine="404" w:firstLineChars="200"/>
        <w:rPr>
          <w:rFonts w:hint="eastAsia" w:cs="仿宋"/>
          <w:szCs w:val="21"/>
        </w:rPr>
      </w:pPr>
      <w:r>
        <w:rPr>
          <w:rFonts w:hint="eastAsia" w:cs="仿宋"/>
          <w:spacing w:val="-4"/>
          <w:szCs w:val="21"/>
        </w:rPr>
        <w:t>5.</w:t>
      </w:r>
      <w:r>
        <w:rPr>
          <w:rFonts w:hint="eastAsia" w:cs="宋体"/>
          <w:szCs w:val="21"/>
        </w:rPr>
        <w:t xml:space="preserve"> </w:t>
      </w:r>
      <w:r>
        <w:rPr>
          <w:rFonts w:hint="eastAsia" w:cs="仿宋"/>
          <w:spacing w:val="-4"/>
          <w:szCs w:val="21"/>
        </w:rPr>
        <w:t>甲方建议乙方对其施工人员购买相应的财产一切险或其他险种等。</w:t>
      </w:r>
    </w:p>
    <w:p>
      <w:pPr>
        <w:tabs>
          <w:tab w:val="left" w:pos="2790"/>
        </w:tabs>
        <w:spacing w:line="420" w:lineRule="exact"/>
        <w:ind w:firstLine="420" w:firstLineChars="200"/>
        <w:rPr>
          <w:rFonts w:hint="eastAsia" w:cs="仿宋"/>
          <w:szCs w:val="21"/>
        </w:rPr>
      </w:pPr>
      <w:r>
        <w:rPr>
          <w:rFonts w:hint="eastAsia" w:cs="仿宋"/>
          <w:szCs w:val="21"/>
        </w:rPr>
        <w:t>6.违约责任</w:t>
      </w:r>
    </w:p>
    <w:p>
      <w:pPr>
        <w:tabs>
          <w:tab w:val="left" w:pos="2790"/>
        </w:tabs>
        <w:spacing w:line="420" w:lineRule="exact"/>
        <w:ind w:firstLine="420" w:firstLineChars="200"/>
        <w:rPr>
          <w:rFonts w:hint="eastAsia" w:cs="仿宋"/>
          <w:szCs w:val="21"/>
        </w:rPr>
      </w:pPr>
      <w:r>
        <w:rPr>
          <w:rFonts w:hint="eastAsia" w:cs="仿宋"/>
          <w:szCs w:val="21"/>
        </w:rPr>
        <w:t>（1）乙方在施工过程中未按照甲方要求进行作业或乙方作业人员发生“三违”等现象的，应按照甲方的相关规定进行处理。</w:t>
      </w:r>
    </w:p>
    <w:p>
      <w:pPr>
        <w:tabs>
          <w:tab w:val="left" w:pos="2790"/>
        </w:tabs>
        <w:spacing w:line="420" w:lineRule="exact"/>
        <w:ind w:firstLine="420" w:firstLineChars="200"/>
        <w:rPr>
          <w:rFonts w:hint="eastAsia" w:cs="仿宋"/>
          <w:szCs w:val="21"/>
        </w:rPr>
      </w:pPr>
      <w:r>
        <w:rPr>
          <w:rFonts w:hint="eastAsia" w:cs="仿宋"/>
          <w:szCs w:val="21"/>
        </w:rPr>
        <w:t>（2）乙方在施工作业中发生事故，由乙方按照《生产安全事故报告和调查处理条例》向事故发生地的负责安全生产监督管理职责的有关部门的报告，同时立即告知甲方。事故善后工作由乙方负责处理，甲方应配合乙方做好事故调查处理工作。</w:t>
      </w:r>
    </w:p>
    <w:p>
      <w:pPr>
        <w:tabs>
          <w:tab w:val="left" w:pos="2790"/>
        </w:tabs>
        <w:spacing w:line="420" w:lineRule="exact"/>
        <w:ind w:firstLine="420" w:firstLineChars="200"/>
        <w:rPr>
          <w:rFonts w:hint="eastAsia" w:cs="仿宋"/>
          <w:szCs w:val="21"/>
        </w:rPr>
      </w:pPr>
      <w:r>
        <w:rPr>
          <w:rFonts w:hint="eastAsia" w:cs="仿宋"/>
          <w:szCs w:val="21"/>
        </w:rPr>
        <w:t>（3）事故责任及经济赔偿，因双方责任发生的生产安全事故，根据事故责任划分（以安全管理部门或当地政府事故处理责任部门出具的事故责任判定书为准），由各自承担相应事故责任及经济赔偿。</w:t>
      </w:r>
    </w:p>
    <w:p>
      <w:pPr>
        <w:tabs>
          <w:tab w:val="left" w:pos="2790"/>
        </w:tabs>
        <w:spacing w:line="420" w:lineRule="exact"/>
        <w:ind w:firstLine="420" w:firstLineChars="200"/>
        <w:rPr>
          <w:rFonts w:hint="eastAsia" w:cs="仿宋"/>
          <w:bCs/>
          <w:szCs w:val="21"/>
        </w:rPr>
      </w:pPr>
      <w:r>
        <w:rPr>
          <w:rFonts w:hint="eastAsia" w:cs="仿宋"/>
          <w:bCs/>
          <w:szCs w:val="21"/>
        </w:rPr>
        <w:t>（4）由于乙方或自然原因、意外事故引起的人员伤亡、环境事故以及财产损失，均由乙方负责，与甲方无关，乙方应自行做好善后工作，防止事态扩大。如因乙方或乙方施工人员的原因造成甲方财产损失、人员伤害的，乙方应承担由此引起的一切损失。</w:t>
      </w:r>
    </w:p>
    <w:p>
      <w:pPr>
        <w:tabs>
          <w:tab w:val="left" w:pos="2790"/>
        </w:tabs>
        <w:spacing w:line="420" w:lineRule="exact"/>
        <w:ind w:firstLine="420" w:firstLineChars="200"/>
        <w:rPr>
          <w:rFonts w:hint="eastAsia" w:cs="仿宋"/>
          <w:szCs w:val="21"/>
        </w:rPr>
      </w:pPr>
      <w:r>
        <w:rPr>
          <w:rFonts w:hint="eastAsia" w:cs="仿宋"/>
          <w:szCs w:val="21"/>
        </w:rPr>
        <w:t>（5）乙方对甲方提出的安全整改意见不及时整改，每逾期一天，乙方应按100元至500元/天承担违约责任。</w:t>
      </w:r>
    </w:p>
    <w:p>
      <w:pPr>
        <w:tabs>
          <w:tab w:val="left" w:pos="2790"/>
        </w:tabs>
        <w:spacing w:line="420" w:lineRule="exact"/>
        <w:ind w:firstLine="420" w:firstLineChars="200"/>
        <w:rPr>
          <w:rFonts w:hint="eastAsia" w:cs="仿宋"/>
          <w:szCs w:val="21"/>
        </w:rPr>
      </w:pPr>
      <w:r>
        <w:rPr>
          <w:rFonts w:hint="eastAsia" w:cs="仿宋"/>
          <w:szCs w:val="21"/>
        </w:rPr>
        <w:t>7.本协议各项规定适用于协议双方，如遇有同国家和政府有关法律法规不符的按国家和政府的有关规定执行。</w:t>
      </w:r>
    </w:p>
    <w:p>
      <w:pPr>
        <w:spacing w:line="300" w:lineRule="auto"/>
        <w:ind w:firstLine="420" w:firstLineChars="200"/>
        <w:rPr>
          <w:rFonts w:hint="eastAsia" w:cs="仿宋"/>
          <w:szCs w:val="21"/>
        </w:rPr>
      </w:pPr>
      <w:r>
        <w:rPr>
          <w:rFonts w:hint="eastAsia" w:cs="仿宋"/>
          <w:szCs w:val="21"/>
        </w:rPr>
        <w:t>8.本协议在执行过程中产生的或与本协议有关的争议及分歧，双方应通过友好协商解决，无法达成共识时应提交温州仲裁委员会申请仲裁，在裁决期间，如果争议是局部的，除正在进行裁决部分外，其他部分应继续执行。</w:t>
      </w:r>
    </w:p>
    <w:p>
      <w:pPr>
        <w:tabs>
          <w:tab w:val="left" w:pos="2790"/>
        </w:tabs>
        <w:spacing w:line="420" w:lineRule="exact"/>
        <w:ind w:firstLine="420" w:firstLineChars="200"/>
        <w:rPr>
          <w:rFonts w:hint="eastAsia" w:cs="仿宋"/>
          <w:szCs w:val="21"/>
        </w:rPr>
      </w:pPr>
      <w:r>
        <w:rPr>
          <w:rFonts w:hint="eastAsia" w:cs="仿宋"/>
          <w:szCs w:val="21"/>
        </w:rPr>
        <w:t>9.本协议由双方法定代表人或其授权的代理人签署并加盖单位章后生效。</w:t>
      </w:r>
    </w:p>
    <w:p>
      <w:pPr>
        <w:tabs>
          <w:tab w:val="left" w:pos="2790"/>
        </w:tabs>
        <w:spacing w:line="420" w:lineRule="exact"/>
        <w:ind w:firstLine="420" w:firstLineChars="200"/>
        <w:rPr>
          <w:rFonts w:hint="eastAsia" w:cs="仿宋"/>
          <w:szCs w:val="21"/>
        </w:rPr>
      </w:pPr>
      <w:r>
        <w:rPr>
          <w:rFonts w:hint="eastAsia" w:cs="仿宋"/>
          <w:szCs w:val="21"/>
        </w:rPr>
        <w:t>10.本协议一式二份，双方各执一份。</w:t>
      </w:r>
    </w:p>
    <w:p>
      <w:pPr>
        <w:snapToGrid w:val="0"/>
        <w:spacing w:line="360" w:lineRule="auto"/>
        <w:ind w:firstLine="424" w:firstLineChars="202"/>
        <w:rPr>
          <w:rFonts w:hint="eastAsia" w:cs="宋体"/>
          <w:szCs w:val="21"/>
        </w:rPr>
      </w:pPr>
    </w:p>
    <w:p>
      <w:pPr>
        <w:snapToGrid w:val="0"/>
        <w:spacing w:line="360" w:lineRule="auto"/>
        <w:rPr>
          <w:rFonts w:hint="eastAsia" w:cs="宋体"/>
          <w:szCs w:val="21"/>
        </w:rPr>
      </w:pPr>
    </w:p>
    <w:p>
      <w:pPr>
        <w:snapToGrid w:val="0"/>
        <w:spacing w:line="360" w:lineRule="auto"/>
        <w:rPr>
          <w:rFonts w:hint="eastAsia" w:cs="宋体"/>
          <w:szCs w:val="21"/>
        </w:rPr>
      </w:pPr>
      <w:r>
        <w:rPr>
          <w:rFonts w:hint="eastAsia" w:cs="宋体"/>
          <w:szCs w:val="21"/>
        </w:rPr>
        <w:t>甲方：（盖章）</w:t>
      </w:r>
    </w:p>
    <w:p>
      <w:pPr>
        <w:snapToGrid w:val="0"/>
        <w:spacing w:line="360" w:lineRule="auto"/>
        <w:rPr>
          <w:rFonts w:hint="eastAsia" w:cs="宋体"/>
          <w:szCs w:val="21"/>
        </w:rPr>
      </w:pPr>
      <w:r>
        <w:rPr>
          <w:rFonts w:hint="eastAsia" w:cs="宋体"/>
          <w:szCs w:val="21"/>
        </w:rPr>
        <w:t xml:space="preserve">法定代表人或授权代表（签名或盖章）：          </w:t>
      </w:r>
    </w:p>
    <w:p>
      <w:pPr>
        <w:snapToGrid w:val="0"/>
        <w:spacing w:line="360" w:lineRule="auto"/>
        <w:rPr>
          <w:rFonts w:hint="eastAsia" w:cs="宋体"/>
          <w:szCs w:val="21"/>
        </w:rPr>
      </w:pPr>
      <w:r>
        <w:rPr>
          <w:rFonts w:hint="eastAsia" w:cs="宋体"/>
          <w:szCs w:val="21"/>
        </w:rPr>
        <w:t xml:space="preserve">联系电话：                  </w:t>
      </w:r>
    </w:p>
    <w:p>
      <w:pPr>
        <w:snapToGrid w:val="0"/>
        <w:spacing w:line="360" w:lineRule="auto"/>
        <w:rPr>
          <w:rFonts w:hint="eastAsia" w:cs="宋体"/>
          <w:szCs w:val="21"/>
        </w:rPr>
      </w:pPr>
      <w:r>
        <w:rPr>
          <w:rFonts w:hint="eastAsia" w:cs="宋体"/>
          <w:szCs w:val="21"/>
        </w:rPr>
        <w:t xml:space="preserve">签订时间：    年   月   日                    </w:t>
      </w:r>
    </w:p>
    <w:p>
      <w:pPr>
        <w:snapToGrid w:val="0"/>
        <w:spacing w:line="360" w:lineRule="auto"/>
        <w:rPr>
          <w:rFonts w:hint="eastAsia" w:cs="宋体"/>
          <w:szCs w:val="21"/>
        </w:rPr>
      </w:pPr>
      <w:r>
        <w:rPr>
          <w:rFonts w:hint="eastAsia" w:cs="宋体"/>
          <w:szCs w:val="21"/>
        </w:rPr>
        <w:t>乙方：（盖章）</w:t>
      </w:r>
    </w:p>
    <w:p>
      <w:pPr>
        <w:snapToGrid w:val="0"/>
        <w:spacing w:line="360" w:lineRule="auto"/>
        <w:rPr>
          <w:rFonts w:hint="eastAsia" w:cs="宋体"/>
          <w:szCs w:val="21"/>
        </w:rPr>
      </w:pPr>
      <w:r>
        <w:rPr>
          <w:rFonts w:hint="eastAsia" w:cs="宋体"/>
          <w:szCs w:val="21"/>
        </w:rPr>
        <w:t>法定代表人或授权代表（签名）：</w:t>
      </w:r>
    </w:p>
    <w:p>
      <w:pPr>
        <w:snapToGrid w:val="0"/>
        <w:spacing w:line="360" w:lineRule="auto"/>
        <w:rPr>
          <w:rFonts w:hint="eastAsia" w:cs="宋体"/>
          <w:szCs w:val="21"/>
        </w:rPr>
      </w:pPr>
      <w:r>
        <w:rPr>
          <w:rFonts w:hint="eastAsia" w:cs="宋体"/>
          <w:szCs w:val="21"/>
        </w:rPr>
        <w:t>联系电话：</w:t>
      </w:r>
    </w:p>
    <w:p>
      <w:pPr>
        <w:snapToGrid w:val="0"/>
        <w:spacing w:line="360" w:lineRule="auto"/>
        <w:rPr>
          <w:rFonts w:hint="eastAsia" w:cs="宋体"/>
          <w:szCs w:val="21"/>
        </w:rPr>
      </w:pPr>
      <w:r>
        <w:rPr>
          <w:rFonts w:hint="eastAsia" w:cs="宋体"/>
          <w:szCs w:val="21"/>
        </w:rPr>
        <w:t xml:space="preserve">签订时间：    年   月   日 </w:t>
      </w:r>
    </w:p>
    <w:p>
      <w:pPr>
        <w:pStyle w:val="14"/>
        <w:widowControl/>
        <w:snapToGrid w:val="0"/>
        <w:spacing w:before="120" w:beforeLines="50" w:after="120" w:afterLines="50" w:line="440" w:lineRule="atLeast"/>
        <w:ind w:firstLine="210"/>
        <w:jc w:val="left"/>
        <w:outlineLvl w:val="0"/>
        <w:rPr>
          <w:rFonts w:hint="eastAsia" w:hAnsi="宋体" w:cs="宋体"/>
          <w:b/>
          <w:kern w:val="0"/>
        </w:rPr>
      </w:pPr>
      <w:r>
        <w:br w:type="page"/>
      </w:r>
      <w:r>
        <w:rPr>
          <w:rFonts w:hint="eastAsia"/>
          <w:b/>
          <w:bCs/>
        </w:rPr>
        <w:t>附件</w:t>
      </w:r>
      <w:r>
        <w:rPr>
          <w:b/>
          <w:bCs/>
        </w:rPr>
        <w:t>4</w:t>
      </w:r>
      <w:r>
        <w:rPr>
          <w:rFonts w:hint="eastAsia"/>
          <w:b/>
          <w:bCs/>
        </w:rPr>
        <w:t>：</w:t>
      </w:r>
    </w:p>
    <w:p>
      <w:pPr>
        <w:spacing w:line="220" w:lineRule="atLeast"/>
        <w:jc w:val="center"/>
        <w:rPr>
          <w:rFonts w:hint="eastAsia" w:cs="宋体"/>
          <w:b/>
          <w:szCs w:val="21"/>
          <w:lang w:bidi="ar"/>
        </w:rPr>
      </w:pPr>
    </w:p>
    <w:p>
      <w:pPr>
        <w:jc w:val="center"/>
        <w:rPr>
          <w:rFonts w:hint="eastAsia"/>
          <w:b/>
          <w:szCs w:val="21"/>
        </w:rPr>
      </w:pPr>
      <w:r>
        <w:rPr>
          <w:rFonts w:hint="eastAsia"/>
          <w:b/>
          <w:szCs w:val="21"/>
        </w:rPr>
        <w:t>环保卫生管理协议书</w:t>
      </w:r>
    </w:p>
    <w:p>
      <w:pPr>
        <w:snapToGrid w:val="0"/>
        <w:spacing w:line="360" w:lineRule="auto"/>
        <w:rPr>
          <w:rFonts w:hint="eastAsia"/>
          <w:szCs w:val="21"/>
        </w:rPr>
      </w:pPr>
      <w:r>
        <w:rPr>
          <w:rFonts w:hint="eastAsia"/>
          <w:szCs w:val="21"/>
        </w:rPr>
        <w:t xml:space="preserve">甲方：                                       </w:t>
      </w:r>
    </w:p>
    <w:p>
      <w:pPr>
        <w:spacing w:line="360" w:lineRule="auto"/>
        <w:rPr>
          <w:rFonts w:hint="eastAsia"/>
          <w:szCs w:val="21"/>
        </w:rPr>
      </w:pPr>
      <w:r>
        <w:rPr>
          <w:rFonts w:hint="eastAsia"/>
          <w:szCs w:val="21"/>
        </w:rPr>
        <w:t xml:space="preserve">住所：                                          </w:t>
      </w:r>
    </w:p>
    <w:p>
      <w:pPr>
        <w:spacing w:line="360" w:lineRule="auto"/>
        <w:rPr>
          <w:rFonts w:hint="eastAsia"/>
          <w:szCs w:val="21"/>
        </w:rPr>
      </w:pPr>
      <w:r>
        <w:rPr>
          <w:rFonts w:hint="eastAsia"/>
          <w:szCs w:val="21"/>
        </w:rPr>
        <w:t xml:space="preserve">联系人：                                          </w:t>
      </w:r>
    </w:p>
    <w:p>
      <w:pPr>
        <w:spacing w:line="360" w:lineRule="auto"/>
        <w:rPr>
          <w:rFonts w:hint="eastAsia"/>
          <w:szCs w:val="21"/>
        </w:rPr>
      </w:pPr>
      <w:r>
        <w:rPr>
          <w:rFonts w:hint="eastAsia"/>
          <w:szCs w:val="21"/>
        </w:rPr>
        <w:t xml:space="preserve">乙方：                                          </w:t>
      </w:r>
    </w:p>
    <w:p>
      <w:pPr>
        <w:spacing w:line="360" w:lineRule="auto"/>
        <w:rPr>
          <w:rFonts w:hint="eastAsia"/>
          <w:szCs w:val="21"/>
        </w:rPr>
      </w:pPr>
      <w:r>
        <w:rPr>
          <w:rFonts w:hint="eastAsia"/>
          <w:szCs w:val="21"/>
        </w:rPr>
        <w:t xml:space="preserve">住所：                                          </w:t>
      </w:r>
    </w:p>
    <w:p>
      <w:pPr>
        <w:spacing w:line="360" w:lineRule="auto"/>
        <w:rPr>
          <w:rFonts w:hint="eastAsia"/>
          <w:szCs w:val="21"/>
        </w:rPr>
      </w:pPr>
      <w:r>
        <w:rPr>
          <w:rFonts w:hint="eastAsia"/>
          <w:szCs w:val="21"/>
        </w:rPr>
        <w:t xml:space="preserve">联系人：                                         </w:t>
      </w:r>
    </w:p>
    <w:p>
      <w:pPr>
        <w:spacing w:line="360" w:lineRule="auto"/>
        <w:ind w:firstLine="420" w:firstLineChars="200"/>
        <w:rPr>
          <w:rFonts w:hint="eastAsia"/>
          <w:szCs w:val="21"/>
        </w:rPr>
      </w:pPr>
      <w:r>
        <w:rPr>
          <w:rFonts w:hint="eastAsia"/>
          <w:szCs w:val="21"/>
        </w:rPr>
        <w:t>为保护环境，实现企业可持续发展的根本保证，降低资源的耗能，改善生态环境。根据国家《环境保护法》、《固体废物污染环境防治法》、等有关法律法规，服从行业管理，接受有关单位监督检查，经甲乙双方平等协商一致，签订本协议，望双方共同遵守。</w:t>
      </w:r>
    </w:p>
    <w:p>
      <w:pPr>
        <w:spacing w:line="360" w:lineRule="auto"/>
        <w:ind w:firstLine="420" w:firstLineChars="200"/>
        <w:rPr>
          <w:rFonts w:hint="eastAsia"/>
          <w:szCs w:val="21"/>
        </w:rPr>
      </w:pPr>
      <w:r>
        <w:rPr>
          <w:rFonts w:hint="eastAsia"/>
          <w:szCs w:val="21"/>
        </w:rPr>
        <w:t>一、甲方责任和权利</w:t>
      </w:r>
    </w:p>
    <w:p>
      <w:pPr>
        <w:spacing w:line="360" w:lineRule="auto"/>
        <w:ind w:firstLine="420" w:firstLineChars="200"/>
        <w:rPr>
          <w:rFonts w:hint="eastAsia"/>
          <w:szCs w:val="21"/>
        </w:rPr>
      </w:pPr>
      <w:r>
        <w:rPr>
          <w:rFonts w:hint="eastAsia"/>
          <w:szCs w:val="21"/>
        </w:rPr>
        <w:t>1.甲方应按照国家有关环境保护政策、法律、法规为乙方人员提供合理的生产作业环境，甲方应对乙方提出的改善生产环境、消除不安全因素的合理化建议予以采纳，并进行整改。</w:t>
      </w:r>
    </w:p>
    <w:p>
      <w:pPr>
        <w:spacing w:line="360" w:lineRule="auto"/>
        <w:ind w:firstLine="420" w:firstLineChars="200"/>
        <w:rPr>
          <w:rFonts w:hint="eastAsia"/>
          <w:szCs w:val="21"/>
        </w:rPr>
      </w:pPr>
      <w:r>
        <w:rPr>
          <w:rFonts w:hint="eastAsia"/>
          <w:szCs w:val="21"/>
        </w:rPr>
        <w:t>2.甲方应根据承包作业工艺和环境的具体情况，有权要求乙方落实环境保护防范措施。</w:t>
      </w:r>
    </w:p>
    <w:p>
      <w:pPr>
        <w:spacing w:line="360" w:lineRule="auto"/>
        <w:ind w:firstLine="420" w:firstLineChars="200"/>
        <w:rPr>
          <w:rFonts w:hint="eastAsia"/>
          <w:szCs w:val="21"/>
        </w:rPr>
      </w:pPr>
      <w:r>
        <w:rPr>
          <w:rFonts w:hint="eastAsia"/>
          <w:szCs w:val="21"/>
        </w:rPr>
        <w:t>3.甲方要求乙方遵守甲方有关环境保护管理制度、规定、守则、规程, 并对乙方承包作业过程实施督查。</w:t>
      </w:r>
    </w:p>
    <w:p>
      <w:pPr>
        <w:spacing w:line="360" w:lineRule="auto"/>
        <w:ind w:firstLine="420" w:firstLineChars="200"/>
        <w:rPr>
          <w:rFonts w:hint="eastAsia"/>
          <w:szCs w:val="21"/>
        </w:rPr>
      </w:pPr>
      <w:r>
        <w:rPr>
          <w:rFonts w:hint="eastAsia"/>
          <w:szCs w:val="21"/>
        </w:rPr>
        <w:t>4.甲方按照施工区域环境保护管理的有关规定，实施对乙方在承包施工作业过程中的违章、违规行为进行查处、纠正，并要求乙方对违规者进行处罚教育。对乙方在环境保护管理方面存在的问题提出整改意见和要求，对存在严重的环保问题有权责令乙方停止生产并限期整改。</w:t>
      </w:r>
    </w:p>
    <w:p>
      <w:pPr>
        <w:spacing w:line="360" w:lineRule="auto"/>
        <w:ind w:firstLine="422" w:firstLineChars="200"/>
        <w:rPr>
          <w:rFonts w:hint="eastAsia"/>
          <w:b/>
          <w:szCs w:val="21"/>
        </w:rPr>
      </w:pPr>
      <w:r>
        <w:rPr>
          <w:rFonts w:hint="eastAsia"/>
          <w:b/>
          <w:szCs w:val="21"/>
        </w:rPr>
        <w:t>5.甲方对其本合同项下的权利与责义务行使情况，不能成为甲方承担不利后果的理由，乙方不得据此要求甲方承担责任或要求据此减轻乙方责任。</w:t>
      </w:r>
    </w:p>
    <w:p>
      <w:pPr>
        <w:spacing w:line="360" w:lineRule="auto"/>
        <w:ind w:firstLine="420" w:firstLineChars="200"/>
        <w:rPr>
          <w:rFonts w:hint="eastAsia"/>
          <w:szCs w:val="21"/>
        </w:rPr>
      </w:pPr>
      <w:r>
        <w:rPr>
          <w:rFonts w:hint="eastAsia"/>
          <w:szCs w:val="21"/>
        </w:rPr>
        <w:t>二、乙方责任和权利</w:t>
      </w:r>
    </w:p>
    <w:p>
      <w:pPr>
        <w:spacing w:line="360" w:lineRule="auto"/>
        <w:ind w:firstLine="420" w:firstLineChars="200"/>
        <w:rPr>
          <w:rFonts w:hint="eastAsia"/>
          <w:szCs w:val="21"/>
        </w:rPr>
      </w:pPr>
      <w:r>
        <w:rPr>
          <w:rFonts w:hint="eastAsia"/>
          <w:szCs w:val="21"/>
        </w:rPr>
        <w:t>1.乙方必须按照《中华人民共和国环境保护法》全面负责承包施工范围内环境保护职责，对承包作业的工艺流程实施环保管理和督查。落实作业过程中的环境保护措施，做好相关环保工作。</w:t>
      </w:r>
    </w:p>
    <w:p>
      <w:pPr>
        <w:spacing w:line="360" w:lineRule="auto"/>
        <w:ind w:firstLine="420" w:firstLineChars="200"/>
        <w:rPr>
          <w:rFonts w:hint="eastAsia"/>
          <w:szCs w:val="21"/>
        </w:rPr>
      </w:pPr>
      <w:r>
        <w:rPr>
          <w:rFonts w:hint="eastAsia"/>
          <w:szCs w:val="21"/>
        </w:rPr>
        <w:t>2.乙方必须遵守国家有关环境保护法律法规和甲方有关规章制度，服从甲方现场管理人员管理。同时，乙方应根据国家规定和甲方要求建立并完善相关的环保管理制度及环保管理台账。</w:t>
      </w:r>
    </w:p>
    <w:p>
      <w:pPr>
        <w:spacing w:line="360" w:lineRule="auto"/>
        <w:ind w:firstLine="420" w:firstLineChars="200"/>
        <w:rPr>
          <w:rFonts w:hint="eastAsia"/>
          <w:szCs w:val="21"/>
        </w:rPr>
      </w:pPr>
      <w:r>
        <w:rPr>
          <w:rFonts w:hint="eastAsia"/>
          <w:szCs w:val="21"/>
        </w:rPr>
        <w:t>3. 乙方要组织开展环境保护的宣传教育工作，提高职工环保意识。并积极组织人员参加由甲方提供的各类环境保护的知识培训。</w:t>
      </w:r>
    </w:p>
    <w:p>
      <w:pPr>
        <w:spacing w:line="360" w:lineRule="auto"/>
        <w:ind w:firstLine="420" w:firstLineChars="200"/>
        <w:rPr>
          <w:rFonts w:hint="eastAsia"/>
          <w:szCs w:val="21"/>
        </w:rPr>
      </w:pPr>
      <w:r>
        <w:rPr>
          <w:rFonts w:hint="eastAsia"/>
          <w:szCs w:val="21"/>
        </w:rPr>
        <w:t>4.乙方在组织承包施工作业过程中，严格落实环保管理规定，消除各项污染（包括但不限于粉尘、大气、噪声污染等），实行文明绿色环保作业。并服从甲方对其环保工作的统一协调、检查和督促。</w:t>
      </w:r>
    </w:p>
    <w:p>
      <w:pPr>
        <w:spacing w:line="360" w:lineRule="auto"/>
        <w:ind w:firstLine="420" w:firstLineChars="200"/>
        <w:rPr>
          <w:rFonts w:hint="eastAsia"/>
          <w:szCs w:val="21"/>
        </w:rPr>
      </w:pPr>
      <w:r>
        <w:rPr>
          <w:rFonts w:hint="eastAsia"/>
          <w:szCs w:val="21"/>
        </w:rPr>
        <w:t>5.乙方要对承包作业现场的环境保护工作进行监管，并可对承包作业环境的环保隐患向甲方提出合理化建议。对监管单位签发的关于环境保护的隐患整改通知书，乙方应做到认真整改，及时向甲方及监管单位反馈整改情况。</w:t>
      </w:r>
    </w:p>
    <w:p>
      <w:pPr>
        <w:spacing w:line="360" w:lineRule="auto"/>
        <w:ind w:firstLine="420" w:firstLineChars="200"/>
        <w:rPr>
          <w:rFonts w:hint="eastAsia"/>
          <w:szCs w:val="21"/>
        </w:rPr>
      </w:pPr>
      <w:r>
        <w:rPr>
          <w:rFonts w:hint="eastAsia"/>
          <w:szCs w:val="21"/>
        </w:rPr>
        <w:t>6.乙方需指定相关操作人员做好环保设备、设施的使用和常规检查，严禁无关人员擅自使用环保设施、设备。</w:t>
      </w:r>
    </w:p>
    <w:p>
      <w:pPr>
        <w:spacing w:line="360" w:lineRule="auto"/>
        <w:ind w:firstLine="420" w:firstLineChars="200"/>
        <w:rPr>
          <w:rFonts w:hint="eastAsia"/>
          <w:szCs w:val="21"/>
        </w:rPr>
      </w:pPr>
      <w:r>
        <w:rPr>
          <w:rFonts w:hint="eastAsia"/>
          <w:szCs w:val="21"/>
        </w:rPr>
        <w:t>7.实行卫生包干区制度，组织责任区内环境卫生检查，做好检查记录。</w:t>
      </w:r>
    </w:p>
    <w:p>
      <w:pPr>
        <w:spacing w:line="360" w:lineRule="auto"/>
        <w:ind w:firstLine="420" w:firstLineChars="200"/>
        <w:rPr>
          <w:rFonts w:hint="eastAsia"/>
          <w:szCs w:val="21"/>
        </w:rPr>
      </w:pPr>
      <w:r>
        <w:rPr>
          <w:rFonts w:hint="eastAsia"/>
          <w:szCs w:val="21"/>
        </w:rPr>
        <w:t>8.乙方应合理地使用日常资源（如水、电等），养成随手开关、人离开关（阀门）闭地的良好习惯，做到既节约能源、又确保安全。</w:t>
      </w:r>
    </w:p>
    <w:p>
      <w:pPr>
        <w:spacing w:line="360" w:lineRule="auto"/>
        <w:ind w:firstLine="420" w:firstLineChars="200"/>
        <w:rPr>
          <w:rFonts w:hint="eastAsia"/>
          <w:szCs w:val="21"/>
        </w:rPr>
      </w:pPr>
      <w:r>
        <w:rPr>
          <w:rFonts w:hint="eastAsia"/>
          <w:szCs w:val="21"/>
        </w:rPr>
        <w:t>9.乙方在生产过程中，应尽量减少污水的产生，并合法、恰当、合理地处理日常污水的排放。</w:t>
      </w:r>
    </w:p>
    <w:p>
      <w:pPr>
        <w:spacing w:line="360" w:lineRule="auto"/>
        <w:ind w:firstLine="420" w:firstLineChars="200"/>
        <w:rPr>
          <w:rFonts w:hint="eastAsia"/>
          <w:szCs w:val="21"/>
        </w:rPr>
      </w:pPr>
      <w:r>
        <w:rPr>
          <w:rFonts w:hint="eastAsia"/>
          <w:szCs w:val="21"/>
        </w:rPr>
        <w:t>10.施工区域内甲方的环保设施（设备）、环保器材，未经甲方书面许可，任何人不得擅自动用或挪作他用，损坏按价赔偿。</w:t>
      </w:r>
    </w:p>
    <w:p>
      <w:pPr>
        <w:spacing w:line="360" w:lineRule="auto"/>
        <w:ind w:firstLine="420" w:firstLineChars="200"/>
        <w:rPr>
          <w:rFonts w:hint="eastAsia"/>
          <w:szCs w:val="21"/>
        </w:rPr>
      </w:pPr>
      <w:r>
        <w:rPr>
          <w:rFonts w:hint="eastAsia"/>
          <w:szCs w:val="21"/>
        </w:rPr>
        <w:t>11.乙方有义务积极参与甲方的各种环保应急工作。</w:t>
      </w:r>
    </w:p>
    <w:p>
      <w:pPr>
        <w:spacing w:line="360" w:lineRule="auto"/>
        <w:ind w:firstLine="420" w:firstLineChars="200"/>
        <w:rPr>
          <w:rFonts w:hint="eastAsia"/>
          <w:szCs w:val="21"/>
        </w:rPr>
      </w:pPr>
      <w:r>
        <w:rPr>
          <w:rFonts w:hint="eastAsia"/>
          <w:szCs w:val="21"/>
        </w:rPr>
        <w:t>三、事故处理</w:t>
      </w:r>
    </w:p>
    <w:p>
      <w:pPr>
        <w:spacing w:line="360" w:lineRule="auto"/>
        <w:ind w:firstLine="420" w:firstLineChars="200"/>
        <w:rPr>
          <w:rFonts w:hint="eastAsia"/>
          <w:szCs w:val="21"/>
        </w:rPr>
      </w:pPr>
      <w:r>
        <w:rPr>
          <w:rFonts w:hint="eastAsia"/>
          <w:szCs w:val="21"/>
        </w:rPr>
        <w:t>1.因乙方未按甲方要求，或未尽乙方自身职责疏于管理及违章违法作业，发生环境保护事故的，乙方要承担方对事故负全部责任。若甲方因该事故被环保部门或甲方上级公司处罚的或对外垫付责任的，乙方需承担甲方因处罚遭受的经济损失或甲方有权向乙方追偿。</w:t>
      </w:r>
    </w:p>
    <w:p>
      <w:pPr>
        <w:spacing w:line="360" w:lineRule="auto"/>
        <w:ind w:firstLine="420" w:firstLineChars="200"/>
        <w:rPr>
          <w:rFonts w:hint="eastAsia"/>
          <w:szCs w:val="21"/>
        </w:rPr>
      </w:pPr>
      <w:r>
        <w:rPr>
          <w:rFonts w:hint="eastAsia"/>
          <w:szCs w:val="21"/>
        </w:rPr>
        <w:t>2.如乙方环境保护管理不善，事故防范措施落实不力，事故、违章行为二次以上（含本数），视为乙方重大违约，乙方应支付违约金</w:t>
      </w:r>
      <w:r>
        <w:rPr>
          <w:rFonts w:hint="eastAsia"/>
          <w:szCs w:val="21"/>
          <w:u w:val="single"/>
        </w:rPr>
        <w:t xml:space="preserve">1000 </w:t>
      </w:r>
      <w:r>
        <w:rPr>
          <w:rFonts w:hint="eastAsia"/>
          <w:szCs w:val="21"/>
        </w:rPr>
        <w:t>元，甲方有权要求乙方对相关责任人员进行解聘，且甲方有权选择解除本主合同，由此产生的一切后果与责任均由乙方自行处理并负责，违约金不足以弥补甲方损失，乙方还应赔偿甲方损失。</w:t>
      </w:r>
    </w:p>
    <w:p>
      <w:pPr>
        <w:spacing w:line="360" w:lineRule="auto"/>
        <w:ind w:firstLine="420" w:firstLineChars="200"/>
        <w:rPr>
          <w:rFonts w:hint="eastAsia"/>
          <w:szCs w:val="21"/>
        </w:rPr>
      </w:pPr>
      <w:r>
        <w:rPr>
          <w:rFonts w:hint="eastAsia"/>
          <w:szCs w:val="21"/>
        </w:rPr>
        <w:t>四、本协议各项规定适用于协议双方，如遇有同国家和政府有关法律、法规不符的按国家和政府的有关规定执行。</w:t>
      </w:r>
    </w:p>
    <w:p>
      <w:pPr>
        <w:spacing w:line="360" w:lineRule="auto"/>
        <w:ind w:firstLine="420" w:firstLineChars="200"/>
        <w:rPr>
          <w:rFonts w:hint="eastAsia"/>
          <w:szCs w:val="21"/>
        </w:rPr>
      </w:pPr>
      <w:r>
        <w:rPr>
          <w:rFonts w:hint="eastAsia"/>
          <w:szCs w:val="21"/>
        </w:rPr>
        <w:t>五、在执行本协议过程中产生的或与本协议有关的争议及分歧，双方应通过友好协商解决，争议解决方式与主合同保持一致。</w:t>
      </w:r>
    </w:p>
    <w:p>
      <w:pPr>
        <w:spacing w:line="360" w:lineRule="auto"/>
        <w:ind w:firstLine="420" w:firstLineChars="200"/>
        <w:rPr>
          <w:rFonts w:hint="eastAsia"/>
          <w:szCs w:val="21"/>
        </w:rPr>
      </w:pPr>
      <w:r>
        <w:rPr>
          <w:rFonts w:hint="eastAsia"/>
          <w:szCs w:val="21"/>
        </w:rPr>
        <w:t>六、本协议未尽事宜，双方协商解决。</w:t>
      </w:r>
    </w:p>
    <w:p>
      <w:pPr>
        <w:spacing w:line="360" w:lineRule="auto"/>
        <w:ind w:firstLine="420" w:firstLineChars="200"/>
        <w:rPr>
          <w:rFonts w:hint="eastAsia"/>
          <w:szCs w:val="21"/>
        </w:rPr>
      </w:pPr>
      <w:r>
        <w:rPr>
          <w:rFonts w:hint="eastAsia"/>
          <w:szCs w:val="21"/>
        </w:rPr>
        <w:t>七、本协议经甲乙双方签名盖章有效。本协议</w:t>
      </w:r>
      <w:r>
        <w:rPr>
          <w:rFonts w:hint="eastAsia"/>
          <w:szCs w:val="21"/>
          <w:u w:val="single"/>
        </w:rPr>
        <w:t xml:space="preserve"> 壹 </w:t>
      </w:r>
      <w:r>
        <w:rPr>
          <w:rFonts w:hint="eastAsia"/>
          <w:szCs w:val="21"/>
        </w:rPr>
        <w:t>式</w:t>
      </w:r>
      <w:r>
        <w:rPr>
          <w:rFonts w:hint="eastAsia"/>
          <w:szCs w:val="21"/>
          <w:u w:val="single"/>
        </w:rPr>
        <w:t xml:space="preserve"> 肆</w:t>
      </w:r>
      <w:r>
        <w:rPr>
          <w:rFonts w:hint="eastAsia"/>
          <w:szCs w:val="21"/>
        </w:rPr>
        <w:t xml:space="preserve">份，甲乙双方各执 </w:t>
      </w:r>
      <w:r>
        <w:rPr>
          <w:rFonts w:hint="eastAsia"/>
          <w:szCs w:val="21"/>
          <w:u w:val="single"/>
        </w:rPr>
        <w:t>贰</w:t>
      </w:r>
      <w:r>
        <w:rPr>
          <w:rFonts w:hint="eastAsia"/>
          <w:szCs w:val="21"/>
        </w:rPr>
        <w:t>份，具有同等法律效力。本协议自双方加盖公章或合同章之日起生效，至主合同到期之日止。</w:t>
      </w:r>
    </w:p>
    <w:p>
      <w:pPr>
        <w:spacing w:line="360" w:lineRule="auto"/>
        <w:rPr>
          <w:rFonts w:hint="eastAsia"/>
          <w:szCs w:val="21"/>
        </w:rPr>
      </w:pPr>
    </w:p>
    <w:p>
      <w:pPr>
        <w:snapToGrid w:val="0"/>
        <w:spacing w:line="360" w:lineRule="auto"/>
        <w:rPr>
          <w:rFonts w:hint="eastAsia"/>
          <w:szCs w:val="21"/>
        </w:rPr>
      </w:pPr>
      <w:r>
        <w:rPr>
          <w:rFonts w:hint="eastAsia"/>
          <w:szCs w:val="21"/>
        </w:rPr>
        <w:t>甲方：（盖章）　　　　　　　　　</w:t>
      </w:r>
      <w:r>
        <w:rPr>
          <w:rFonts w:hint="eastAsia"/>
          <w:szCs w:val="21"/>
        </w:rPr>
        <w:tab/>
      </w:r>
      <w:r>
        <w:rPr>
          <w:rFonts w:hint="eastAsia"/>
          <w:szCs w:val="21"/>
        </w:rPr>
        <w:t xml:space="preserve">    乙方：（盖章）</w:t>
      </w:r>
    </w:p>
    <w:p>
      <w:pPr>
        <w:snapToGrid w:val="0"/>
        <w:spacing w:line="360" w:lineRule="auto"/>
        <w:rPr>
          <w:rFonts w:hint="eastAsia"/>
          <w:szCs w:val="21"/>
        </w:rPr>
      </w:pPr>
      <w:r>
        <w:rPr>
          <w:rFonts w:hint="eastAsia"/>
          <w:szCs w:val="21"/>
        </w:rPr>
        <w:t>　</w:t>
      </w:r>
    </w:p>
    <w:p>
      <w:pPr>
        <w:snapToGrid w:val="0"/>
        <w:spacing w:line="360" w:lineRule="auto"/>
        <w:rPr>
          <w:rFonts w:hint="eastAsia"/>
          <w:szCs w:val="21"/>
        </w:rPr>
      </w:pPr>
      <w:r>
        <w:rPr>
          <w:rFonts w:hint="eastAsia"/>
          <w:szCs w:val="21"/>
        </w:rPr>
        <w:t>法定代表人或　　　　　　　　　　       法定代表人或</w:t>
      </w:r>
    </w:p>
    <w:p>
      <w:pPr>
        <w:snapToGrid w:val="0"/>
        <w:spacing w:line="360" w:lineRule="auto"/>
        <w:rPr>
          <w:rFonts w:hint="eastAsia"/>
          <w:szCs w:val="21"/>
        </w:rPr>
      </w:pPr>
      <w:r>
        <w:rPr>
          <w:rFonts w:hint="eastAsia"/>
          <w:szCs w:val="21"/>
        </w:rPr>
        <w:t xml:space="preserve">授权代表（签名或盖章）：       　      授权代表（签名或盖章）：   </w:t>
      </w:r>
    </w:p>
    <w:p>
      <w:pPr>
        <w:snapToGrid w:val="0"/>
        <w:spacing w:line="360" w:lineRule="auto"/>
        <w:rPr>
          <w:rFonts w:hint="eastAsia"/>
          <w:szCs w:val="21"/>
        </w:rPr>
      </w:pPr>
    </w:p>
    <w:p>
      <w:pPr>
        <w:snapToGrid w:val="0"/>
        <w:spacing w:line="360" w:lineRule="auto"/>
        <w:rPr>
          <w:rFonts w:hint="eastAsia"/>
          <w:szCs w:val="21"/>
        </w:rPr>
      </w:pPr>
    </w:p>
    <w:p>
      <w:pPr>
        <w:snapToGrid w:val="0"/>
        <w:spacing w:line="360" w:lineRule="auto"/>
        <w:jc w:val="right"/>
        <w:rPr>
          <w:rFonts w:hint="eastAsia"/>
          <w:szCs w:val="21"/>
        </w:rPr>
      </w:pPr>
      <w:r>
        <w:rPr>
          <w:rFonts w:hint="eastAsia"/>
          <w:szCs w:val="21"/>
        </w:rPr>
        <w:t>签订时间：    年   月   日　</w:t>
      </w: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snapToGrid w:val="0"/>
        <w:spacing w:line="360" w:lineRule="auto"/>
        <w:jc w:val="right"/>
        <w:rPr>
          <w:rFonts w:hint="eastAsia"/>
          <w:sz w:val="24"/>
        </w:rPr>
      </w:pPr>
    </w:p>
    <w:p>
      <w:pPr>
        <w:widowControl/>
        <w:snapToGrid w:val="0"/>
        <w:spacing w:before="120" w:beforeLines="50" w:after="120" w:afterLines="50" w:line="360" w:lineRule="auto"/>
        <w:jc w:val="right"/>
        <w:outlineLvl w:val="0"/>
        <w:rPr>
          <w:rFonts w:hint="eastAsia" w:cs="宋体"/>
          <w:b/>
          <w:kern w:val="0"/>
        </w:rPr>
      </w:pPr>
      <w:r>
        <w:rPr>
          <w:rFonts w:hint="eastAsia"/>
          <w:sz w:val="24"/>
        </w:rPr>
        <w:t xml:space="preserve">　　    </w:t>
      </w:r>
    </w:p>
    <w:p>
      <w:pPr>
        <w:pStyle w:val="14"/>
        <w:widowControl/>
        <w:snapToGrid w:val="0"/>
        <w:spacing w:before="120" w:beforeLines="50" w:after="120" w:afterLines="50" w:line="440" w:lineRule="atLeast"/>
        <w:jc w:val="left"/>
        <w:outlineLvl w:val="0"/>
        <w:rPr>
          <w:rFonts w:hint="eastAsia" w:hAnsi="宋体" w:cs="宋体"/>
          <w:b/>
          <w:kern w:val="0"/>
        </w:rPr>
      </w:pPr>
      <w:r>
        <w:rPr>
          <w:rFonts w:hint="eastAsia" w:hAnsi="宋体" w:cs="宋体"/>
          <w:b/>
          <w:kern w:val="0"/>
        </w:rPr>
        <w:t>附件5：</w:t>
      </w:r>
    </w:p>
    <w:p>
      <w:pPr>
        <w:spacing w:line="640" w:lineRule="exact"/>
        <w:jc w:val="center"/>
        <w:rPr>
          <w:rFonts w:hint="eastAsia"/>
          <w:b/>
          <w:szCs w:val="21"/>
        </w:rPr>
      </w:pPr>
      <w:r>
        <w:rPr>
          <w:rFonts w:hint="eastAsia"/>
          <w:b/>
          <w:szCs w:val="21"/>
        </w:rPr>
        <w:t>消防安全管理协议书</w:t>
      </w:r>
    </w:p>
    <w:p>
      <w:pPr>
        <w:snapToGrid w:val="0"/>
        <w:spacing w:line="360" w:lineRule="auto"/>
        <w:rPr>
          <w:rFonts w:hint="eastAsia"/>
          <w:szCs w:val="21"/>
        </w:rPr>
      </w:pPr>
      <w:r>
        <w:rPr>
          <w:rFonts w:hint="eastAsia"/>
          <w:szCs w:val="21"/>
        </w:rPr>
        <w:t xml:space="preserve">甲方：                                    </w:t>
      </w:r>
    </w:p>
    <w:p>
      <w:pPr>
        <w:spacing w:line="360" w:lineRule="auto"/>
        <w:rPr>
          <w:rFonts w:hint="eastAsia"/>
          <w:szCs w:val="21"/>
        </w:rPr>
      </w:pPr>
      <w:r>
        <w:rPr>
          <w:rFonts w:hint="eastAsia"/>
          <w:szCs w:val="21"/>
        </w:rPr>
        <w:t xml:space="preserve">住所：                                          </w:t>
      </w:r>
    </w:p>
    <w:p>
      <w:pPr>
        <w:spacing w:line="360" w:lineRule="auto"/>
        <w:rPr>
          <w:rFonts w:hint="eastAsia"/>
          <w:szCs w:val="21"/>
        </w:rPr>
      </w:pPr>
      <w:r>
        <w:rPr>
          <w:rFonts w:hint="eastAsia"/>
          <w:szCs w:val="21"/>
        </w:rPr>
        <w:t xml:space="preserve">联系人：                                          </w:t>
      </w:r>
    </w:p>
    <w:p>
      <w:pPr>
        <w:spacing w:line="360" w:lineRule="auto"/>
        <w:rPr>
          <w:rFonts w:hint="eastAsia"/>
          <w:szCs w:val="21"/>
        </w:rPr>
      </w:pPr>
      <w:r>
        <w:rPr>
          <w:rFonts w:hint="eastAsia"/>
          <w:szCs w:val="21"/>
        </w:rPr>
        <w:t xml:space="preserve">乙方：                                           </w:t>
      </w:r>
    </w:p>
    <w:p>
      <w:pPr>
        <w:spacing w:line="360" w:lineRule="auto"/>
        <w:rPr>
          <w:rFonts w:hint="eastAsia"/>
          <w:szCs w:val="21"/>
        </w:rPr>
      </w:pPr>
      <w:r>
        <w:rPr>
          <w:rFonts w:hint="eastAsia"/>
          <w:szCs w:val="21"/>
        </w:rPr>
        <w:t xml:space="preserve">住所：                                           </w:t>
      </w:r>
    </w:p>
    <w:p>
      <w:pPr>
        <w:spacing w:line="360" w:lineRule="auto"/>
        <w:rPr>
          <w:rFonts w:hint="eastAsia"/>
          <w:szCs w:val="21"/>
        </w:rPr>
      </w:pPr>
      <w:r>
        <w:rPr>
          <w:rFonts w:hint="eastAsia"/>
          <w:szCs w:val="21"/>
        </w:rPr>
        <w:t xml:space="preserve">联系人：                                         </w:t>
      </w:r>
    </w:p>
    <w:p>
      <w:pPr>
        <w:spacing w:line="360" w:lineRule="auto"/>
        <w:ind w:firstLine="420" w:firstLineChars="200"/>
        <w:rPr>
          <w:rFonts w:hint="eastAsia"/>
          <w:szCs w:val="21"/>
        </w:rPr>
      </w:pPr>
      <w:r>
        <w:rPr>
          <w:rFonts w:hint="eastAsia"/>
          <w:szCs w:val="21"/>
        </w:rPr>
        <w:t>为了贯彻落实《中华人民共和国消防法》、《浙江省消防条例》等法律法规精神，为进一步强化施工区域消防安全管理，杜绝与防止火灾事故的发生，保障人的生命和财产安全。结合实际，经甲乙双方协商一致，特签订本管理协议。</w:t>
      </w:r>
    </w:p>
    <w:p>
      <w:pPr>
        <w:spacing w:line="360" w:lineRule="auto"/>
        <w:ind w:firstLine="420" w:firstLineChars="200"/>
        <w:rPr>
          <w:rFonts w:hint="eastAsia"/>
          <w:szCs w:val="21"/>
        </w:rPr>
      </w:pPr>
      <w:r>
        <w:rPr>
          <w:rFonts w:hint="eastAsia"/>
          <w:szCs w:val="21"/>
        </w:rPr>
        <w:t>一、甲方的责任和权利</w:t>
      </w:r>
    </w:p>
    <w:p>
      <w:pPr>
        <w:spacing w:line="360" w:lineRule="auto"/>
        <w:ind w:firstLine="420" w:firstLineChars="200"/>
        <w:rPr>
          <w:rFonts w:hint="eastAsia"/>
          <w:szCs w:val="21"/>
        </w:rPr>
      </w:pPr>
      <w:r>
        <w:rPr>
          <w:rFonts w:hint="eastAsia"/>
          <w:szCs w:val="21"/>
        </w:rPr>
        <w:t>1.</w:t>
      </w:r>
      <w:r>
        <w:rPr>
          <w:rFonts w:hint="eastAsia" w:cs="宋体"/>
          <w:szCs w:val="21"/>
        </w:rPr>
        <w:t xml:space="preserve"> </w:t>
      </w:r>
      <w:r>
        <w:rPr>
          <w:rFonts w:hint="eastAsia"/>
          <w:szCs w:val="21"/>
        </w:rPr>
        <w:t>甲方应及时传达有关部门、上级最新消防安全文件与工作要求，并在公共区域提供基本的消防设施设备。</w:t>
      </w:r>
    </w:p>
    <w:p>
      <w:pPr>
        <w:spacing w:line="360" w:lineRule="auto"/>
        <w:ind w:firstLine="420" w:firstLineChars="200"/>
        <w:rPr>
          <w:rFonts w:hint="eastAsia"/>
          <w:szCs w:val="21"/>
        </w:rPr>
      </w:pPr>
      <w:r>
        <w:rPr>
          <w:rFonts w:hint="eastAsia"/>
          <w:szCs w:val="21"/>
        </w:rPr>
        <w:t>2.</w:t>
      </w:r>
      <w:r>
        <w:rPr>
          <w:rFonts w:hint="eastAsia" w:cs="宋体"/>
          <w:szCs w:val="21"/>
        </w:rPr>
        <w:t xml:space="preserve"> </w:t>
      </w:r>
      <w:r>
        <w:rPr>
          <w:rFonts w:hint="eastAsia"/>
          <w:szCs w:val="21"/>
        </w:rPr>
        <w:t>甲方有权对乙方进行消防安全检查。在检查中，发现乙方违反有关消防法律法规的行为或存在火灾隐患，甲方有权提出整改意见并督促乙方直至整改完成。</w:t>
      </w:r>
    </w:p>
    <w:p>
      <w:pPr>
        <w:spacing w:line="360" w:lineRule="auto"/>
        <w:ind w:firstLine="420" w:firstLineChars="200"/>
        <w:rPr>
          <w:rFonts w:hint="eastAsia"/>
          <w:szCs w:val="21"/>
        </w:rPr>
      </w:pPr>
      <w:r>
        <w:rPr>
          <w:rFonts w:hint="eastAsia"/>
          <w:szCs w:val="21"/>
        </w:rPr>
        <w:t>3.发生火警时，紧急情况下甲方有权根据火情采取应急措施，不必征得乙方同意，因火灾引发的一切后果与责任均由乙方处理和承担。</w:t>
      </w:r>
    </w:p>
    <w:p>
      <w:pPr>
        <w:spacing w:line="360" w:lineRule="auto"/>
        <w:ind w:firstLine="422" w:firstLineChars="200"/>
        <w:rPr>
          <w:rFonts w:hint="eastAsia"/>
          <w:b/>
          <w:szCs w:val="21"/>
        </w:rPr>
      </w:pPr>
      <w:r>
        <w:rPr>
          <w:rFonts w:hint="eastAsia"/>
          <w:b/>
          <w:szCs w:val="21"/>
        </w:rPr>
        <w:t>4.</w:t>
      </w:r>
      <w:r>
        <w:rPr>
          <w:rFonts w:hint="eastAsia" w:cs="宋体"/>
          <w:szCs w:val="21"/>
        </w:rPr>
        <w:t xml:space="preserve"> </w:t>
      </w:r>
      <w:r>
        <w:rPr>
          <w:rFonts w:hint="eastAsia"/>
          <w:b/>
          <w:szCs w:val="21"/>
        </w:rPr>
        <w:t>甲方对其本合同项下的权利与义务的行使情况，不能成为甲方承担不利后果的理由，乙方不得据此要求甲方承担责任或要求据此减轻乙方责任。</w:t>
      </w:r>
    </w:p>
    <w:p>
      <w:pPr>
        <w:spacing w:line="360" w:lineRule="auto"/>
        <w:ind w:firstLine="420" w:firstLineChars="200"/>
        <w:rPr>
          <w:rFonts w:hint="eastAsia"/>
          <w:szCs w:val="21"/>
        </w:rPr>
      </w:pPr>
      <w:r>
        <w:rPr>
          <w:rFonts w:hint="eastAsia"/>
          <w:szCs w:val="21"/>
        </w:rPr>
        <w:t>二、乙方责任和权利</w:t>
      </w:r>
    </w:p>
    <w:p>
      <w:pPr>
        <w:spacing w:line="360" w:lineRule="auto"/>
        <w:ind w:firstLine="420" w:firstLineChars="200"/>
        <w:rPr>
          <w:rFonts w:hint="eastAsia"/>
          <w:szCs w:val="21"/>
        </w:rPr>
      </w:pPr>
      <w:r>
        <w:rPr>
          <w:rFonts w:hint="eastAsia"/>
          <w:szCs w:val="21"/>
        </w:rPr>
        <w:t>1.乙方法定代表人（或实际负责人）是该项目的消防责任人，对本单位的消防管理工作负全面责任。乙方必须接受甲方的监督、检查，对甲方提出的整改意见必须及时整改。</w:t>
      </w:r>
    </w:p>
    <w:p>
      <w:pPr>
        <w:spacing w:line="360" w:lineRule="auto"/>
        <w:ind w:firstLine="420" w:firstLineChars="200"/>
        <w:rPr>
          <w:rFonts w:hint="eastAsia"/>
          <w:szCs w:val="21"/>
        </w:rPr>
      </w:pPr>
      <w:r>
        <w:rPr>
          <w:rFonts w:hint="eastAsia"/>
          <w:szCs w:val="21"/>
        </w:rPr>
        <w:t>2.乙方需根据国家《建筑灭火器配置设计规范》等要求，配置符合规范的轻便灭火器材。建立健全承包（租赁）区域生产经营（生活）范围内的消防安全制度和措施，明确各级消防责任人，确定消防设施设备、器材检查人，落实日常的管理措施。</w:t>
      </w:r>
    </w:p>
    <w:p>
      <w:pPr>
        <w:spacing w:line="360" w:lineRule="auto"/>
        <w:ind w:firstLine="420" w:firstLineChars="200"/>
        <w:rPr>
          <w:rFonts w:hint="eastAsia"/>
          <w:szCs w:val="21"/>
        </w:rPr>
      </w:pPr>
      <w:r>
        <w:rPr>
          <w:rFonts w:hint="eastAsia"/>
          <w:szCs w:val="21"/>
        </w:rPr>
        <w:t>3.乙方要对其员工进行消防安全宣传教育，督促员工遵守消防法律法规和甲方的消防制度，组织员工参加各类消防培训及演练，使每位员工做到消防“四懂四会”。</w:t>
      </w:r>
    </w:p>
    <w:p>
      <w:pPr>
        <w:spacing w:line="360" w:lineRule="auto"/>
        <w:ind w:firstLine="420" w:firstLineChars="200"/>
        <w:rPr>
          <w:rFonts w:hint="eastAsia"/>
          <w:szCs w:val="21"/>
        </w:rPr>
      </w:pPr>
      <w:r>
        <w:rPr>
          <w:rFonts w:hint="eastAsia"/>
          <w:szCs w:val="21"/>
        </w:rPr>
        <w:t>4.妥善保管责任区内各类消防器材，一经使用应及时补充完善，确保消防器材处于良好状态。同时未经甲方许可，严禁擅自动用或挪作他用，损坏按价赔偿。</w:t>
      </w:r>
    </w:p>
    <w:p>
      <w:pPr>
        <w:spacing w:line="360" w:lineRule="auto"/>
        <w:ind w:firstLine="420" w:firstLineChars="200"/>
        <w:rPr>
          <w:rFonts w:hint="eastAsia"/>
          <w:szCs w:val="21"/>
        </w:rPr>
      </w:pPr>
      <w:r>
        <w:rPr>
          <w:rFonts w:hint="eastAsia"/>
          <w:szCs w:val="21"/>
        </w:rPr>
        <w:t>5.除指定地点外，乙方任何人员不得在施工区域内吸烟，不得在施工区域内燃放烟花爆竹，不得私自动用各类明火。乙方需动用明火（电、气焊割等），必须事先向甲方安全卫环部办理审批手续，得到相关许可后方可动火。</w:t>
      </w:r>
    </w:p>
    <w:p>
      <w:pPr>
        <w:spacing w:line="360" w:lineRule="auto"/>
        <w:ind w:firstLine="420" w:firstLineChars="200"/>
        <w:rPr>
          <w:rFonts w:hint="eastAsia"/>
          <w:szCs w:val="21"/>
        </w:rPr>
      </w:pPr>
      <w:r>
        <w:rPr>
          <w:rFonts w:hint="eastAsia"/>
          <w:szCs w:val="21"/>
        </w:rPr>
        <w:t>6.乙方的各种用电设备、仪器必须保持正常运转，严禁超负荷运行，严禁设备、仪器带病作业。</w:t>
      </w:r>
    </w:p>
    <w:p>
      <w:pPr>
        <w:spacing w:line="360" w:lineRule="auto"/>
        <w:ind w:firstLine="420" w:firstLineChars="200"/>
        <w:rPr>
          <w:rFonts w:hint="eastAsia"/>
          <w:szCs w:val="21"/>
        </w:rPr>
      </w:pPr>
      <w:r>
        <w:rPr>
          <w:rFonts w:hint="eastAsia"/>
          <w:szCs w:val="21"/>
        </w:rPr>
        <w:t>7.乙方在安装或修理用电设备、仪器时，应由电工或专业人员进行操作并认真检验。不得超过原设备装表容量和擅自增加用电。</w:t>
      </w:r>
    </w:p>
    <w:p>
      <w:pPr>
        <w:spacing w:line="360" w:lineRule="auto"/>
        <w:ind w:firstLine="420" w:firstLineChars="200"/>
        <w:rPr>
          <w:rFonts w:hint="eastAsia"/>
          <w:szCs w:val="21"/>
        </w:rPr>
      </w:pPr>
      <w:r>
        <w:rPr>
          <w:rFonts w:hint="eastAsia"/>
          <w:szCs w:val="21"/>
        </w:rPr>
        <w:t>8.未经甲方允许，不准使用大功率电器，不准使用电饭煲、电炉等用电设备，不得私拉电力线路。</w:t>
      </w:r>
    </w:p>
    <w:p>
      <w:pPr>
        <w:spacing w:line="360" w:lineRule="auto"/>
        <w:ind w:firstLine="420" w:firstLineChars="200"/>
        <w:rPr>
          <w:rFonts w:hint="eastAsia"/>
          <w:szCs w:val="21"/>
        </w:rPr>
      </w:pPr>
      <w:r>
        <w:rPr>
          <w:rFonts w:hint="eastAsia"/>
          <w:szCs w:val="21"/>
        </w:rPr>
        <w:t>9.乙方在使用易燃易爆及其它危险品时，必须提前向甲方申报备案，未经批准，禁止使用和存放。</w:t>
      </w:r>
    </w:p>
    <w:p>
      <w:pPr>
        <w:spacing w:line="360" w:lineRule="auto"/>
        <w:ind w:firstLine="420" w:firstLineChars="200"/>
        <w:rPr>
          <w:rFonts w:hint="eastAsia"/>
          <w:szCs w:val="21"/>
        </w:rPr>
      </w:pPr>
      <w:r>
        <w:rPr>
          <w:rFonts w:hint="eastAsia"/>
          <w:szCs w:val="21"/>
        </w:rPr>
        <w:t>10.乙方涉及改造、装修，凡涉及变动原用电、用水线路及管道，或新安装线路的，应事先向甲方书面申请，并提供改造、装修的线路布置图，以备日后检查、维修。</w:t>
      </w:r>
    </w:p>
    <w:p>
      <w:pPr>
        <w:spacing w:line="360" w:lineRule="auto"/>
        <w:ind w:firstLine="420" w:firstLineChars="200"/>
        <w:rPr>
          <w:rFonts w:hint="eastAsia"/>
          <w:szCs w:val="21"/>
        </w:rPr>
      </w:pPr>
      <w:r>
        <w:rPr>
          <w:rFonts w:hint="eastAsia"/>
          <w:szCs w:val="21"/>
        </w:rPr>
        <w:t>11.乙方要保护消防通道的畅通，严禁占用、堵塞、封闭安全出口，影响安全消防通道的正常通行。</w:t>
      </w:r>
    </w:p>
    <w:p>
      <w:pPr>
        <w:spacing w:line="360" w:lineRule="auto"/>
        <w:ind w:firstLine="420" w:firstLineChars="200"/>
        <w:rPr>
          <w:rFonts w:hint="eastAsia"/>
          <w:szCs w:val="21"/>
        </w:rPr>
      </w:pPr>
      <w:r>
        <w:rPr>
          <w:rFonts w:hint="eastAsia"/>
          <w:szCs w:val="21"/>
        </w:rPr>
        <w:t>12.乙方严禁出现“三合一”情况，擅自改变场所用途。</w:t>
      </w:r>
    </w:p>
    <w:p>
      <w:pPr>
        <w:spacing w:line="360" w:lineRule="auto"/>
        <w:ind w:firstLine="420" w:firstLineChars="200"/>
        <w:rPr>
          <w:rFonts w:hint="eastAsia"/>
          <w:szCs w:val="21"/>
        </w:rPr>
      </w:pPr>
      <w:r>
        <w:rPr>
          <w:rFonts w:hint="eastAsia"/>
          <w:szCs w:val="21"/>
        </w:rPr>
        <w:t>13.凡违反本规定或国家相关规定而引起火灾或其它事故，一切责任及经济赔偿由乙方负责，与甲方无关。若甲方因该事故被有关政府部门、上级公司处罚的或对外垫付责任的，乙方需承担甲方因处罚遭受的经济损失或甲方有权向乙方追偿。</w:t>
      </w:r>
    </w:p>
    <w:p>
      <w:pPr>
        <w:spacing w:line="360" w:lineRule="auto"/>
        <w:ind w:firstLine="420" w:firstLineChars="200"/>
        <w:rPr>
          <w:rFonts w:hint="eastAsia"/>
          <w:szCs w:val="21"/>
        </w:rPr>
      </w:pPr>
      <w:r>
        <w:rPr>
          <w:rFonts w:hint="eastAsia"/>
          <w:szCs w:val="21"/>
        </w:rPr>
        <w:t>14.如乙方有违反本规定的，视为乙方违约，甲方有权单方解除甲乙双方签署的主合同。</w:t>
      </w:r>
    </w:p>
    <w:p>
      <w:pPr>
        <w:spacing w:line="360" w:lineRule="auto"/>
        <w:ind w:firstLine="420" w:firstLineChars="200"/>
        <w:rPr>
          <w:rFonts w:hint="eastAsia"/>
          <w:szCs w:val="21"/>
        </w:rPr>
      </w:pPr>
      <w:r>
        <w:rPr>
          <w:rFonts w:hint="eastAsia"/>
          <w:szCs w:val="21"/>
        </w:rPr>
        <w:t xml:space="preserve">三、本协议经甲乙双方签名盖章有效。本协议 </w:t>
      </w:r>
      <w:r>
        <w:rPr>
          <w:rFonts w:hint="eastAsia"/>
          <w:szCs w:val="21"/>
          <w:u w:val="single"/>
        </w:rPr>
        <w:t xml:space="preserve">壹 </w:t>
      </w:r>
      <w:r>
        <w:rPr>
          <w:rFonts w:hint="eastAsia"/>
          <w:szCs w:val="21"/>
        </w:rPr>
        <w:t>式</w:t>
      </w:r>
      <w:r>
        <w:rPr>
          <w:rFonts w:hint="eastAsia"/>
          <w:szCs w:val="21"/>
          <w:u w:val="single"/>
        </w:rPr>
        <w:t xml:space="preserve"> 肆</w:t>
      </w:r>
      <w:r>
        <w:rPr>
          <w:rFonts w:hint="eastAsia"/>
          <w:szCs w:val="21"/>
        </w:rPr>
        <w:t>份，甲乙双方各执贰</w:t>
      </w:r>
      <w:r>
        <w:rPr>
          <w:rFonts w:hint="eastAsia"/>
          <w:szCs w:val="21"/>
          <w:u w:val="single"/>
        </w:rPr>
        <w:t>贰</w:t>
      </w:r>
      <w:r>
        <w:rPr>
          <w:rFonts w:hint="eastAsia"/>
          <w:szCs w:val="21"/>
        </w:rPr>
        <w:t>份，具有同等法律效力。本协议自双方加盖公章或合同章之日起生效，至主合同到期之日止。</w:t>
      </w:r>
    </w:p>
    <w:p>
      <w:pPr>
        <w:spacing w:line="360" w:lineRule="auto"/>
        <w:ind w:firstLine="420" w:firstLineChars="200"/>
        <w:rPr>
          <w:rFonts w:hint="eastAsia"/>
          <w:szCs w:val="21"/>
        </w:rPr>
      </w:pPr>
      <w:r>
        <w:rPr>
          <w:rFonts w:hint="eastAsia"/>
          <w:szCs w:val="21"/>
        </w:rPr>
        <w:t>四、本协议履行过程中产生的一切争议，双方友好协商解决；解决不成的，争议解决方式与主合同保持一致。</w:t>
      </w:r>
    </w:p>
    <w:p>
      <w:pPr>
        <w:spacing w:line="360" w:lineRule="auto"/>
        <w:ind w:firstLine="420" w:firstLineChars="200"/>
        <w:rPr>
          <w:rFonts w:hint="eastAsia"/>
          <w:szCs w:val="21"/>
        </w:rPr>
      </w:pPr>
    </w:p>
    <w:p>
      <w:pPr>
        <w:snapToGrid w:val="0"/>
        <w:spacing w:line="360" w:lineRule="auto"/>
        <w:rPr>
          <w:rFonts w:hint="eastAsia"/>
          <w:szCs w:val="21"/>
        </w:rPr>
      </w:pPr>
      <w:r>
        <w:rPr>
          <w:rFonts w:hint="eastAsia"/>
          <w:szCs w:val="21"/>
        </w:rPr>
        <w:t>甲方：（盖章）　　　　　　　　　  乙方：（盖章）</w:t>
      </w:r>
    </w:p>
    <w:p>
      <w:pPr>
        <w:snapToGrid w:val="0"/>
        <w:spacing w:line="360" w:lineRule="auto"/>
        <w:rPr>
          <w:rFonts w:hint="eastAsia"/>
          <w:szCs w:val="21"/>
        </w:rPr>
      </w:pPr>
      <w:r>
        <w:rPr>
          <w:rFonts w:hint="eastAsia"/>
          <w:szCs w:val="21"/>
        </w:rPr>
        <w:t>　</w:t>
      </w:r>
    </w:p>
    <w:p>
      <w:pPr>
        <w:snapToGrid w:val="0"/>
        <w:spacing w:line="360" w:lineRule="auto"/>
        <w:rPr>
          <w:rFonts w:hint="eastAsia"/>
          <w:szCs w:val="21"/>
        </w:rPr>
      </w:pPr>
      <w:r>
        <w:rPr>
          <w:rFonts w:hint="eastAsia"/>
          <w:szCs w:val="21"/>
        </w:rPr>
        <w:t>法定代表人或　　　　　　　　　　  法定代表人或</w:t>
      </w:r>
    </w:p>
    <w:p>
      <w:pPr>
        <w:snapToGrid w:val="0"/>
        <w:spacing w:line="360" w:lineRule="auto"/>
        <w:rPr>
          <w:rFonts w:hint="eastAsia"/>
          <w:szCs w:val="21"/>
        </w:rPr>
      </w:pPr>
      <w:r>
        <w:rPr>
          <w:rFonts w:hint="eastAsia"/>
          <w:szCs w:val="21"/>
        </w:rPr>
        <w:t xml:space="preserve">授权代表（签名或盖章）：       　 授权代表（签名或盖章）：   </w:t>
      </w:r>
    </w:p>
    <w:p>
      <w:pPr>
        <w:snapToGrid w:val="0"/>
        <w:spacing w:line="360" w:lineRule="auto"/>
        <w:rPr>
          <w:rFonts w:hint="eastAsia"/>
          <w:szCs w:val="21"/>
        </w:rPr>
      </w:pPr>
    </w:p>
    <w:p>
      <w:pPr>
        <w:snapToGrid w:val="0"/>
        <w:spacing w:line="360" w:lineRule="auto"/>
        <w:jc w:val="left"/>
        <w:rPr>
          <w:rFonts w:hint="eastAsia"/>
          <w:sz w:val="24"/>
        </w:rPr>
      </w:pPr>
      <w:r>
        <w:rPr>
          <w:rFonts w:hint="eastAsia"/>
          <w:szCs w:val="21"/>
        </w:rPr>
        <w:t>签订时间：    年   月   日</w:t>
      </w:r>
      <w:r>
        <w:rPr>
          <w:rFonts w:hint="eastAsia"/>
          <w:sz w:val="24"/>
        </w:rPr>
        <w:t>　　　</w:t>
      </w:r>
    </w:p>
    <w:p>
      <w:pPr>
        <w:pStyle w:val="14"/>
        <w:widowControl/>
        <w:snapToGrid w:val="0"/>
        <w:spacing w:before="120" w:beforeLines="50" w:after="120" w:afterLines="50" w:line="440" w:lineRule="atLeast"/>
        <w:ind w:firstLine="210"/>
        <w:jc w:val="left"/>
        <w:outlineLvl w:val="0"/>
      </w:pPr>
      <w:r>
        <w:br w:type="page"/>
      </w:r>
      <w:r>
        <w:rPr>
          <w:rFonts w:hint="eastAsia" w:hAnsi="宋体" w:cs="宋体"/>
          <w:b/>
          <w:kern w:val="0"/>
        </w:rPr>
        <w:t>附件6：</w:t>
      </w:r>
    </w:p>
    <w:p>
      <w:pPr>
        <w:ind w:firstLine="2298" w:firstLineChars="1090"/>
        <w:rPr>
          <w:rFonts w:hint="eastAsia" w:cs="宋体"/>
          <w:b/>
          <w:szCs w:val="21"/>
          <w:lang w:bidi="ar"/>
        </w:rPr>
      </w:pPr>
    </w:p>
    <w:p>
      <w:pPr>
        <w:jc w:val="center"/>
        <w:rPr>
          <w:rFonts w:hint="eastAsia" w:cs="宋体"/>
          <w:b/>
          <w:szCs w:val="21"/>
        </w:rPr>
      </w:pPr>
      <w:r>
        <w:rPr>
          <w:rFonts w:hint="eastAsia" w:cs="宋体"/>
          <w:b/>
          <w:szCs w:val="21"/>
          <w:lang w:bidi="ar"/>
        </w:rPr>
        <w:t>不拖欠民工工资承诺书</w:t>
      </w:r>
    </w:p>
    <w:p>
      <w:pPr>
        <w:ind w:firstLine="2298" w:firstLineChars="1090"/>
        <w:rPr>
          <w:rFonts w:hint="eastAsia" w:cs="宋体"/>
          <w:b/>
          <w:szCs w:val="21"/>
          <w:lang w:bidi="ar"/>
        </w:rPr>
      </w:pPr>
      <w:r>
        <w:rPr>
          <w:rFonts w:hint="eastAsia" w:ascii="仿宋_GB2312" w:eastAsia="仿宋_GB2312" w:cs="仿宋_GB2312"/>
          <w:b/>
          <w:szCs w:val="21"/>
          <w:lang w:bidi="ar"/>
        </w:rPr>
        <w:t xml:space="preserve"> </w:t>
      </w:r>
    </w:p>
    <w:p>
      <w:pPr>
        <w:snapToGrid w:val="0"/>
        <w:spacing w:line="360" w:lineRule="auto"/>
        <w:ind w:firstLine="495"/>
        <w:rPr>
          <w:rFonts w:hint="eastAsia" w:cs="宋体"/>
          <w:kern w:val="0"/>
          <w:szCs w:val="21"/>
        </w:rPr>
      </w:pPr>
      <w:r>
        <w:rPr>
          <w:rFonts w:hint="eastAsia" w:cs="宋体"/>
          <w:kern w:val="0"/>
          <w:szCs w:val="21"/>
          <w:lang w:bidi="ar"/>
        </w:rPr>
        <w:t>致：</w:t>
      </w:r>
      <w:r>
        <w:rPr>
          <w:rFonts w:hint="eastAsia" w:cs="宋体"/>
          <w:kern w:val="0"/>
          <w:szCs w:val="21"/>
          <w:u w:val="single"/>
          <w:lang w:bidi="ar"/>
        </w:rPr>
        <w:t xml:space="preserve">           </w:t>
      </w:r>
    </w:p>
    <w:p>
      <w:pPr>
        <w:snapToGrid w:val="0"/>
        <w:spacing w:line="360" w:lineRule="auto"/>
        <w:ind w:firstLine="495"/>
        <w:rPr>
          <w:rFonts w:hint="eastAsia" w:cs="宋体"/>
          <w:kern w:val="0"/>
          <w:szCs w:val="21"/>
        </w:rPr>
      </w:pPr>
      <w:r>
        <w:rPr>
          <w:rFonts w:hint="eastAsia" w:cs="宋体"/>
          <w:kern w:val="0"/>
          <w:szCs w:val="21"/>
          <w:lang w:bidi="ar"/>
        </w:rPr>
        <w:t>为保护民工的合法权益，不拖欠民工工资，本人</w:t>
      </w:r>
      <w:r>
        <w:rPr>
          <w:rFonts w:hint="eastAsia" w:cs="宋体"/>
          <w:kern w:val="0"/>
          <w:szCs w:val="21"/>
          <w:u w:val="single"/>
          <w:lang w:bidi="ar"/>
        </w:rPr>
        <w:t xml:space="preserve">      </w:t>
      </w:r>
      <w:r>
        <w:rPr>
          <w:rFonts w:hint="eastAsia" w:cs="宋体"/>
          <w:kern w:val="0"/>
          <w:szCs w:val="21"/>
          <w:lang w:bidi="ar"/>
        </w:rPr>
        <w:t xml:space="preserve"> 以</w:t>
      </w:r>
      <w:r>
        <w:rPr>
          <w:rFonts w:hint="eastAsia" w:cs="宋体"/>
          <w:kern w:val="0"/>
          <w:szCs w:val="21"/>
          <w:u w:val="single"/>
          <w:lang w:bidi="ar"/>
        </w:rPr>
        <w:t xml:space="preserve">            </w:t>
      </w:r>
      <w:r>
        <w:rPr>
          <w:rFonts w:hint="eastAsia" w:cs="宋体"/>
          <w:kern w:val="0"/>
          <w:szCs w:val="21"/>
          <w:lang w:bidi="ar"/>
        </w:rPr>
        <w:t>法定代表人的资格，郑重承诺：</w:t>
      </w:r>
    </w:p>
    <w:p>
      <w:pPr>
        <w:snapToGrid w:val="0"/>
        <w:spacing w:line="360" w:lineRule="auto"/>
        <w:ind w:firstLine="495"/>
        <w:rPr>
          <w:rFonts w:hint="eastAsia" w:cs="宋体"/>
          <w:kern w:val="0"/>
          <w:szCs w:val="21"/>
        </w:rPr>
      </w:pPr>
      <w:r>
        <w:rPr>
          <w:rFonts w:hint="eastAsia" w:cs="宋体"/>
          <w:kern w:val="0"/>
          <w:szCs w:val="21"/>
          <w:lang w:bidi="ar"/>
        </w:rPr>
        <w:t>我单位承建</w:t>
      </w:r>
      <w:r>
        <w:rPr>
          <w:rFonts w:hint="eastAsia" w:cs="宋体"/>
          <w:b/>
          <w:kern w:val="0"/>
          <w:szCs w:val="21"/>
          <w:u w:val="single"/>
          <w:lang w:bidi="ar"/>
        </w:rPr>
        <w:t>（项目名称）      工程</w:t>
      </w:r>
      <w:r>
        <w:rPr>
          <w:rFonts w:hint="eastAsia" w:cs="宋体"/>
          <w:kern w:val="0"/>
          <w:szCs w:val="21"/>
          <w:lang w:bidi="ar"/>
        </w:rPr>
        <w:t>，需要使用民工时，将保证做到：</w:t>
      </w:r>
    </w:p>
    <w:p>
      <w:pPr>
        <w:snapToGrid w:val="0"/>
        <w:spacing w:line="360" w:lineRule="auto"/>
        <w:ind w:firstLine="495"/>
        <w:rPr>
          <w:rFonts w:hint="eastAsia" w:cs="宋体"/>
          <w:kern w:val="0"/>
          <w:szCs w:val="21"/>
        </w:rPr>
      </w:pPr>
      <w:r>
        <w:rPr>
          <w:rFonts w:hint="eastAsia" w:cs="宋体"/>
          <w:kern w:val="0"/>
          <w:szCs w:val="21"/>
          <w:lang w:bidi="ar"/>
        </w:rPr>
        <w:t>1、按照《劳动法》规定雇佣和使用民工，工资将直接发放给民工本人，保证不发放给“包工头”。</w:t>
      </w:r>
    </w:p>
    <w:p>
      <w:pPr>
        <w:snapToGrid w:val="0"/>
        <w:spacing w:line="360" w:lineRule="auto"/>
        <w:ind w:firstLine="495"/>
        <w:rPr>
          <w:rFonts w:hint="eastAsia" w:cs="宋体"/>
          <w:kern w:val="0"/>
          <w:szCs w:val="21"/>
        </w:rPr>
      </w:pPr>
      <w:r>
        <w:rPr>
          <w:rFonts w:hint="eastAsia" w:cs="宋体"/>
          <w:kern w:val="0"/>
          <w:szCs w:val="21"/>
          <w:lang w:bidi="ar"/>
        </w:rPr>
        <w:t>2、分包单位雇佣民工的，我单位将要求分包单位按照规定签订劳动合同，并负责督促其按照合同规定及时结付民工工资。如因我单位未按合同约定与分包单位结清工程款，致使后者拖欠民工工资的，将由我单位先行垫付欠款，甲方可从支付给我单位的工程款中扣回双倍的罚款。我单位对分包单位清偿拖欠民工工资负总责。</w:t>
      </w:r>
    </w:p>
    <w:p>
      <w:pPr>
        <w:snapToGrid w:val="0"/>
        <w:spacing w:line="360" w:lineRule="auto"/>
        <w:ind w:firstLine="495"/>
        <w:rPr>
          <w:rFonts w:hint="eastAsia" w:cs="宋体"/>
          <w:kern w:val="0"/>
          <w:szCs w:val="21"/>
        </w:rPr>
      </w:pPr>
      <w:r>
        <w:rPr>
          <w:rFonts w:hint="eastAsia" w:cs="宋体"/>
          <w:kern w:val="0"/>
          <w:szCs w:val="21"/>
          <w:lang w:bidi="ar"/>
        </w:rPr>
        <w:t>3、如果发生违反规定拖欠或克扣民工工资行为，造成民工上访，及其它突发事件或公共事件，我单位愿意接受甲方暂停我单位1年期间参加甲方招标项目投标资格的处罚，同时愿意接受上级行政主管部门依照有关规定作出的其它处罚决定。</w:t>
      </w:r>
    </w:p>
    <w:p>
      <w:pPr>
        <w:snapToGrid w:val="0"/>
        <w:spacing w:line="360" w:lineRule="auto"/>
        <w:ind w:firstLine="495"/>
        <w:rPr>
          <w:rFonts w:hint="eastAsia" w:cs="宋体"/>
          <w:kern w:val="0"/>
          <w:szCs w:val="21"/>
        </w:rPr>
      </w:pPr>
      <w:r>
        <w:rPr>
          <w:rFonts w:hint="eastAsia" w:cs="宋体"/>
          <w:kern w:val="0"/>
          <w:szCs w:val="21"/>
          <w:lang w:bidi="ar"/>
        </w:rPr>
        <w:t>4、我单位将按地方政府相关文件的规定缴纳民工工资保障金。</w:t>
      </w:r>
    </w:p>
    <w:p>
      <w:pPr>
        <w:snapToGrid w:val="0"/>
        <w:spacing w:line="360" w:lineRule="auto"/>
        <w:ind w:firstLine="495"/>
        <w:rPr>
          <w:rFonts w:hint="eastAsia" w:cs="宋体"/>
          <w:kern w:val="0"/>
          <w:szCs w:val="21"/>
        </w:rPr>
      </w:pPr>
      <w:r>
        <w:rPr>
          <w:rFonts w:hint="eastAsia" w:cs="宋体"/>
          <w:kern w:val="0"/>
          <w:szCs w:val="21"/>
          <w:lang w:bidi="ar"/>
        </w:rPr>
        <w:t xml:space="preserve"> </w:t>
      </w:r>
    </w:p>
    <w:p>
      <w:pPr>
        <w:snapToGrid w:val="0"/>
        <w:spacing w:line="360" w:lineRule="auto"/>
        <w:ind w:firstLine="4830" w:firstLineChars="2300"/>
        <w:rPr>
          <w:rFonts w:hint="eastAsia" w:cs="宋体"/>
          <w:kern w:val="0"/>
          <w:szCs w:val="21"/>
        </w:rPr>
      </w:pPr>
      <w:r>
        <w:rPr>
          <w:rFonts w:hint="eastAsia" w:cs="宋体"/>
          <w:kern w:val="0"/>
          <w:szCs w:val="21"/>
          <w:lang w:bidi="ar"/>
        </w:rPr>
        <w:t xml:space="preserve">承  包  人(盖章)：             </w:t>
      </w:r>
    </w:p>
    <w:p>
      <w:pPr>
        <w:snapToGrid w:val="0"/>
        <w:spacing w:line="360" w:lineRule="auto"/>
        <w:ind w:firstLine="495"/>
        <w:rPr>
          <w:rFonts w:hint="eastAsia" w:cs="宋体"/>
          <w:kern w:val="0"/>
          <w:szCs w:val="21"/>
        </w:rPr>
      </w:pPr>
      <w:r>
        <w:rPr>
          <w:rFonts w:hint="eastAsia" w:cs="宋体"/>
          <w:kern w:val="0"/>
          <w:szCs w:val="21"/>
          <w:lang w:bidi="ar"/>
        </w:rPr>
        <w:t xml:space="preserve"> </w:t>
      </w:r>
    </w:p>
    <w:p>
      <w:pPr>
        <w:snapToGrid w:val="0"/>
        <w:spacing w:line="360" w:lineRule="auto"/>
        <w:ind w:firstLine="495"/>
        <w:rPr>
          <w:rFonts w:hint="eastAsia" w:cs="宋体"/>
          <w:kern w:val="0"/>
          <w:szCs w:val="21"/>
        </w:rPr>
      </w:pPr>
      <w:r>
        <w:rPr>
          <w:rFonts w:hint="eastAsia" w:cs="宋体"/>
          <w:kern w:val="0"/>
          <w:szCs w:val="21"/>
          <w:lang w:bidi="ar"/>
        </w:rPr>
        <w:t xml:space="preserve">                                         法定代表人(签章)：             </w:t>
      </w:r>
    </w:p>
    <w:p>
      <w:pPr>
        <w:snapToGrid w:val="0"/>
        <w:spacing w:line="360" w:lineRule="auto"/>
        <w:ind w:firstLine="4788" w:firstLineChars="2280"/>
        <w:rPr>
          <w:rFonts w:hint="eastAsia" w:cs="宋体"/>
          <w:kern w:val="0"/>
          <w:szCs w:val="21"/>
          <w:lang w:bidi="ar"/>
        </w:rPr>
      </w:pPr>
      <w:r>
        <w:rPr>
          <w:rFonts w:hint="eastAsia" w:cs="宋体"/>
          <w:kern w:val="0"/>
          <w:szCs w:val="21"/>
          <w:lang w:bidi="ar"/>
        </w:rPr>
        <w:t xml:space="preserve">    </w:t>
      </w:r>
    </w:p>
    <w:p>
      <w:pPr>
        <w:snapToGrid w:val="0"/>
        <w:spacing w:line="360" w:lineRule="auto"/>
        <w:ind w:firstLine="495"/>
        <w:rPr>
          <w:rFonts w:hint="eastAsia" w:cs="宋体"/>
          <w:kern w:val="0"/>
          <w:szCs w:val="21"/>
          <w:lang w:bidi="ar"/>
        </w:rPr>
      </w:pPr>
      <w:r>
        <w:rPr>
          <w:rFonts w:hint="eastAsia" w:cs="宋体"/>
          <w:kern w:val="0"/>
          <w:szCs w:val="21"/>
          <w:lang w:bidi="ar"/>
        </w:rPr>
        <w:t xml:space="preserve">                                         年      月      日   </w:t>
      </w:r>
    </w:p>
    <w:p>
      <w:pPr>
        <w:rPr>
          <w:rFonts w:hint="eastAsia"/>
        </w:rPr>
      </w:pPr>
    </w:p>
    <w:p>
      <w:pPr>
        <w:pStyle w:val="14"/>
        <w:widowControl/>
        <w:snapToGrid w:val="0"/>
        <w:spacing w:before="120" w:beforeLines="50" w:after="120" w:afterLines="50" w:line="440" w:lineRule="atLeast"/>
        <w:jc w:val="left"/>
        <w:outlineLvl w:val="0"/>
      </w:pPr>
      <w:r>
        <w:rPr>
          <w:rFonts w:hint="eastAsia"/>
        </w:rPr>
        <w:br w:type="page"/>
      </w:r>
      <w:r>
        <w:rPr>
          <w:rFonts w:hint="eastAsia" w:hAnsi="宋体" w:cs="宋体"/>
          <w:b/>
          <w:kern w:val="0"/>
        </w:rPr>
        <w:t>附件7：</w:t>
      </w:r>
    </w:p>
    <w:p>
      <w:pPr>
        <w:snapToGrid w:val="0"/>
        <w:spacing w:line="640" w:lineRule="exact"/>
        <w:jc w:val="center"/>
        <w:rPr>
          <w:rFonts w:hint="eastAsia" w:cs="宋体"/>
          <w:sz w:val="22"/>
          <w:szCs w:val="22"/>
        </w:rPr>
      </w:pPr>
      <w:r>
        <w:rPr>
          <w:rFonts w:hint="eastAsia" w:cs="宋体"/>
          <w:sz w:val="22"/>
          <w:szCs w:val="22"/>
        </w:rPr>
        <w:t>合作伙伴合规承诺书</w:t>
      </w:r>
    </w:p>
    <w:p>
      <w:pPr>
        <w:snapToGrid w:val="0"/>
        <w:spacing w:line="360" w:lineRule="auto"/>
        <w:ind w:firstLine="495"/>
        <w:rPr>
          <w:rFonts w:hint="eastAsia" w:cs="宋体"/>
          <w:kern w:val="0"/>
          <w:szCs w:val="21"/>
          <w:lang w:bidi="ar"/>
        </w:rPr>
      </w:pPr>
      <w:r>
        <w:rPr>
          <w:rFonts w:hint="eastAsia" w:cs="宋体"/>
          <w:kern w:val="0"/>
          <w:szCs w:val="21"/>
          <w:lang w:bidi="ar"/>
        </w:rPr>
        <w:t>为满足温州港集团有限公司物业管理服务分公司合规管理要求，规范本公司市场交易行为，促进公平、公正交易，本公司特作出以下承诺：</w:t>
      </w:r>
    </w:p>
    <w:p>
      <w:pPr>
        <w:snapToGrid w:val="0"/>
        <w:spacing w:line="360" w:lineRule="auto"/>
        <w:ind w:firstLine="495"/>
        <w:rPr>
          <w:rFonts w:hint="eastAsia" w:cs="宋体"/>
          <w:kern w:val="0"/>
          <w:szCs w:val="21"/>
          <w:lang w:bidi="ar"/>
        </w:rPr>
      </w:pPr>
      <w:r>
        <w:rPr>
          <w:rFonts w:hint="eastAsia" w:cs="宋体"/>
          <w:kern w:val="0"/>
          <w:szCs w:val="21"/>
          <w:lang w:bidi="ar"/>
        </w:rPr>
        <w:t>1.本公司理解温州港集团有限公司物业管理服务分公司合规管理需求，在合作范围内遵守温州港集团有限公司物业管理服务分公司对第三方的合规管理要求。</w:t>
      </w:r>
    </w:p>
    <w:p>
      <w:pPr>
        <w:snapToGrid w:val="0"/>
        <w:spacing w:line="360" w:lineRule="auto"/>
        <w:ind w:firstLine="495"/>
        <w:rPr>
          <w:rFonts w:hint="eastAsia" w:cs="宋体"/>
          <w:kern w:val="0"/>
          <w:szCs w:val="21"/>
          <w:lang w:bidi="ar"/>
        </w:rPr>
      </w:pPr>
      <w:r>
        <w:rPr>
          <w:rFonts w:hint="eastAsia" w:cs="宋体"/>
          <w:kern w:val="0"/>
          <w:szCs w:val="21"/>
          <w:lang w:bidi="ar"/>
        </w:rPr>
        <w:t>2.本公司具有合同订立的主体资格，具有良好的资信和履约能力，能够有效履行合同义务。</w:t>
      </w:r>
    </w:p>
    <w:p>
      <w:pPr>
        <w:snapToGrid w:val="0"/>
        <w:spacing w:line="360" w:lineRule="auto"/>
        <w:ind w:firstLine="495"/>
        <w:rPr>
          <w:rFonts w:hint="eastAsia" w:cs="宋体"/>
          <w:kern w:val="0"/>
          <w:szCs w:val="21"/>
          <w:lang w:bidi="ar"/>
        </w:rPr>
      </w:pPr>
      <w:r>
        <w:rPr>
          <w:rFonts w:hint="eastAsia" w:cs="宋体"/>
          <w:kern w:val="0"/>
          <w:szCs w:val="21"/>
          <w:lang w:bidi="ar"/>
        </w:rPr>
        <w:t>3.本公司严格遵守国家法律法规，恪守商业道德和职业道德规范，不从事并抵制任何不廉洁行为，严格履行以下合规义务：</w:t>
      </w:r>
    </w:p>
    <w:p>
      <w:pPr>
        <w:snapToGrid w:val="0"/>
        <w:spacing w:line="360" w:lineRule="auto"/>
        <w:ind w:firstLine="495"/>
        <w:rPr>
          <w:rFonts w:hint="eastAsia" w:cs="宋体"/>
          <w:kern w:val="0"/>
          <w:szCs w:val="21"/>
          <w:lang w:bidi="ar"/>
        </w:rPr>
      </w:pPr>
      <w:r>
        <w:rPr>
          <w:rFonts w:hint="eastAsia" w:cs="宋体"/>
          <w:kern w:val="0"/>
          <w:szCs w:val="21"/>
          <w:lang w:bidi="ar"/>
        </w:rPr>
        <w:t>（一）本公司员工严格遵守《中华人民共和国反不正当竞争法》等有关商业贿赂行为的禁止性规定，坚决抵制商业贿赂。</w:t>
      </w:r>
    </w:p>
    <w:p>
      <w:pPr>
        <w:snapToGrid w:val="0"/>
        <w:spacing w:line="360" w:lineRule="auto"/>
        <w:ind w:firstLine="495"/>
        <w:rPr>
          <w:rFonts w:hint="eastAsia" w:cs="宋体"/>
          <w:kern w:val="0"/>
          <w:szCs w:val="21"/>
          <w:lang w:bidi="ar"/>
        </w:rPr>
      </w:pPr>
      <w:r>
        <w:rPr>
          <w:rFonts w:hint="eastAsia" w:cs="宋体"/>
          <w:kern w:val="0"/>
          <w:szCs w:val="21"/>
          <w:lang w:bidi="ar"/>
        </w:rPr>
        <w:t>（二）本公司员工不得给予温州港集团有限公司物业管理服务分公司及相关单位或个人的任何不正当馈赠。</w:t>
      </w:r>
    </w:p>
    <w:p>
      <w:pPr>
        <w:snapToGrid w:val="0"/>
        <w:spacing w:line="360" w:lineRule="auto"/>
        <w:ind w:firstLine="495"/>
        <w:rPr>
          <w:rFonts w:hint="eastAsia" w:cs="宋体"/>
          <w:kern w:val="0"/>
          <w:szCs w:val="21"/>
          <w:lang w:bidi="ar"/>
        </w:rPr>
      </w:pPr>
      <w:r>
        <w:rPr>
          <w:rFonts w:hint="eastAsia" w:cs="宋体"/>
          <w:kern w:val="0"/>
          <w:szCs w:val="21"/>
          <w:lang w:bidi="ar"/>
        </w:rPr>
        <w:t>（三）本公司员工不得接受温州港集团有限公司物业管理服务分公司及相关单位或个人的任何不正当馈赠。</w:t>
      </w:r>
    </w:p>
    <w:p>
      <w:pPr>
        <w:snapToGrid w:val="0"/>
        <w:spacing w:line="360" w:lineRule="auto"/>
        <w:ind w:firstLine="495"/>
        <w:rPr>
          <w:rFonts w:hint="eastAsia" w:cs="宋体"/>
          <w:kern w:val="0"/>
          <w:szCs w:val="21"/>
          <w:lang w:bidi="ar"/>
        </w:rPr>
      </w:pPr>
      <w:r>
        <w:rPr>
          <w:rFonts w:hint="eastAsia" w:cs="宋体"/>
          <w:kern w:val="0"/>
          <w:szCs w:val="21"/>
          <w:lang w:bidi="ar"/>
        </w:rPr>
        <w:t>（四）本公司员工不得参加温州港集团有限公司物业管理服务分公司及有关单位安排的可能影响公正执行公务的宴请、旅游、考察等活动。</w:t>
      </w:r>
    </w:p>
    <w:p>
      <w:pPr>
        <w:snapToGrid w:val="0"/>
        <w:spacing w:line="360" w:lineRule="auto"/>
        <w:ind w:firstLine="495"/>
        <w:rPr>
          <w:rFonts w:hint="eastAsia" w:cs="宋体"/>
          <w:kern w:val="0"/>
          <w:szCs w:val="21"/>
          <w:lang w:bidi="ar"/>
        </w:rPr>
      </w:pPr>
      <w:r>
        <w:rPr>
          <w:rFonts w:hint="eastAsia" w:cs="宋体"/>
          <w:kern w:val="0"/>
          <w:szCs w:val="21"/>
          <w:lang w:bidi="ar"/>
        </w:rPr>
        <w:t>（五）本公司员工不得从事其他可能影响廉洁商业的行为。</w:t>
      </w:r>
    </w:p>
    <w:p>
      <w:pPr>
        <w:snapToGrid w:val="0"/>
        <w:spacing w:line="360" w:lineRule="auto"/>
        <w:ind w:firstLine="495"/>
        <w:rPr>
          <w:rFonts w:hint="eastAsia" w:cs="宋体"/>
          <w:kern w:val="0"/>
          <w:szCs w:val="21"/>
          <w:lang w:bidi="ar"/>
        </w:rPr>
      </w:pPr>
      <w:r>
        <w:rPr>
          <w:rFonts w:hint="eastAsia" w:cs="宋体"/>
          <w:kern w:val="0"/>
          <w:szCs w:val="21"/>
          <w:lang w:bidi="ar"/>
        </w:rPr>
        <w:t>4.本公司坚持诚信商业行为，依法依约保守温州港集团有限公司物业管理服务分公司的商业秘密。</w:t>
      </w:r>
    </w:p>
    <w:p>
      <w:pPr>
        <w:snapToGrid w:val="0"/>
        <w:spacing w:line="360" w:lineRule="auto"/>
        <w:ind w:firstLine="495"/>
        <w:rPr>
          <w:rFonts w:hint="eastAsia" w:cs="宋体"/>
          <w:kern w:val="0"/>
          <w:szCs w:val="21"/>
          <w:lang w:bidi="ar"/>
        </w:rPr>
      </w:pPr>
      <w:r>
        <w:rPr>
          <w:rFonts w:hint="eastAsia" w:cs="宋体"/>
          <w:kern w:val="0"/>
          <w:szCs w:val="21"/>
          <w:lang w:bidi="ar"/>
        </w:rPr>
        <w:t>5.本公司严守缔约精神，全面履行合同义务，不擅自变更、中止以及不履行合同，发生履约突发事件时将当及时通知温州港集团有限公司物业管理服务分公司。</w:t>
      </w:r>
    </w:p>
    <w:p>
      <w:pPr>
        <w:snapToGrid w:val="0"/>
        <w:spacing w:line="360" w:lineRule="auto"/>
        <w:ind w:firstLine="495"/>
        <w:rPr>
          <w:rFonts w:hint="eastAsia" w:cs="宋体"/>
          <w:kern w:val="0"/>
          <w:szCs w:val="21"/>
          <w:lang w:bidi="ar"/>
        </w:rPr>
      </w:pPr>
      <w:r>
        <w:rPr>
          <w:rFonts w:hint="eastAsia" w:cs="宋体"/>
          <w:kern w:val="0"/>
          <w:szCs w:val="21"/>
          <w:lang w:bidi="ar"/>
        </w:rPr>
        <w:t>6.本公司同意在合同目的范围内配合温州港集团有限公司物业管理服务分公司的合规检查，不得隐瞒可能造成温州港集团有限公司物业管理服务分公司利益受损的信息。</w:t>
      </w:r>
    </w:p>
    <w:p>
      <w:pPr>
        <w:snapToGrid w:val="0"/>
        <w:spacing w:line="360" w:lineRule="auto"/>
        <w:ind w:firstLine="495"/>
        <w:rPr>
          <w:rFonts w:hint="eastAsia" w:cs="宋体"/>
          <w:kern w:val="0"/>
          <w:szCs w:val="21"/>
          <w:lang w:bidi="ar"/>
        </w:rPr>
      </w:pPr>
      <w:r>
        <w:rPr>
          <w:rFonts w:hint="eastAsia" w:cs="宋体"/>
          <w:kern w:val="0"/>
          <w:szCs w:val="21"/>
          <w:lang w:bidi="ar"/>
        </w:rPr>
        <w:t>7.本公司承诺对本承诺书执行情况进行监督检查，本公司及员工未遵守承诺事项，本公司承诺自愿赔偿由此给温州港集团有限公司物业管理服务分公司造成的损失，或按相关合同约定承担违约责任，且温州港集团有限公司物业管理服务分公司有权终止相关合同。</w:t>
      </w:r>
    </w:p>
    <w:p>
      <w:pPr>
        <w:snapToGrid w:val="0"/>
        <w:spacing w:line="360" w:lineRule="auto"/>
        <w:ind w:firstLine="495"/>
        <w:rPr>
          <w:rFonts w:hint="eastAsia" w:cs="宋体"/>
          <w:kern w:val="0"/>
          <w:szCs w:val="21"/>
          <w:lang w:bidi="ar"/>
        </w:rPr>
      </w:pPr>
      <w:r>
        <w:rPr>
          <w:rFonts w:hint="eastAsia" w:cs="宋体"/>
          <w:kern w:val="0"/>
          <w:szCs w:val="21"/>
          <w:lang w:bidi="ar"/>
        </w:rPr>
        <w:t>本承诺函一式两份，经承诺人签字/盖章后生效，由承诺人和温州港集团有限公司物业管理服务分公司各保留一份。</w:t>
      </w:r>
    </w:p>
    <w:p>
      <w:pPr>
        <w:spacing w:line="420" w:lineRule="exact"/>
        <w:ind w:firstLine="420" w:firstLineChars="200"/>
        <w:rPr>
          <w:rFonts w:hint="eastAsia" w:cs="宋体"/>
          <w:szCs w:val="21"/>
        </w:rPr>
      </w:pPr>
    </w:p>
    <w:p>
      <w:pPr>
        <w:spacing w:line="420" w:lineRule="exact"/>
        <w:jc w:val="center"/>
        <w:rPr>
          <w:rFonts w:hint="eastAsia" w:cs="宋体"/>
          <w:szCs w:val="21"/>
        </w:rPr>
      </w:pPr>
      <w:r>
        <w:rPr>
          <w:rFonts w:hint="eastAsia" w:cs="宋体"/>
          <w:szCs w:val="21"/>
        </w:rPr>
        <w:t xml:space="preserve">                          承诺人（签字/盖章）：       </w:t>
      </w:r>
    </w:p>
    <w:p>
      <w:pPr>
        <w:spacing w:line="420" w:lineRule="exact"/>
        <w:ind w:firstLine="420" w:firstLineChars="200"/>
        <w:rPr>
          <w:rFonts w:hint="eastAsia" w:cs="宋体"/>
          <w:szCs w:val="21"/>
        </w:rPr>
      </w:pPr>
      <w:r>
        <w:rPr>
          <w:rFonts w:hint="eastAsia" w:cs="宋体"/>
          <w:szCs w:val="21"/>
        </w:rPr>
        <w:t xml:space="preserve">                                     </w:t>
      </w:r>
      <w:bookmarkStart w:id="131" w:name="_Toc15076"/>
      <w:r>
        <w:rPr>
          <w:rFonts w:hint="eastAsia" w:cs="宋体"/>
          <w:szCs w:val="21"/>
        </w:rPr>
        <w:t xml:space="preserve">         年    月    日</w:t>
      </w:r>
      <w:bookmarkEnd w:id="131"/>
    </w:p>
    <w:p>
      <w:pPr>
        <w:widowControl/>
        <w:adjustRightInd/>
        <w:spacing w:line="240" w:lineRule="auto"/>
        <w:jc w:val="left"/>
        <w:textAlignment w:val="auto"/>
        <w:rPr>
          <w:rFonts w:hint="eastAsia"/>
        </w:rPr>
      </w:pPr>
      <w:r>
        <w:rPr>
          <w:rFonts w:hint="eastAsia"/>
        </w:rPr>
        <w:br w:type="page"/>
      </w:r>
    </w:p>
    <w:p>
      <w:pPr>
        <w:pStyle w:val="2"/>
        <w:jc w:val="center"/>
        <w:rPr>
          <w:rFonts w:hint="eastAsia"/>
        </w:rPr>
      </w:pPr>
      <w:r>
        <w:rPr>
          <w:rFonts w:hint="eastAsia"/>
        </w:rPr>
        <w:t>第五章  工程量清单</w:t>
      </w:r>
      <w:bookmarkEnd w:id="126"/>
      <w:bookmarkEnd w:id="127"/>
      <w:bookmarkEnd w:id="128"/>
      <w:bookmarkEnd w:id="129"/>
      <w:bookmarkEnd w:id="130"/>
    </w:p>
    <w:p>
      <w:pPr>
        <w:pStyle w:val="14"/>
        <w:spacing w:line="360" w:lineRule="auto"/>
        <w:rPr>
          <w:b/>
          <w:bCs/>
        </w:rPr>
      </w:pPr>
      <w:r>
        <w:rPr>
          <w:b/>
          <w:bCs/>
        </w:rPr>
        <w:t>1.</w:t>
      </w:r>
      <w:r>
        <w:rPr>
          <w:rFonts w:hint="eastAsia"/>
          <w:b/>
          <w:bCs/>
        </w:rPr>
        <w:t>工程量清单说明</w:t>
      </w:r>
    </w:p>
    <w:p>
      <w:pPr>
        <w:pStyle w:val="14"/>
        <w:spacing w:line="360" w:lineRule="auto"/>
        <w:ind w:firstLine="420" w:firstLineChars="200"/>
      </w:pPr>
      <w:r>
        <w:t xml:space="preserve">1.1 </w:t>
      </w:r>
      <w:r>
        <w:rPr>
          <w:rFonts w:hint="eastAsia"/>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pStyle w:val="14"/>
        <w:spacing w:line="360" w:lineRule="auto"/>
        <w:ind w:firstLine="420" w:firstLineChars="200"/>
      </w:pPr>
      <w:r>
        <w:t xml:space="preserve">1.2 </w:t>
      </w:r>
      <w:r>
        <w:rPr>
          <w:rFonts w:hint="eastAsia"/>
        </w:rPr>
        <w:t>本工程量清单应与招标文件中的投标人须知、通用合同条款、专用合同条款、技术标准和要求及图纸等一起阅读和理解。</w:t>
      </w:r>
    </w:p>
    <w:p>
      <w:pPr>
        <w:pStyle w:val="14"/>
        <w:spacing w:line="360" w:lineRule="auto"/>
        <w:ind w:firstLine="420" w:firstLineChars="200"/>
      </w:pPr>
      <w:r>
        <w:t xml:space="preserve">1.3 </w:t>
      </w:r>
      <w:r>
        <w:rPr>
          <w:rFonts w:hint="eastAsia"/>
        </w:rPr>
        <w:t>本工程量清单仅是投标报价的共同基础，实际工程计量和工程价款的支付应遵循合同条款的约定和第七章“技术标准和要求”的有关规定。</w:t>
      </w:r>
    </w:p>
    <w:p>
      <w:pPr>
        <w:pStyle w:val="14"/>
        <w:spacing w:line="360" w:lineRule="auto"/>
        <w:ind w:firstLine="420" w:firstLineChars="200"/>
      </w:pPr>
      <w:r>
        <w:t xml:space="preserve">1.4 </w:t>
      </w:r>
      <w:r>
        <w:rPr>
          <w:rFonts w:hint="eastAsia"/>
        </w:rPr>
        <w:t>补充子目工程量计算规则及子目工作内容说明：</w:t>
      </w:r>
      <w:r>
        <w:rPr>
          <w:u w:val="single"/>
        </w:rPr>
        <w:t>_</w:t>
      </w:r>
      <w:r>
        <w:rPr>
          <w:rFonts w:hint="eastAsia"/>
          <w:u w:val="single"/>
        </w:rPr>
        <w:t>/</w:t>
      </w:r>
      <w:r>
        <w:rPr>
          <w:u w:val="single"/>
        </w:rPr>
        <w:t>__</w:t>
      </w:r>
      <w:r>
        <w:rPr>
          <w:rFonts w:hint="eastAsia"/>
        </w:rPr>
        <w:t>。</w:t>
      </w:r>
    </w:p>
    <w:p>
      <w:pPr>
        <w:pStyle w:val="14"/>
        <w:spacing w:line="360" w:lineRule="auto"/>
        <w:rPr>
          <w:b/>
          <w:bCs/>
        </w:rPr>
      </w:pPr>
      <w:r>
        <w:rPr>
          <w:b/>
          <w:bCs/>
        </w:rPr>
        <w:t>2.</w:t>
      </w:r>
      <w:r>
        <w:rPr>
          <w:rFonts w:hint="eastAsia"/>
          <w:b/>
          <w:bCs/>
        </w:rPr>
        <w:t>投标报价说明</w:t>
      </w:r>
    </w:p>
    <w:p>
      <w:pPr>
        <w:pStyle w:val="14"/>
        <w:spacing w:line="360" w:lineRule="auto"/>
        <w:ind w:firstLine="420" w:firstLineChars="200"/>
      </w:pPr>
      <w:r>
        <w:t xml:space="preserve">2.1 </w:t>
      </w:r>
      <w:r>
        <w:rPr>
          <w:rFonts w:hint="eastAsia"/>
        </w:rPr>
        <w:t>工程量清单中的每一子目须填入单价或价格，且只允许有一个报价。</w:t>
      </w:r>
    </w:p>
    <w:p>
      <w:pPr>
        <w:pStyle w:val="14"/>
        <w:spacing w:line="360" w:lineRule="auto"/>
        <w:ind w:firstLine="420" w:firstLineChars="200"/>
      </w:pPr>
      <w:r>
        <w:t xml:space="preserve">2.2 </w:t>
      </w:r>
      <w:r>
        <w:rPr>
          <w:rFonts w:hint="eastAsia"/>
        </w:rPr>
        <w:t>工程量清单中标价的单价或金额，应包括所需的人工费、材料和施工机具使用费和企业管理费、利润以及一定范围内的风险费用等。</w:t>
      </w:r>
    </w:p>
    <w:p>
      <w:pPr>
        <w:pStyle w:val="14"/>
        <w:spacing w:line="360" w:lineRule="auto"/>
        <w:ind w:firstLine="420" w:firstLineChars="200"/>
      </w:pPr>
      <w:r>
        <w:t xml:space="preserve">2.3 </w:t>
      </w:r>
      <w:r>
        <w:rPr>
          <w:rFonts w:hint="eastAsia"/>
        </w:rPr>
        <w:t>工程量清单中投标人没有填入单价或价格的子目，其费用视为已分摊在工程量清单中其他相关子目的单价或价格之中。</w:t>
      </w:r>
    </w:p>
    <w:p>
      <w:pPr>
        <w:pStyle w:val="14"/>
        <w:spacing w:line="360" w:lineRule="auto"/>
        <w:ind w:firstLine="420" w:firstLineChars="200"/>
        <w:rPr>
          <w:u w:val="single"/>
        </w:rPr>
      </w:pPr>
      <w:r>
        <w:t xml:space="preserve">2.4 </w:t>
      </w:r>
      <w:r>
        <w:rPr>
          <w:rFonts w:hint="eastAsia"/>
        </w:rPr>
        <w:t>暂列金额的数量及拟用子目的说明：</w:t>
      </w:r>
      <w:r>
        <w:rPr>
          <w:u w:val="single"/>
        </w:rPr>
        <w:t xml:space="preserve"> </w:t>
      </w:r>
      <w:r>
        <w:rPr>
          <w:rFonts w:hint="eastAsia"/>
          <w:u w:val="single"/>
        </w:rPr>
        <w:t>/</w:t>
      </w:r>
      <w:r>
        <w:rPr>
          <w:u w:val="single"/>
        </w:rPr>
        <w:t>__</w:t>
      </w:r>
      <w:r>
        <w:rPr>
          <w:rFonts w:hint="eastAsia"/>
          <w:u w:val="single"/>
        </w:rPr>
        <w:t>。</w:t>
      </w:r>
    </w:p>
    <w:p>
      <w:pPr>
        <w:pStyle w:val="14"/>
        <w:spacing w:line="360" w:lineRule="auto"/>
        <w:rPr>
          <w:b/>
          <w:bCs/>
        </w:rPr>
      </w:pPr>
      <w:r>
        <w:rPr>
          <w:b/>
          <w:bCs/>
        </w:rPr>
        <w:t>3.</w:t>
      </w:r>
      <w:r>
        <w:rPr>
          <w:rFonts w:hint="eastAsia"/>
          <w:b/>
          <w:bCs/>
        </w:rPr>
        <w:t>其他说明</w:t>
      </w:r>
    </w:p>
    <w:p>
      <w:pPr>
        <w:pStyle w:val="14"/>
        <w:spacing w:line="360" w:lineRule="auto"/>
        <w:ind w:firstLine="420" w:firstLineChars="200"/>
      </w:pPr>
      <w:r>
        <w:t xml:space="preserve">3.1 </w:t>
      </w:r>
      <w:r>
        <w:rPr>
          <w:rFonts w:hint="eastAsia"/>
        </w:rPr>
        <w:t>投标人在投标文件中应明确所选用主要材料、设备的品牌、厂家以及质量等级。投标人投标的产品必须满足招标设计要求，其性能、主要技术指标参照或不低于招标工程量清单及招标文件中提供的技术标准和要求，招标人如有提供参考品牌的，投标人投标的产品品牌档次应参照或相当于技术参数要求中参考品牌的档次，并保持综合单价不变。</w:t>
      </w:r>
    </w:p>
    <w:p>
      <w:pPr>
        <w:pStyle w:val="14"/>
        <w:spacing w:line="360" w:lineRule="auto"/>
        <w:rPr>
          <w:b/>
          <w:bCs/>
        </w:rPr>
      </w:pPr>
      <w:r>
        <w:rPr>
          <w:b/>
          <w:bCs/>
        </w:rPr>
        <w:t>4.</w:t>
      </w:r>
      <w:r>
        <w:rPr>
          <w:rFonts w:hint="eastAsia"/>
          <w:b/>
          <w:bCs/>
        </w:rPr>
        <w:t>工程量清单（另册，见附件）</w:t>
      </w:r>
    </w:p>
    <w:p>
      <w:pPr>
        <w:pStyle w:val="14"/>
      </w:pPr>
    </w:p>
    <w:p>
      <w:pPr>
        <w:rPr>
          <w:rFonts w:hint="eastAsia"/>
        </w:rPr>
      </w:pPr>
      <w:r>
        <w:br w:type="page"/>
      </w:r>
    </w:p>
    <w:p>
      <w:pPr>
        <w:pStyle w:val="2"/>
        <w:jc w:val="center"/>
        <w:rPr>
          <w:rFonts w:hint="eastAsia"/>
        </w:rPr>
      </w:pPr>
      <w:r>
        <w:rPr>
          <w:rFonts w:hint="eastAsia"/>
        </w:rPr>
        <w:t xml:space="preserve">第六章 </w:t>
      </w:r>
      <w:bookmarkStart w:id="132" w:name="_Toc12864"/>
      <w:r>
        <w:rPr>
          <w:rFonts w:hint="eastAsia"/>
        </w:rPr>
        <w:t>图纸</w:t>
      </w:r>
      <w:bookmarkEnd w:id="132"/>
    </w:p>
    <w:p>
      <w:pPr>
        <w:jc w:val="center"/>
        <w:rPr>
          <w:rFonts w:hint="eastAsia"/>
        </w:rPr>
      </w:pPr>
      <w:r>
        <w:rPr>
          <w:rFonts w:hint="eastAsia"/>
          <w:b/>
          <w:bCs/>
          <w:sz w:val="32"/>
          <w:szCs w:val="32"/>
        </w:rPr>
        <w:t>（另册，见附件）</w:t>
      </w:r>
    </w:p>
    <w:p>
      <w:pPr>
        <w:pStyle w:val="2"/>
        <w:spacing w:line="276" w:lineRule="auto"/>
        <w:jc w:val="center"/>
        <w:rPr>
          <w:rFonts w:hint="eastAsia"/>
        </w:rPr>
      </w:pPr>
      <w:r>
        <w:rPr>
          <w:rFonts w:hint="eastAsia"/>
        </w:rPr>
        <w:br w:type="page"/>
      </w:r>
      <w:r>
        <w:rPr>
          <w:rFonts w:hint="eastAsia"/>
        </w:rPr>
        <w:t xml:space="preserve">第七章 </w:t>
      </w:r>
      <w:bookmarkStart w:id="133" w:name="_Toc17173"/>
      <w:r>
        <w:rPr>
          <w:rFonts w:hint="eastAsia"/>
        </w:rPr>
        <w:t>技术标准和要求</w:t>
      </w:r>
      <w:bookmarkEnd w:id="133"/>
      <w:bookmarkStart w:id="134" w:name="_Toc179632806"/>
      <w:bookmarkStart w:id="135" w:name="_Toc144974855"/>
      <w:bookmarkStart w:id="136" w:name="_Toc152045786"/>
      <w:bookmarkStart w:id="137" w:name="_Toc152042575"/>
    </w:p>
    <w:p>
      <w:pPr>
        <w:pStyle w:val="14"/>
        <w:spacing w:line="276" w:lineRule="auto"/>
        <w:rPr>
          <w:b/>
        </w:rPr>
      </w:pPr>
      <w:r>
        <w:rPr>
          <w:b/>
        </w:rPr>
        <w:t>一、技术标准：</w:t>
      </w:r>
    </w:p>
    <w:p>
      <w:pPr>
        <w:spacing w:line="400" w:lineRule="exact"/>
        <w:ind w:firstLine="420" w:firstLineChars="200"/>
        <w:rPr>
          <w:rFonts w:hint="eastAsia"/>
        </w:rPr>
      </w:pPr>
      <w:r>
        <w:rPr>
          <w:rFonts w:hint="eastAsia"/>
        </w:rPr>
        <w:t>1、依据设计施工图纸和技术文件要求，本工程项目的材料、设备、施工必须达到以下现行中华人民共和国及省、市、行业的一切有关法规、规范的要求，如下述标准及规范要求有出入则以较严格者为准。</w:t>
      </w:r>
    </w:p>
    <w:p>
      <w:pPr>
        <w:spacing w:line="400" w:lineRule="exact"/>
        <w:ind w:firstLine="420" w:firstLineChars="200"/>
        <w:rPr>
          <w:rFonts w:hint="eastAsia"/>
        </w:rPr>
      </w:pPr>
      <w:r>
        <w:rPr>
          <w:rFonts w:hint="eastAsia"/>
        </w:rPr>
        <w:t>（1）国家及行业和当地标准及规范</w:t>
      </w:r>
    </w:p>
    <w:p>
      <w:pPr>
        <w:spacing w:line="400" w:lineRule="exact"/>
        <w:ind w:firstLine="420" w:firstLineChars="200"/>
        <w:rPr>
          <w:rFonts w:hint="eastAsia"/>
        </w:rPr>
      </w:pPr>
      <w:r>
        <w:rPr>
          <w:rFonts w:hint="eastAsia"/>
        </w:rPr>
        <w:t>（2）设计图纸及说明</w:t>
      </w:r>
    </w:p>
    <w:p>
      <w:pPr>
        <w:spacing w:line="400" w:lineRule="exact"/>
        <w:ind w:firstLine="420" w:firstLineChars="200"/>
        <w:rPr>
          <w:rFonts w:hint="eastAsia"/>
        </w:rPr>
      </w:pPr>
      <w:r>
        <w:rPr>
          <w:rFonts w:hint="eastAsia"/>
        </w:rPr>
        <w:t>（3）施工规范</w:t>
      </w:r>
    </w:p>
    <w:p>
      <w:pPr>
        <w:spacing w:line="400" w:lineRule="exact"/>
        <w:ind w:firstLine="420" w:firstLineChars="200"/>
        <w:rPr>
          <w:rFonts w:hint="eastAsia"/>
        </w:rPr>
      </w:pPr>
      <w:r>
        <w:rPr>
          <w:rFonts w:hint="eastAsia"/>
        </w:rPr>
        <w:t>上述标准及规范若有冲突，以要求较高较新者为准。建设依据还包括相关工程设计图以及技术说明文件。</w:t>
      </w:r>
    </w:p>
    <w:p>
      <w:pPr>
        <w:pStyle w:val="14"/>
        <w:ind w:firstLine="420" w:firstLineChars="200"/>
      </w:pPr>
      <w:r>
        <w:rPr>
          <w:rFonts w:hint="eastAsia"/>
        </w:rPr>
        <w:t>2</w:t>
      </w:r>
      <w:r>
        <w:t>、在工程实施中所采用的设备、材料与工艺，应符合本规范及本规范引用的其它标准与规范的相应要求。</w:t>
      </w:r>
    </w:p>
    <w:p>
      <w:pPr>
        <w:pStyle w:val="14"/>
        <w:ind w:firstLine="420" w:firstLineChars="200"/>
      </w:pPr>
      <w:r>
        <w:rPr>
          <w:rFonts w:hint="eastAsia"/>
        </w:rPr>
        <w:t>3</w:t>
      </w:r>
      <w:r>
        <w:t>、在工程实施全过程中，所引用的标准或规范如果有修改或新颁，应由</w:t>
      </w:r>
      <w:r>
        <w:rPr>
          <w:rFonts w:hint="eastAsia"/>
        </w:rPr>
        <w:t>招标人</w:t>
      </w:r>
      <w:r>
        <w:t>决定是否用新的标准或规范，投标人应按</w:t>
      </w:r>
      <w:r>
        <w:rPr>
          <w:rFonts w:hint="eastAsia"/>
        </w:rPr>
        <w:t>招标人</w:t>
      </w:r>
      <w:r>
        <w:t>的决定执行。</w:t>
      </w:r>
    </w:p>
    <w:p>
      <w:pPr>
        <w:pStyle w:val="14"/>
        <w:ind w:firstLine="420" w:firstLineChars="200"/>
      </w:pPr>
      <w:r>
        <w:rPr>
          <w:rFonts w:hint="eastAsia"/>
        </w:rPr>
        <w:t>4</w:t>
      </w:r>
      <w:r>
        <w:t>、对于工程所采用的标准或规范的任何部分，当投标人认为改用其他标准或规范，能够保证工程达到更高质量时，投标人应在30天前报经</w:t>
      </w:r>
      <w:r>
        <w:rPr>
          <w:rFonts w:hint="eastAsia"/>
        </w:rPr>
        <w:t>招标人</w:t>
      </w:r>
      <w:r>
        <w:t>审批后，方可采用，否则，投标人应严格执行本规范。但这种批准，应不免除投标人根据合同规定的任何责任。</w:t>
      </w:r>
    </w:p>
    <w:p>
      <w:pPr>
        <w:pStyle w:val="14"/>
        <w:ind w:firstLine="420" w:firstLineChars="200"/>
      </w:pPr>
      <w:r>
        <w:t>4、当适用于工程的几种标准与规范出现意义不明或不一致时，应由</w:t>
      </w:r>
      <w:r>
        <w:rPr>
          <w:rFonts w:hint="eastAsia"/>
        </w:rPr>
        <w:t>招标人</w:t>
      </w:r>
      <w:r>
        <w:t>作出解释和校正，并就此向投标人发出指令。</w:t>
      </w:r>
    </w:p>
    <w:p>
      <w:pPr>
        <w:pStyle w:val="14"/>
        <w:rPr>
          <w:b/>
        </w:rPr>
      </w:pPr>
      <w:r>
        <w:rPr>
          <w:b/>
        </w:rPr>
        <w:t>二、材料要求：</w:t>
      </w:r>
    </w:p>
    <w:p>
      <w:pPr>
        <w:pStyle w:val="14"/>
        <w:ind w:firstLine="420" w:firstLineChars="200"/>
      </w:pPr>
      <w:r>
        <w:rPr>
          <w:rFonts w:hint="eastAsia"/>
        </w:rPr>
        <w:t>1</w:t>
      </w:r>
      <w:r>
        <w:t>、材料的质量要求：</w:t>
      </w:r>
    </w:p>
    <w:p>
      <w:pPr>
        <w:pStyle w:val="14"/>
        <w:ind w:firstLine="420" w:firstLineChars="200"/>
      </w:pPr>
      <w:r>
        <w:t>（1）在免费保修期内，中标人对有缺陷的部位必须无偿地给予修理与更换，并承担一切由此引起的对</w:t>
      </w:r>
      <w:r>
        <w:rPr>
          <w:rFonts w:hint="eastAsia"/>
        </w:rPr>
        <w:t>招标人</w:t>
      </w:r>
      <w:r>
        <w:t>或第三者的直接损失，除非该缺陷是由于人为破坏或合同规定的不可抗因素造成的损坏。</w:t>
      </w:r>
    </w:p>
    <w:p>
      <w:pPr>
        <w:pStyle w:val="14"/>
        <w:ind w:firstLine="420" w:firstLineChars="200"/>
      </w:pPr>
      <w:r>
        <w:t>（2）中标人必须对所承包的工程的质量负全部责任，其责任不因其他材料生产商提供的保证书而减轻或更改。</w:t>
      </w:r>
    </w:p>
    <w:p>
      <w:pPr>
        <w:pStyle w:val="14"/>
        <w:ind w:firstLine="420" w:firstLineChars="200"/>
      </w:pPr>
      <w:r>
        <w:rPr>
          <w:rFonts w:hint="eastAsia"/>
        </w:rPr>
        <w:t>2</w:t>
      </w:r>
      <w:r>
        <w:t>、材料供应要求：</w:t>
      </w:r>
    </w:p>
    <w:p>
      <w:pPr>
        <w:pStyle w:val="14"/>
        <w:ind w:firstLine="420" w:firstLineChars="200"/>
        <w:rPr>
          <w:color w:val="EE0000"/>
        </w:rPr>
      </w:pPr>
      <w:r>
        <w:rPr>
          <w:rFonts w:hint="eastAsia"/>
        </w:rPr>
        <w:t>本次招标承包范围内的建筑施工材料均由投标人根据本招标文件、设计图纸和国家有关规定的具体要求进行采购、运输、检验、保管。</w:t>
      </w:r>
    </w:p>
    <w:p>
      <w:pPr>
        <w:pStyle w:val="14"/>
        <w:rPr>
          <w:b/>
        </w:rPr>
      </w:pPr>
      <w:r>
        <w:rPr>
          <w:rFonts w:hint="eastAsia"/>
          <w:b/>
        </w:rPr>
        <w:t>三、技术要求：</w:t>
      </w:r>
    </w:p>
    <w:p>
      <w:pPr>
        <w:pStyle w:val="14"/>
        <w:ind w:firstLine="420" w:firstLineChars="200"/>
      </w:pPr>
      <w:r>
        <w:rPr>
          <w:rFonts w:hint="eastAsia"/>
        </w:rPr>
        <w:t>投标人需按照图纸及工程量清单的要求，完成本工程的工作。</w:t>
      </w:r>
    </w:p>
    <w:p>
      <w:pPr>
        <w:pStyle w:val="14"/>
        <w:rPr>
          <w:b/>
        </w:rPr>
      </w:pPr>
      <w:r>
        <w:rPr>
          <w:rFonts w:hint="eastAsia"/>
          <w:b/>
        </w:rPr>
        <w:t>四、工程管理的要求：</w:t>
      </w:r>
    </w:p>
    <w:p>
      <w:pPr>
        <w:pStyle w:val="14"/>
        <w:ind w:firstLine="420" w:firstLineChars="200"/>
      </w:pPr>
      <w:r>
        <w:rPr>
          <w:rFonts w:hint="eastAsia"/>
        </w:rPr>
        <w:t>1、本工程发包范围内的工作内容不允许分包。一经发现违规分包立即取消中标资格，作违约处理，并承担由此引起的一切经济损失。</w:t>
      </w:r>
    </w:p>
    <w:p>
      <w:pPr>
        <w:pStyle w:val="14"/>
        <w:ind w:firstLine="420" w:firstLineChars="200"/>
      </w:pPr>
      <w:r>
        <w:rPr>
          <w:rFonts w:hint="eastAsia"/>
        </w:rPr>
        <w:t>2、投标人应严格按已确认设计图纸和施工技术方案组织施工，并无条件地接受招标人对施工质量的监督和管理。</w:t>
      </w:r>
    </w:p>
    <w:p>
      <w:pPr>
        <w:pStyle w:val="14"/>
        <w:ind w:firstLine="420" w:firstLineChars="200"/>
      </w:pPr>
      <w:r>
        <w:rPr>
          <w:rFonts w:hint="eastAsia"/>
        </w:rPr>
        <w:t>3、投标人在投标文件中的承诺的管理人员未经招标人同意，投标人不得调换和撤离，并按工程进度及时到位。招标人有权要求施工单位撤换工作不负责任、管理不力、贻误工期和造成严重的安全事故和工程质量事故、违法乱纪的人员，直至招标人满意为止。项目必须配备相应资质的技术人员。</w:t>
      </w:r>
    </w:p>
    <w:p>
      <w:pPr>
        <w:pStyle w:val="14"/>
        <w:rPr>
          <w:b/>
          <w:bCs/>
        </w:rPr>
      </w:pPr>
      <w:r>
        <w:rPr>
          <w:rFonts w:hint="eastAsia"/>
          <w:b/>
          <w:bCs/>
        </w:rPr>
        <w:t>五、技术参数要求：</w:t>
      </w:r>
    </w:p>
    <w:tbl>
      <w:tblPr>
        <w:tblStyle w:val="25"/>
        <w:tblW w:w="0" w:type="auto"/>
        <w:tblInd w:w="135" w:type="dxa"/>
        <w:tblLayout w:type="fixed"/>
        <w:tblCellMar>
          <w:top w:w="0" w:type="dxa"/>
          <w:left w:w="108" w:type="dxa"/>
          <w:bottom w:w="0" w:type="dxa"/>
          <w:right w:w="108" w:type="dxa"/>
        </w:tblCellMar>
      </w:tblPr>
      <w:tblGrid>
        <w:gridCol w:w="396"/>
        <w:gridCol w:w="1198"/>
        <w:gridCol w:w="3936"/>
        <w:gridCol w:w="993"/>
        <w:gridCol w:w="755"/>
        <w:gridCol w:w="1027"/>
      </w:tblGrid>
      <w:tr>
        <w:tblPrEx>
          <w:tblCellMar>
            <w:top w:w="0" w:type="dxa"/>
            <w:left w:w="108" w:type="dxa"/>
            <w:bottom w:w="0" w:type="dxa"/>
            <w:right w:w="108" w:type="dxa"/>
          </w:tblCellMar>
        </w:tblPrEx>
        <w:trPr>
          <w:trHeight w:val="6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序号</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设备名称</w:t>
            </w:r>
          </w:p>
        </w:tc>
        <w:tc>
          <w:tcPr>
            <w:tcW w:w="3936" w:type="dxa"/>
            <w:tcBorders>
              <w:top w:val="single" w:color="auto" w:sz="4" w:space="0"/>
              <w:left w:val="nil"/>
              <w:bottom w:val="single" w:color="auto" w:sz="4" w:space="0"/>
              <w:right w:val="single" w:color="auto" w:sz="4" w:space="0"/>
            </w:tcBorders>
            <w:noWrap/>
            <w:vAlign w:val="center"/>
          </w:tcPr>
          <w:p>
            <w:pPr>
              <w:widowControl/>
              <w:jc w:val="center"/>
              <w:rPr>
                <w:rFonts w:hint="eastAsia" w:cs="宋体"/>
                <w:color w:val="000000"/>
                <w:kern w:val="0"/>
                <w:sz w:val="18"/>
                <w:szCs w:val="18"/>
              </w:rPr>
            </w:pPr>
            <w:r>
              <w:rPr>
                <w:rFonts w:hint="eastAsia"/>
                <w:color w:val="000000"/>
                <w:kern w:val="0"/>
                <w:sz w:val="18"/>
                <w:szCs w:val="18"/>
              </w:rPr>
              <w:t>产品规格参数</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hint="eastAsia"/>
                <w:color w:val="000000"/>
                <w:kern w:val="0"/>
                <w:sz w:val="18"/>
                <w:szCs w:val="18"/>
              </w:rPr>
            </w:pPr>
            <w:r>
              <w:rPr>
                <w:rFonts w:hint="eastAsia"/>
                <w:color w:val="000000"/>
                <w:kern w:val="0"/>
                <w:sz w:val="18"/>
                <w:szCs w:val="18"/>
              </w:rPr>
              <w:t>数量</w:t>
            </w:r>
          </w:p>
        </w:tc>
        <w:tc>
          <w:tcPr>
            <w:tcW w:w="755" w:type="dxa"/>
            <w:tcBorders>
              <w:top w:val="single" w:color="auto" w:sz="4" w:space="0"/>
              <w:left w:val="nil"/>
              <w:bottom w:val="single" w:color="auto" w:sz="4" w:space="0"/>
              <w:right w:val="single" w:color="auto" w:sz="4" w:space="0"/>
            </w:tcBorders>
            <w:noWrap/>
            <w:vAlign w:val="center"/>
          </w:tcPr>
          <w:p>
            <w:pPr>
              <w:widowControl/>
              <w:jc w:val="center"/>
              <w:rPr>
                <w:rFonts w:hint="eastAsia"/>
                <w:color w:val="000000"/>
                <w:kern w:val="0"/>
                <w:sz w:val="18"/>
                <w:szCs w:val="18"/>
              </w:rPr>
            </w:pPr>
            <w:r>
              <w:rPr>
                <w:rFonts w:hint="eastAsia"/>
                <w:sz w:val="18"/>
                <w:szCs w:val="18"/>
              </w:rPr>
              <w:t>单位</w:t>
            </w:r>
          </w:p>
        </w:tc>
        <w:tc>
          <w:tcPr>
            <w:tcW w:w="1027" w:type="dxa"/>
            <w:tcBorders>
              <w:top w:val="single" w:color="auto" w:sz="4" w:space="0"/>
              <w:left w:val="nil"/>
              <w:bottom w:val="single" w:color="auto" w:sz="4" w:space="0"/>
              <w:right w:val="single" w:color="auto" w:sz="4" w:space="0"/>
            </w:tcBorders>
            <w:noWrap/>
            <w:vAlign w:val="center"/>
          </w:tcPr>
          <w:p>
            <w:pPr>
              <w:widowControl/>
              <w:jc w:val="center"/>
              <w:rPr>
                <w:rFonts w:hint="eastAsia"/>
                <w:color w:val="000000"/>
                <w:kern w:val="0"/>
                <w:sz w:val="18"/>
                <w:szCs w:val="18"/>
              </w:rPr>
            </w:pPr>
            <w:r>
              <w:rPr>
                <w:rFonts w:hint="eastAsia"/>
                <w:color w:val="000000"/>
                <w:kern w:val="0"/>
                <w:sz w:val="18"/>
                <w:szCs w:val="18"/>
              </w:rPr>
              <w:t>参考品牌</w:t>
            </w:r>
          </w:p>
        </w:tc>
      </w:tr>
      <w:tr>
        <w:tblPrEx>
          <w:tblCellMar>
            <w:top w:w="0" w:type="dxa"/>
            <w:left w:w="108" w:type="dxa"/>
            <w:bottom w:w="0" w:type="dxa"/>
            <w:right w:w="108" w:type="dxa"/>
          </w:tblCellMar>
        </w:tblPrEx>
        <w:trPr>
          <w:trHeight w:val="2034"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人脸门禁一体机</w:t>
            </w:r>
          </w:p>
        </w:tc>
        <w:tc>
          <w:tcPr>
            <w:tcW w:w="3936" w:type="dxa"/>
            <w:tcBorders>
              <w:top w:val="single" w:color="auto" w:sz="4" w:space="0"/>
              <w:left w:val="nil"/>
              <w:bottom w:val="single" w:color="auto" w:sz="4" w:space="0"/>
              <w:right w:val="single" w:color="auto" w:sz="4" w:space="0"/>
            </w:tcBorders>
            <w:vAlign w:val="center"/>
          </w:tcPr>
          <w:p>
            <w:pPr>
              <w:widowControl/>
              <w:rPr>
                <w:rFonts w:hint="eastAsia" w:cs="宋体"/>
                <w:color w:val="000000"/>
                <w:kern w:val="0"/>
                <w:sz w:val="18"/>
                <w:szCs w:val="18"/>
              </w:rPr>
            </w:pPr>
            <w:r>
              <w:rPr>
                <w:rFonts w:hint="eastAsia"/>
                <w:color w:val="000000"/>
                <w:kern w:val="0"/>
                <w:sz w:val="18"/>
                <w:szCs w:val="18"/>
              </w:rPr>
              <w:t>7英寸触摸显示屏，屏幕比例9:16，屏幕分辨率600*1024；</w:t>
            </w:r>
          </w:p>
          <w:p>
            <w:pPr>
              <w:widowControl/>
              <w:rPr>
                <w:rFonts w:hint="eastAsia" w:cs="宋体"/>
                <w:color w:val="000000"/>
                <w:kern w:val="0"/>
                <w:sz w:val="18"/>
                <w:szCs w:val="18"/>
              </w:rPr>
            </w:pPr>
            <w:r>
              <w:rPr>
                <w:rFonts w:hint="eastAsia"/>
                <w:color w:val="000000"/>
                <w:kern w:val="0"/>
                <w:sz w:val="18"/>
                <w:szCs w:val="18"/>
              </w:rPr>
              <w:t>摄像头参数：采用宽动态200万双目摄像头；</w:t>
            </w:r>
          </w:p>
          <w:p>
            <w:pPr>
              <w:widowControl/>
              <w:rPr>
                <w:rFonts w:hint="eastAsia" w:cs="宋体"/>
                <w:color w:val="000000"/>
                <w:kern w:val="0"/>
                <w:sz w:val="18"/>
                <w:szCs w:val="18"/>
              </w:rPr>
            </w:pPr>
            <w:r>
              <w:rPr>
                <w:rFonts w:hint="eastAsia"/>
                <w:color w:val="000000"/>
                <w:kern w:val="0"/>
                <w:sz w:val="18"/>
                <w:szCs w:val="18"/>
              </w:rPr>
              <w:t>认证方式</w:t>
            </w:r>
            <w:r>
              <w:rPr>
                <w:rFonts w:cs="宋体"/>
                <w:color w:val="000000"/>
                <w:kern w:val="0"/>
                <w:sz w:val="18"/>
                <w:szCs w:val="18"/>
              </w:rPr>
              <w:t>：支持人脸、刷卡（IC卡、手机NFC卡、CPU卡序列号/内容、身份证卡序列号）、密码认证方式，可外接身份证、指纹、蓝牙、二维码功能模块；</w:t>
            </w:r>
          </w:p>
          <w:p>
            <w:pPr>
              <w:widowControl/>
              <w:rPr>
                <w:rFonts w:hint="eastAsia" w:cs="宋体"/>
                <w:kern w:val="0"/>
                <w:sz w:val="18"/>
                <w:szCs w:val="18"/>
              </w:rPr>
            </w:pPr>
            <w:r>
              <w:rPr>
                <w:rFonts w:hint="eastAsia"/>
                <w:color w:val="000000"/>
                <w:kern w:val="0"/>
                <w:sz w:val="18"/>
                <w:szCs w:val="18"/>
              </w:rPr>
              <w:t>▲</w:t>
            </w:r>
            <w:r>
              <w:rPr>
                <w:rFonts w:hint="eastAsia"/>
                <w:kern w:val="0"/>
                <w:sz w:val="18"/>
                <w:szCs w:val="18"/>
              </w:rPr>
              <w:t>人脸验证：采用深度学习算法，支持多人识别（</w:t>
            </w:r>
            <w:r>
              <w:rPr>
                <w:rFonts w:hint="eastAsia"/>
                <w:color w:val="000000"/>
                <w:sz w:val="18"/>
                <w:szCs w:val="18"/>
              </w:rPr>
              <w:t>≥</w:t>
            </w:r>
            <w:r>
              <w:rPr>
                <w:rFonts w:hint="eastAsia"/>
                <w:kern w:val="0"/>
                <w:sz w:val="18"/>
                <w:szCs w:val="18"/>
              </w:rPr>
              <w:t>5人同时认证），本地人脸库存储</w:t>
            </w:r>
            <w:bookmarkStart w:id="138" w:name="OLE_LINK72"/>
            <w:r>
              <w:rPr>
                <w:rFonts w:hint="eastAsia"/>
                <w:kern w:val="0"/>
                <w:sz w:val="18"/>
                <w:szCs w:val="18"/>
              </w:rPr>
              <w:t>≥</w:t>
            </w:r>
            <w:bookmarkEnd w:id="138"/>
            <w:r>
              <w:rPr>
                <w:rFonts w:hint="eastAsia"/>
                <w:kern w:val="0"/>
                <w:sz w:val="18"/>
                <w:szCs w:val="18"/>
              </w:rPr>
              <w:t>10000面</w:t>
            </w:r>
          </w:p>
          <w:p>
            <w:pPr>
              <w:widowControl/>
              <w:rPr>
                <w:rFonts w:hint="eastAsia" w:cs="宋体"/>
                <w:color w:val="000000"/>
                <w:kern w:val="0"/>
                <w:sz w:val="18"/>
                <w:szCs w:val="18"/>
              </w:rPr>
            </w:pPr>
            <w:r>
              <w:rPr>
                <w:rFonts w:hint="eastAsia"/>
                <w:color w:val="000000"/>
                <w:kern w:val="0"/>
                <w:sz w:val="18"/>
                <w:szCs w:val="18"/>
              </w:rPr>
              <w:t>▲功能；支持照片、视频防假；1:N人脸验证速度≤0.2s，人脸验证准确率≥99%；</w:t>
            </w:r>
          </w:p>
          <w:p>
            <w:pPr>
              <w:widowControl/>
              <w:rPr>
                <w:rFonts w:hint="eastAsia" w:cs="宋体"/>
                <w:color w:val="000000"/>
                <w:kern w:val="0"/>
                <w:sz w:val="18"/>
                <w:szCs w:val="18"/>
              </w:rPr>
            </w:pPr>
            <w:r>
              <w:rPr>
                <w:rFonts w:hint="eastAsia"/>
                <w:color w:val="000000"/>
                <w:kern w:val="0"/>
                <w:sz w:val="18"/>
                <w:szCs w:val="18"/>
              </w:rPr>
              <w:t>▲存储容量：本地支持</w:t>
            </w:r>
            <w:r>
              <w:rPr>
                <w:rFonts w:hint="eastAsia"/>
                <w:kern w:val="0"/>
                <w:sz w:val="18"/>
                <w:szCs w:val="18"/>
              </w:rPr>
              <w:t>≥</w:t>
            </w:r>
            <w:r>
              <w:rPr>
                <w:rFonts w:hint="eastAsia"/>
                <w:color w:val="000000"/>
                <w:kern w:val="0"/>
                <w:sz w:val="18"/>
                <w:szCs w:val="18"/>
              </w:rPr>
              <w:t>10000人脸库、</w:t>
            </w:r>
            <w:r>
              <w:rPr>
                <w:rFonts w:hint="eastAsia"/>
                <w:kern w:val="0"/>
                <w:sz w:val="18"/>
                <w:szCs w:val="18"/>
              </w:rPr>
              <w:t>≥</w:t>
            </w:r>
            <w:r>
              <w:rPr>
                <w:rFonts w:hint="eastAsia"/>
                <w:color w:val="000000"/>
                <w:kern w:val="0"/>
                <w:sz w:val="18"/>
                <w:szCs w:val="18"/>
              </w:rPr>
              <w:t>10000张卡，</w:t>
            </w:r>
            <w:r>
              <w:rPr>
                <w:rFonts w:hint="eastAsia"/>
                <w:kern w:val="0"/>
                <w:sz w:val="18"/>
                <w:szCs w:val="18"/>
              </w:rPr>
              <w:t>≥</w:t>
            </w:r>
            <w:r>
              <w:rPr>
                <w:rFonts w:hint="eastAsia"/>
                <w:color w:val="000000"/>
                <w:kern w:val="0"/>
                <w:sz w:val="18"/>
                <w:szCs w:val="18"/>
              </w:rPr>
              <w:t>15万条事件记录</w:t>
            </w:r>
          </w:p>
        </w:tc>
        <w:tc>
          <w:tcPr>
            <w:tcW w:w="993" w:type="dxa"/>
            <w:tcBorders>
              <w:top w:val="single" w:color="auto" w:sz="4" w:space="0"/>
              <w:left w:val="nil"/>
              <w:bottom w:val="single" w:color="auto" w:sz="4" w:space="0"/>
              <w:right w:val="single" w:color="auto" w:sz="4" w:space="0"/>
            </w:tcBorders>
            <w:vAlign w:val="center"/>
          </w:tcPr>
          <w:p>
            <w:pPr>
              <w:pStyle w:val="14"/>
              <w:widowControl/>
              <w:jc w:val="center"/>
              <w:rPr>
                <w:rFonts w:hint="eastAsia" w:hAnsi="宋体"/>
                <w:color w:val="000000"/>
                <w:kern w:val="0"/>
                <w:sz w:val="18"/>
                <w:szCs w:val="18"/>
              </w:rPr>
            </w:pPr>
            <w:r>
              <w:rPr>
                <w:rFonts w:hint="eastAsia" w:hAnsi="宋体"/>
                <w:color w:val="000000"/>
                <w:sz w:val="18"/>
                <w:szCs w:val="18"/>
              </w:rPr>
              <w:t>3</w:t>
            </w:r>
          </w:p>
        </w:tc>
        <w:tc>
          <w:tcPr>
            <w:tcW w:w="755" w:type="dxa"/>
            <w:tcBorders>
              <w:top w:val="single" w:color="auto" w:sz="4" w:space="0"/>
              <w:left w:val="nil"/>
              <w:bottom w:val="single" w:color="auto" w:sz="4" w:space="0"/>
              <w:right w:val="single" w:color="auto" w:sz="4" w:space="0"/>
            </w:tcBorders>
            <w:vAlign w:val="center"/>
          </w:tcPr>
          <w:p>
            <w:pPr>
              <w:pStyle w:val="14"/>
              <w:widowControl/>
              <w:jc w:val="center"/>
              <w:rPr>
                <w:rFonts w:hint="eastAsia" w:hAnsi="宋体"/>
                <w:color w:val="000000"/>
                <w:kern w:val="0"/>
                <w:sz w:val="18"/>
                <w:szCs w:val="18"/>
              </w:rPr>
            </w:pPr>
            <w:r>
              <w:rPr>
                <w:rFonts w:hint="eastAsia" w:hAnsi="宋体"/>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widowControl/>
              <w:rPr>
                <w:rFonts w:hint="eastAsia"/>
                <w:color w:val="000000"/>
                <w:kern w:val="0"/>
                <w:sz w:val="18"/>
                <w:szCs w:val="18"/>
              </w:rPr>
            </w:pPr>
            <w:r>
              <w:rPr>
                <w:rFonts w:hint="eastAsia"/>
                <w:color w:val="000000"/>
                <w:sz w:val="18"/>
                <w:szCs w:val="18"/>
              </w:rPr>
              <w:t>捷顺、立方、富士或相当于</w:t>
            </w:r>
          </w:p>
        </w:tc>
      </w:tr>
      <w:tr>
        <w:tblPrEx>
          <w:tblCellMar>
            <w:top w:w="0" w:type="dxa"/>
            <w:left w:w="108" w:type="dxa"/>
            <w:bottom w:w="0" w:type="dxa"/>
            <w:right w:w="108" w:type="dxa"/>
          </w:tblCellMar>
        </w:tblPrEx>
        <w:trPr>
          <w:trHeight w:val="944" w:hRule="atLeast"/>
        </w:trPr>
        <w:tc>
          <w:tcPr>
            <w:tcW w:w="396" w:type="dxa"/>
            <w:tcBorders>
              <w:top w:val="nil"/>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2</w:t>
            </w:r>
          </w:p>
        </w:tc>
        <w:tc>
          <w:tcPr>
            <w:tcW w:w="1198" w:type="dxa"/>
            <w:tcBorders>
              <w:top w:val="nil"/>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开关电源</w:t>
            </w:r>
          </w:p>
        </w:tc>
        <w:tc>
          <w:tcPr>
            <w:tcW w:w="3936" w:type="dxa"/>
            <w:tcBorders>
              <w:top w:val="nil"/>
              <w:left w:val="nil"/>
              <w:bottom w:val="single" w:color="auto" w:sz="4" w:space="0"/>
              <w:right w:val="single" w:color="auto" w:sz="4" w:space="0"/>
            </w:tcBorders>
            <w:vAlign w:val="center"/>
          </w:tcPr>
          <w:p>
            <w:pPr>
              <w:widowControl/>
              <w:rPr>
                <w:rFonts w:hint="eastAsia" w:cs="宋体"/>
                <w:color w:val="000000"/>
                <w:kern w:val="0"/>
                <w:sz w:val="18"/>
                <w:szCs w:val="18"/>
              </w:rPr>
            </w:pPr>
            <w:r>
              <w:rPr>
                <w:rFonts w:hint="eastAsia"/>
                <w:color w:val="000000"/>
                <w:kern w:val="0"/>
                <w:sz w:val="18"/>
                <w:szCs w:val="18"/>
              </w:rPr>
              <w:t>输出电压：12V；</w:t>
            </w:r>
          </w:p>
          <w:p>
            <w:pPr>
              <w:widowControl/>
              <w:rPr>
                <w:rFonts w:hint="eastAsia" w:cs="宋体"/>
                <w:color w:val="000000"/>
                <w:kern w:val="0"/>
                <w:sz w:val="18"/>
                <w:szCs w:val="18"/>
              </w:rPr>
            </w:pPr>
            <w:r>
              <w:rPr>
                <w:rFonts w:hint="eastAsia"/>
                <w:color w:val="000000"/>
                <w:kern w:val="0"/>
                <w:sz w:val="18"/>
                <w:szCs w:val="18"/>
              </w:rPr>
              <w:t>输出电流：1-5A；</w:t>
            </w:r>
          </w:p>
        </w:tc>
        <w:tc>
          <w:tcPr>
            <w:tcW w:w="993" w:type="dxa"/>
            <w:tcBorders>
              <w:top w:val="nil"/>
              <w:left w:val="nil"/>
              <w:bottom w:val="single" w:color="auto" w:sz="4" w:space="0"/>
              <w:right w:val="single" w:color="auto" w:sz="4" w:space="0"/>
            </w:tcBorders>
            <w:vAlign w:val="center"/>
          </w:tcPr>
          <w:p>
            <w:pPr>
              <w:pStyle w:val="14"/>
              <w:widowControl/>
              <w:jc w:val="center"/>
              <w:rPr>
                <w:color w:val="000000"/>
                <w:kern w:val="0"/>
                <w:sz w:val="18"/>
                <w:szCs w:val="18"/>
              </w:rPr>
            </w:pPr>
            <w:r>
              <w:rPr>
                <w:rFonts w:hint="eastAsia" w:hAnsi="宋体"/>
                <w:color w:val="000000"/>
                <w:sz w:val="18"/>
                <w:szCs w:val="18"/>
              </w:rPr>
              <w:t>3</w:t>
            </w:r>
          </w:p>
        </w:tc>
        <w:tc>
          <w:tcPr>
            <w:tcW w:w="755" w:type="dxa"/>
            <w:tcBorders>
              <w:top w:val="nil"/>
              <w:left w:val="nil"/>
              <w:bottom w:val="single" w:color="auto" w:sz="4" w:space="0"/>
              <w:right w:val="single" w:color="auto" w:sz="4" w:space="0"/>
            </w:tcBorders>
            <w:vAlign w:val="center"/>
          </w:tcPr>
          <w:p>
            <w:pPr>
              <w:pStyle w:val="14"/>
              <w:widowControl/>
              <w:jc w:val="center"/>
              <w:rPr>
                <w:color w:val="000000"/>
                <w:kern w:val="0"/>
                <w:sz w:val="18"/>
                <w:szCs w:val="18"/>
              </w:rPr>
            </w:pPr>
            <w:r>
              <w:rPr>
                <w:rFonts w:hint="eastAsia" w:hAnsi="宋体"/>
                <w:color w:val="000000"/>
                <w:sz w:val="18"/>
                <w:szCs w:val="18"/>
              </w:rPr>
              <w:t>台</w:t>
            </w:r>
          </w:p>
        </w:tc>
        <w:tc>
          <w:tcPr>
            <w:tcW w:w="1027" w:type="dxa"/>
            <w:tcBorders>
              <w:top w:val="nil"/>
              <w:left w:val="nil"/>
              <w:bottom w:val="single" w:color="auto" w:sz="4" w:space="0"/>
              <w:right w:val="single" w:color="auto" w:sz="4" w:space="0"/>
            </w:tcBorders>
            <w:vAlign w:val="center"/>
          </w:tcPr>
          <w:p>
            <w:pPr>
              <w:widowControl/>
              <w:rPr>
                <w:rFonts w:hint="eastAsia" w:cs="宋体"/>
                <w:color w:val="000000"/>
                <w:kern w:val="0"/>
                <w:sz w:val="18"/>
                <w:szCs w:val="18"/>
              </w:rPr>
            </w:pPr>
          </w:p>
        </w:tc>
      </w:tr>
      <w:tr>
        <w:tblPrEx>
          <w:tblCellMar>
            <w:top w:w="0" w:type="dxa"/>
            <w:left w:w="108" w:type="dxa"/>
            <w:bottom w:w="0" w:type="dxa"/>
            <w:right w:w="108" w:type="dxa"/>
          </w:tblCellMar>
        </w:tblPrEx>
        <w:trPr>
          <w:trHeight w:val="979" w:hRule="atLeast"/>
        </w:trPr>
        <w:tc>
          <w:tcPr>
            <w:tcW w:w="396" w:type="dxa"/>
            <w:tcBorders>
              <w:top w:val="nil"/>
              <w:left w:val="single" w:color="auto" w:sz="4" w:space="0"/>
              <w:bottom w:val="single" w:color="auto" w:sz="4" w:space="0"/>
              <w:right w:val="single" w:color="auto" w:sz="4" w:space="0"/>
            </w:tcBorders>
            <w:noWrap/>
            <w:vAlign w:val="center"/>
          </w:tcPr>
          <w:p>
            <w:pPr>
              <w:widowControl/>
              <w:jc w:val="center"/>
              <w:rPr>
                <w:rFonts w:hint="eastAsia" w:cs="宋体"/>
                <w:color w:val="000000"/>
                <w:kern w:val="0"/>
                <w:sz w:val="18"/>
                <w:szCs w:val="18"/>
              </w:rPr>
            </w:pPr>
            <w:r>
              <w:rPr>
                <w:rFonts w:hint="eastAsia"/>
                <w:color w:val="000000"/>
                <w:kern w:val="0"/>
                <w:sz w:val="18"/>
                <w:szCs w:val="18"/>
              </w:rPr>
              <w:t>3</w:t>
            </w:r>
          </w:p>
        </w:tc>
        <w:tc>
          <w:tcPr>
            <w:tcW w:w="1198" w:type="dxa"/>
            <w:tcBorders>
              <w:top w:val="nil"/>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sz w:val="18"/>
                <w:szCs w:val="18"/>
              </w:rPr>
              <w:t>开门按钮</w:t>
            </w:r>
          </w:p>
        </w:tc>
        <w:tc>
          <w:tcPr>
            <w:tcW w:w="3936" w:type="dxa"/>
            <w:tcBorders>
              <w:top w:val="nil"/>
              <w:left w:val="nil"/>
              <w:bottom w:val="single" w:color="auto" w:sz="4" w:space="0"/>
              <w:right w:val="single" w:color="auto" w:sz="4" w:space="0"/>
            </w:tcBorders>
            <w:vAlign w:val="center"/>
          </w:tcPr>
          <w:p>
            <w:pPr>
              <w:widowControl/>
              <w:rPr>
                <w:rFonts w:hint="eastAsia"/>
                <w:color w:val="000000"/>
                <w:kern w:val="0"/>
                <w:sz w:val="18"/>
                <w:szCs w:val="18"/>
              </w:rPr>
            </w:pPr>
            <w:r>
              <w:rPr>
                <w:rFonts w:hint="eastAsia"/>
                <w:color w:val="000000"/>
                <w:sz w:val="18"/>
                <w:szCs w:val="18"/>
              </w:rPr>
              <w:t>标准结构：304不锈钢面板，304不锈钢按钮</w:t>
            </w:r>
            <w:r>
              <w:rPr>
                <w:rFonts w:hint="eastAsia"/>
                <w:color w:val="000000"/>
                <w:sz w:val="18"/>
                <w:szCs w:val="18"/>
              </w:rPr>
              <w:br w:type="textWrapping"/>
            </w:r>
            <w:r>
              <w:rPr>
                <w:rFonts w:hint="eastAsia"/>
                <w:color w:val="000000"/>
                <w:sz w:val="18"/>
                <w:szCs w:val="18"/>
              </w:rPr>
              <w:t>主要功能：</w:t>
            </w:r>
            <w:r>
              <w:rPr>
                <w:rFonts w:hint="eastAsia"/>
                <w:color w:val="000000"/>
                <w:kern w:val="0"/>
                <w:sz w:val="18"/>
                <w:szCs w:val="18"/>
              </w:rPr>
              <w:t>断电后可控制开关</w:t>
            </w:r>
          </w:p>
        </w:tc>
        <w:tc>
          <w:tcPr>
            <w:tcW w:w="993" w:type="dxa"/>
            <w:tcBorders>
              <w:top w:val="nil"/>
              <w:left w:val="nil"/>
              <w:bottom w:val="single" w:color="auto" w:sz="4" w:space="0"/>
              <w:right w:val="single" w:color="auto" w:sz="4" w:space="0"/>
            </w:tcBorders>
            <w:vAlign w:val="center"/>
          </w:tcPr>
          <w:p>
            <w:pPr>
              <w:pStyle w:val="14"/>
              <w:widowControl/>
              <w:jc w:val="center"/>
              <w:rPr>
                <w:rFonts w:hint="eastAsia" w:hAnsi="宋体"/>
                <w:color w:val="000000"/>
                <w:sz w:val="18"/>
                <w:szCs w:val="18"/>
              </w:rPr>
            </w:pPr>
            <w:r>
              <w:rPr>
                <w:rFonts w:hint="eastAsia" w:hAnsi="宋体"/>
                <w:color w:val="000000"/>
                <w:sz w:val="18"/>
                <w:szCs w:val="18"/>
              </w:rPr>
              <w:t>3</w:t>
            </w:r>
          </w:p>
        </w:tc>
        <w:tc>
          <w:tcPr>
            <w:tcW w:w="755" w:type="dxa"/>
            <w:tcBorders>
              <w:top w:val="nil"/>
              <w:left w:val="nil"/>
              <w:bottom w:val="single" w:color="auto" w:sz="4" w:space="0"/>
              <w:right w:val="single" w:color="auto" w:sz="4" w:space="0"/>
            </w:tcBorders>
            <w:vAlign w:val="center"/>
          </w:tcPr>
          <w:p>
            <w:pPr>
              <w:pStyle w:val="14"/>
              <w:widowControl/>
              <w:jc w:val="center"/>
              <w:rPr>
                <w:rFonts w:hint="eastAsia" w:hAnsi="宋体"/>
                <w:color w:val="000000"/>
                <w:sz w:val="18"/>
                <w:szCs w:val="18"/>
              </w:rPr>
            </w:pPr>
            <w:r>
              <w:rPr>
                <w:rFonts w:hint="eastAsia" w:hAnsi="宋体"/>
                <w:color w:val="000000"/>
                <w:sz w:val="18"/>
                <w:szCs w:val="18"/>
              </w:rPr>
              <w:t>台</w:t>
            </w:r>
          </w:p>
        </w:tc>
        <w:tc>
          <w:tcPr>
            <w:tcW w:w="1027" w:type="dxa"/>
            <w:tcBorders>
              <w:top w:val="nil"/>
              <w:left w:val="nil"/>
              <w:bottom w:val="single" w:color="auto" w:sz="4" w:space="0"/>
              <w:right w:val="single" w:color="auto" w:sz="4" w:space="0"/>
            </w:tcBorders>
            <w:vAlign w:val="center"/>
          </w:tcPr>
          <w:p>
            <w:pPr>
              <w:widowControl/>
              <w:rPr>
                <w:rFonts w:hint="eastAsia"/>
                <w:color w:val="000000"/>
                <w:sz w:val="18"/>
                <w:szCs w:val="18"/>
              </w:rPr>
            </w:pPr>
          </w:p>
        </w:tc>
      </w:tr>
      <w:tr>
        <w:tblPrEx>
          <w:tblCellMar>
            <w:top w:w="0" w:type="dxa"/>
            <w:left w:w="108" w:type="dxa"/>
            <w:bottom w:w="0" w:type="dxa"/>
            <w:right w:w="108" w:type="dxa"/>
          </w:tblCellMar>
        </w:tblPrEx>
        <w:trPr>
          <w:trHeight w:val="1045"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kern w:val="0"/>
                <w:sz w:val="18"/>
                <w:szCs w:val="18"/>
              </w:rPr>
            </w:pPr>
            <w:r>
              <w:rPr>
                <w:rFonts w:hint="eastAsia"/>
                <w:kern w:val="0"/>
                <w:sz w:val="18"/>
                <w:szCs w:val="18"/>
              </w:rPr>
              <w:t>4</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kern w:val="0"/>
                <w:sz w:val="18"/>
                <w:szCs w:val="18"/>
              </w:rPr>
            </w:pPr>
            <w:r>
              <w:rPr>
                <w:rFonts w:hint="eastAsia"/>
                <w:sz w:val="18"/>
                <w:szCs w:val="18"/>
              </w:rPr>
              <w:t>电动闭门器</w:t>
            </w:r>
          </w:p>
        </w:tc>
        <w:tc>
          <w:tcPr>
            <w:tcW w:w="3936" w:type="dxa"/>
            <w:tcBorders>
              <w:top w:val="single" w:color="auto" w:sz="4" w:space="0"/>
              <w:left w:val="nil"/>
              <w:bottom w:val="single" w:color="auto" w:sz="4" w:space="0"/>
              <w:right w:val="single" w:color="auto" w:sz="4" w:space="0"/>
            </w:tcBorders>
            <w:vAlign w:val="center"/>
          </w:tcPr>
          <w:p>
            <w:pPr>
              <w:widowControl/>
              <w:rPr>
                <w:rFonts w:hint="eastAsia"/>
                <w:color w:val="000000"/>
                <w:sz w:val="18"/>
                <w:szCs w:val="18"/>
              </w:rPr>
            </w:pPr>
            <w:r>
              <w:rPr>
                <w:rFonts w:hint="eastAsia"/>
                <w:color w:val="000000"/>
                <w:sz w:val="18"/>
                <w:szCs w:val="18"/>
              </w:rPr>
              <w:t>供电电压：24V</w:t>
            </w:r>
          </w:p>
          <w:p>
            <w:pPr>
              <w:widowControl/>
              <w:rPr>
                <w:rFonts w:hint="eastAsia"/>
                <w:color w:val="000000"/>
                <w:sz w:val="18"/>
                <w:szCs w:val="18"/>
              </w:rPr>
            </w:pPr>
            <w:r>
              <w:rPr>
                <w:rFonts w:hint="eastAsia"/>
                <w:color w:val="000000"/>
                <w:sz w:val="18"/>
                <w:szCs w:val="18"/>
              </w:rPr>
              <w:t>主要功能：可实现≥100 万次标准闭门循环；</w:t>
            </w:r>
          </w:p>
          <w:p>
            <w:pPr>
              <w:widowControl/>
              <w:jc w:val="left"/>
              <w:rPr>
                <w:rFonts w:hint="eastAsia" w:cs="宋体"/>
                <w:color w:val="EE0000"/>
                <w:kern w:val="0"/>
                <w:sz w:val="18"/>
                <w:szCs w:val="18"/>
              </w:rPr>
            </w:pPr>
            <w:r>
              <w:rPr>
                <w:rFonts w:hint="eastAsia"/>
                <w:color w:val="000000"/>
                <w:sz w:val="18"/>
                <w:szCs w:val="18"/>
              </w:rPr>
              <w:t>符合消防联动相关规范</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s="Times New Roman"/>
                <w:color w:val="000000"/>
                <w:kern w:val="2"/>
                <w:sz w:val="18"/>
                <w:szCs w:val="18"/>
              </w:rPr>
            </w:pPr>
            <w:r>
              <w:rPr>
                <w:rFonts w:hint="eastAsia"/>
                <w:color w:val="000000"/>
                <w:sz w:val="18"/>
                <w:szCs w:val="18"/>
              </w:rPr>
              <w:t>6</w:t>
            </w:r>
          </w:p>
        </w:tc>
        <w:tc>
          <w:tcPr>
            <w:tcW w:w="755"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皇冠、富尔达、多玛</w:t>
            </w:r>
          </w:p>
        </w:tc>
      </w:tr>
      <w:tr>
        <w:tblPrEx>
          <w:tblCellMar>
            <w:top w:w="0" w:type="dxa"/>
            <w:left w:w="108" w:type="dxa"/>
            <w:bottom w:w="0" w:type="dxa"/>
            <w:right w:w="108" w:type="dxa"/>
          </w:tblCellMar>
        </w:tblPrEx>
        <w:trPr>
          <w:trHeight w:val="134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5</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sz w:val="18"/>
                <w:szCs w:val="18"/>
              </w:rPr>
              <w:t>双门磁力锁</w:t>
            </w:r>
          </w:p>
        </w:tc>
        <w:tc>
          <w:tcPr>
            <w:tcW w:w="3936" w:type="dxa"/>
            <w:tcBorders>
              <w:top w:val="single" w:color="auto" w:sz="4" w:space="0"/>
              <w:left w:val="nil"/>
              <w:bottom w:val="single" w:color="auto" w:sz="4" w:space="0"/>
              <w:right w:val="single" w:color="auto" w:sz="4" w:space="0"/>
            </w:tcBorders>
            <w:vAlign w:val="center"/>
          </w:tcPr>
          <w:p>
            <w:pPr>
              <w:widowControl/>
              <w:rPr>
                <w:rFonts w:hint="eastAsia"/>
                <w:color w:val="000000"/>
                <w:sz w:val="18"/>
                <w:szCs w:val="18"/>
              </w:rPr>
            </w:pPr>
            <w:r>
              <w:rPr>
                <w:rFonts w:hint="eastAsia"/>
                <w:color w:val="000000"/>
                <w:sz w:val="18"/>
                <w:szCs w:val="18"/>
              </w:rPr>
              <w:t>工作电压：12V；</w:t>
            </w:r>
            <w:r>
              <w:rPr>
                <w:rFonts w:hint="eastAsia"/>
                <w:color w:val="000000"/>
                <w:sz w:val="18"/>
                <w:szCs w:val="18"/>
              </w:rPr>
              <w:br w:type="textWrapping"/>
            </w:r>
            <w:r>
              <w:rPr>
                <w:rFonts w:hint="eastAsia"/>
                <w:color w:val="000000"/>
                <w:sz w:val="18"/>
                <w:szCs w:val="18"/>
              </w:rPr>
              <w:t>适用门型：</w:t>
            </w:r>
            <w:r>
              <w:rPr>
                <w:color w:val="000000"/>
                <w:sz w:val="18"/>
                <w:szCs w:val="18"/>
              </w:rPr>
              <w:t>玻璃门、防火门；</w:t>
            </w:r>
          </w:p>
          <w:p>
            <w:pPr>
              <w:widowControl/>
              <w:rPr>
                <w:rFonts w:hint="eastAsia"/>
                <w:color w:val="000000"/>
                <w:kern w:val="0"/>
                <w:sz w:val="18"/>
                <w:szCs w:val="18"/>
              </w:rPr>
            </w:pPr>
            <w:r>
              <w:rPr>
                <w:rFonts w:hint="eastAsia"/>
                <w:color w:val="000000"/>
                <w:sz w:val="18"/>
                <w:szCs w:val="18"/>
              </w:rPr>
              <w:t>断电开锁，满足消防要求</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kern w:val="2"/>
                <w:sz w:val="18"/>
                <w:szCs w:val="18"/>
              </w:rPr>
            </w:pPr>
            <w:r>
              <w:rPr>
                <w:rFonts w:hint="eastAsia"/>
                <w:color w:val="000000"/>
                <w:sz w:val="18"/>
                <w:szCs w:val="18"/>
              </w:rPr>
              <w:t>3</w:t>
            </w:r>
          </w:p>
        </w:tc>
        <w:tc>
          <w:tcPr>
            <w:tcW w:w="755"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捷顺、立方</w:t>
            </w:r>
            <w:r>
              <w:rPr>
                <w:color w:val="000000"/>
                <w:sz w:val="18"/>
                <w:szCs w:val="18"/>
              </w:rPr>
              <w:t>、富士或相当于</w:t>
            </w:r>
          </w:p>
        </w:tc>
      </w:tr>
      <w:tr>
        <w:tblPrEx>
          <w:tblCellMar>
            <w:top w:w="0" w:type="dxa"/>
            <w:left w:w="108" w:type="dxa"/>
            <w:bottom w:w="0" w:type="dxa"/>
            <w:right w:w="108" w:type="dxa"/>
          </w:tblCellMar>
        </w:tblPrEx>
        <w:trPr>
          <w:trHeight w:val="710" w:hRule="atLeast"/>
        </w:trPr>
        <w:tc>
          <w:tcPr>
            <w:tcW w:w="396" w:type="dxa"/>
            <w:tcBorders>
              <w:top w:val="nil"/>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6　</w:t>
            </w:r>
          </w:p>
        </w:tc>
        <w:tc>
          <w:tcPr>
            <w:tcW w:w="1198" w:type="dxa"/>
            <w:tcBorders>
              <w:top w:val="nil"/>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sz w:val="18"/>
                <w:szCs w:val="18"/>
              </w:rPr>
              <w:t>支架</w:t>
            </w:r>
          </w:p>
        </w:tc>
        <w:tc>
          <w:tcPr>
            <w:tcW w:w="3936" w:type="dxa"/>
            <w:tcBorders>
              <w:top w:val="nil"/>
              <w:left w:val="nil"/>
              <w:bottom w:val="single" w:color="auto" w:sz="4" w:space="0"/>
              <w:right w:val="single" w:color="auto" w:sz="4" w:space="0"/>
            </w:tcBorders>
            <w:vAlign w:val="center"/>
          </w:tcPr>
          <w:p>
            <w:pPr>
              <w:widowControl/>
              <w:rPr>
                <w:rFonts w:hint="eastAsia"/>
                <w:color w:val="000000"/>
                <w:kern w:val="0"/>
                <w:sz w:val="18"/>
                <w:szCs w:val="18"/>
              </w:rPr>
            </w:pPr>
            <w:r>
              <w:rPr>
                <w:rFonts w:hint="eastAsia"/>
                <w:color w:val="000000"/>
                <w:sz w:val="18"/>
                <w:szCs w:val="18"/>
              </w:rPr>
              <w:t>国产定制</w:t>
            </w:r>
          </w:p>
        </w:tc>
        <w:tc>
          <w:tcPr>
            <w:tcW w:w="993" w:type="dxa"/>
            <w:tcBorders>
              <w:top w:val="nil"/>
              <w:left w:val="nil"/>
              <w:bottom w:val="single" w:color="auto" w:sz="4" w:space="0"/>
              <w:right w:val="single" w:color="auto" w:sz="4" w:space="0"/>
            </w:tcBorders>
            <w:vAlign w:val="center"/>
          </w:tcPr>
          <w:p>
            <w:pPr>
              <w:pStyle w:val="22"/>
              <w:adjustRightInd w:val="0"/>
              <w:spacing w:line="360" w:lineRule="exact"/>
              <w:jc w:val="center"/>
              <w:rPr>
                <w:rFonts w:hint="eastAsia"/>
                <w:color w:val="000000"/>
                <w:kern w:val="2"/>
                <w:sz w:val="18"/>
                <w:szCs w:val="18"/>
              </w:rPr>
            </w:pPr>
            <w:r>
              <w:rPr>
                <w:rFonts w:hint="eastAsia"/>
                <w:color w:val="000000"/>
                <w:sz w:val="18"/>
                <w:szCs w:val="18"/>
              </w:rPr>
              <w:t>3</w:t>
            </w:r>
          </w:p>
        </w:tc>
        <w:tc>
          <w:tcPr>
            <w:tcW w:w="755" w:type="dxa"/>
            <w:tcBorders>
              <w:top w:val="nil"/>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个</w:t>
            </w:r>
          </w:p>
        </w:tc>
        <w:tc>
          <w:tcPr>
            <w:tcW w:w="1027" w:type="dxa"/>
            <w:tcBorders>
              <w:top w:val="nil"/>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p>
        </w:tc>
      </w:tr>
      <w:tr>
        <w:tblPrEx>
          <w:tblCellMar>
            <w:top w:w="0" w:type="dxa"/>
            <w:left w:w="108" w:type="dxa"/>
            <w:bottom w:w="0" w:type="dxa"/>
            <w:right w:w="108" w:type="dxa"/>
          </w:tblCellMar>
        </w:tblPrEx>
        <w:trPr>
          <w:trHeight w:val="7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kern w:val="0"/>
                <w:sz w:val="18"/>
                <w:szCs w:val="18"/>
              </w:rPr>
            </w:pPr>
            <w:r>
              <w:rPr>
                <w:rFonts w:hint="eastAsia"/>
                <w:kern w:val="0"/>
                <w:sz w:val="18"/>
                <w:szCs w:val="18"/>
              </w:rPr>
              <w:t>7</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kern w:val="0"/>
                <w:sz w:val="18"/>
                <w:szCs w:val="18"/>
              </w:rPr>
            </w:pPr>
            <w:r>
              <w:rPr>
                <w:rFonts w:hint="eastAsia"/>
                <w:kern w:val="0"/>
                <w:sz w:val="18"/>
                <w:szCs w:val="18"/>
              </w:rPr>
              <w:t>感应开关</w:t>
            </w:r>
          </w:p>
        </w:tc>
        <w:tc>
          <w:tcPr>
            <w:tcW w:w="3936" w:type="dxa"/>
            <w:tcBorders>
              <w:top w:val="single" w:color="auto" w:sz="4" w:space="0"/>
              <w:left w:val="nil"/>
              <w:bottom w:val="single" w:color="auto" w:sz="4" w:space="0"/>
              <w:right w:val="single" w:color="auto" w:sz="4" w:space="0"/>
            </w:tcBorders>
            <w:vAlign w:val="center"/>
          </w:tcPr>
          <w:p>
            <w:pPr>
              <w:widowControl/>
              <w:rPr>
                <w:rFonts w:hint="eastAsia"/>
                <w:color w:val="000000"/>
                <w:sz w:val="18"/>
                <w:szCs w:val="18"/>
              </w:rPr>
            </w:pPr>
            <w:r>
              <w:rPr>
                <w:rFonts w:hint="eastAsia"/>
                <w:color w:val="000000"/>
                <w:sz w:val="18"/>
                <w:szCs w:val="18"/>
              </w:rPr>
              <w:t>感应距离 0.5-1.5m、水平扇形 90°/120°；</w:t>
            </w:r>
          </w:p>
          <w:p>
            <w:pPr>
              <w:widowControl/>
              <w:rPr>
                <w:rFonts w:hint="eastAsia"/>
                <w:color w:val="000000"/>
                <w:sz w:val="18"/>
                <w:szCs w:val="18"/>
              </w:rPr>
            </w:pPr>
            <w:r>
              <w:rPr>
                <w:rFonts w:hint="eastAsia"/>
                <w:color w:val="000000"/>
                <w:sz w:val="18"/>
                <w:szCs w:val="18"/>
              </w:rPr>
              <w:t>响应时间≤200ms，触发释放时间 1-2s ；</w:t>
            </w:r>
          </w:p>
          <w:p>
            <w:pPr>
              <w:widowControl/>
              <w:rPr>
                <w:rFonts w:hint="eastAsia"/>
                <w:color w:val="000000"/>
                <w:sz w:val="18"/>
                <w:szCs w:val="18"/>
              </w:rPr>
            </w:pPr>
            <w:r>
              <w:rPr>
                <w:rFonts w:hint="eastAsia"/>
                <w:color w:val="000000"/>
                <w:sz w:val="18"/>
                <w:szCs w:val="18"/>
              </w:rPr>
              <w:t>支持 DC12/24V 宽压供电，</w:t>
            </w:r>
          </w:p>
          <w:p>
            <w:pPr>
              <w:widowControl/>
              <w:rPr>
                <w:rFonts w:hint="eastAsia"/>
                <w:color w:val="EE0000"/>
                <w:kern w:val="0"/>
                <w:sz w:val="18"/>
                <w:szCs w:val="18"/>
              </w:rPr>
            </w:pPr>
            <w:r>
              <w:rPr>
                <w:rFonts w:hint="eastAsia"/>
                <w:color w:val="000000"/>
                <w:sz w:val="18"/>
                <w:szCs w:val="18"/>
              </w:rPr>
              <w:t>室内 IP30  防护等级，适配门禁通道不同使用环境</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kern w:val="2"/>
                <w:sz w:val="18"/>
                <w:szCs w:val="18"/>
              </w:rPr>
            </w:pPr>
            <w:r>
              <w:rPr>
                <w:rFonts w:hint="eastAsia"/>
                <w:color w:val="000000"/>
                <w:sz w:val="18"/>
                <w:szCs w:val="18"/>
              </w:rPr>
              <w:t>3</w:t>
            </w:r>
          </w:p>
        </w:tc>
        <w:tc>
          <w:tcPr>
            <w:tcW w:w="755"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p>
        </w:tc>
      </w:tr>
      <w:tr>
        <w:tblPrEx>
          <w:tblCellMar>
            <w:top w:w="0" w:type="dxa"/>
            <w:left w:w="108" w:type="dxa"/>
            <w:bottom w:w="0" w:type="dxa"/>
            <w:right w:w="108" w:type="dxa"/>
          </w:tblCellMar>
        </w:tblPrEx>
        <w:trPr>
          <w:trHeight w:val="7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8</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8口交换机</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s="宋体"/>
                <w:color w:val="000000"/>
                <w:kern w:val="0"/>
                <w:sz w:val="18"/>
                <w:szCs w:val="18"/>
              </w:rPr>
            </w:pPr>
            <w:r>
              <w:rPr>
                <w:rFonts w:hint="eastAsia"/>
                <w:color w:val="000000"/>
                <w:kern w:val="0"/>
                <w:sz w:val="18"/>
                <w:szCs w:val="18"/>
              </w:rPr>
              <w:t>交换容量432Gbps，包转发率126Mpps。固化10/100/1000M以太网电口8个，10G/2.5G SFP光接口1个</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s="Times New Roman"/>
                <w:color w:val="000000"/>
                <w:sz w:val="18"/>
                <w:szCs w:val="18"/>
              </w:rPr>
            </w:pPr>
            <w:r>
              <w:rPr>
                <w:rFonts w:hint="eastAsia"/>
                <w:color w:val="000000"/>
                <w:sz w:val="18"/>
                <w:szCs w:val="18"/>
              </w:rPr>
              <w:t>2</w:t>
            </w:r>
          </w:p>
        </w:tc>
        <w:tc>
          <w:tcPr>
            <w:tcW w:w="755"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华为、锐捷、H3C或相当于</w:t>
            </w:r>
          </w:p>
        </w:tc>
      </w:tr>
      <w:tr>
        <w:tblPrEx>
          <w:tblCellMar>
            <w:top w:w="0" w:type="dxa"/>
            <w:left w:w="108" w:type="dxa"/>
            <w:bottom w:w="0" w:type="dxa"/>
            <w:right w:w="108" w:type="dxa"/>
          </w:tblCellMar>
        </w:tblPrEx>
        <w:trPr>
          <w:trHeight w:val="731"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9</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自动地弹簧</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s="宋体"/>
                <w:color w:val="000000"/>
                <w:kern w:val="0"/>
                <w:sz w:val="18"/>
                <w:szCs w:val="18"/>
              </w:rPr>
            </w:pPr>
            <w:r>
              <w:rPr>
                <w:rFonts w:cs="宋体"/>
                <w:color w:val="000000"/>
                <w:kern w:val="0"/>
                <w:sz w:val="18"/>
                <w:szCs w:val="18"/>
              </w:rPr>
              <w:t>开启角度：90度；</w:t>
            </w:r>
          </w:p>
          <w:p>
            <w:pPr>
              <w:widowControl/>
              <w:jc w:val="left"/>
              <w:rPr>
                <w:rFonts w:hint="eastAsia" w:cs="宋体"/>
                <w:color w:val="000000"/>
                <w:kern w:val="0"/>
                <w:sz w:val="18"/>
                <w:szCs w:val="18"/>
              </w:rPr>
            </w:pPr>
            <w:r>
              <w:rPr>
                <w:rFonts w:hint="eastAsia"/>
                <w:color w:val="000000"/>
                <w:kern w:val="0"/>
                <w:sz w:val="18"/>
                <w:szCs w:val="18"/>
              </w:rPr>
              <w:t xml:space="preserve">工作电压：24V；   </w:t>
            </w:r>
          </w:p>
          <w:p>
            <w:pPr>
              <w:widowControl/>
              <w:jc w:val="left"/>
              <w:rPr>
                <w:rFonts w:hint="eastAsia"/>
                <w:szCs w:val="21"/>
              </w:rPr>
            </w:pPr>
            <w:r>
              <w:rPr>
                <w:rFonts w:hint="eastAsia"/>
                <w:color w:val="000000"/>
                <w:kern w:val="0"/>
                <w:sz w:val="18"/>
                <w:szCs w:val="18"/>
              </w:rPr>
              <w:t>承重等级：</w:t>
            </w:r>
            <w:r>
              <w:rPr>
                <w:rFonts w:hint="eastAsia"/>
                <w:color w:val="000000"/>
                <w:sz w:val="18"/>
                <w:szCs w:val="18"/>
              </w:rPr>
              <w:t>≥</w:t>
            </w:r>
            <w:r>
              <w:rPr>
                <w:rFonts w:hint="eastAsia"/>
                <w:color w:val="000000"/>
                <w:kern w:val="0"/>
                <w:sz w:val="18"/>
                <w:szCs w:val="18"/>
              </w:rPr>
              <w:t>100kG</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2</w:t>
            </w:r>
          </w:p>
        </w:tc>
        <w:tc>
          <w:tcPr>
            <w:tcW w:w="755"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副</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p>
        </w:tc>
      </w:tr>
      <w:tr>
        <w:tblPrEx>
          <w:tblCellMar>
            <w:top w:w="0" w:type="dxa"/>
            <w:left w:w="108" w:type="dxa"/>
            <w:bottom w:w="0" w:type="dxa"/>
            <w:right w:w="108" w:type="dxa"/>
          </w:tblCellMar>
        </w:tblPrEx>
        <w:trPr>
          <w:trHeight w:val="7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10</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钢制防火门</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s="宋体"/>
                <w:color w:val="000000"/>
                <w:kern w:val="0"/>
                <w:sz w:val="18"/>
                <w:szCs w:val="18"/>
              </w:rPr>
            </w:pPr>
            <w:r>
              <w:rPr>
                <w:rFonts w:hint="eastAsia"/>
                <w:color w:val="000000"/>
                <w:kern w:val="0"/>
                <w:sz w:val="18"/>
                <w:szCs w:val="18"/>
              </w:rPr>
              <w:t>▲甲级钢制；</w:t>
            </w:r>
          </w:p>
          <w:p>
            <w:pPr>
              <w:widowControl/>
              <w:jc w:val="left"/>
              <w:rPr>
                <w:rFonts w:hint="eastAsia"/>
                <w:color w:val="000000"/>
                <w:sz w:val="18"/>
                <w:szCs w:val="18"/>
              </w:rPr>
            </w:pPr>
            <w:r>
              <w:rPr>
                <w:rFonts w:hint="eastAsia"/>
                <w:color w:val="000000"/>
                <w:kern w:val="0"/>
                <w:sz w:val="18"/>
                <w:szCs w:val="18"/>
              </w:rPr>
              <w:t>门扇面板厚度</w:t>
            </w:r>
            <w:r>
              <w:rPr>
                <w:rFonts w:hint="eastAsia"/>
                <w:color w:val="000000"/>
                <w:sz w:val="18"/>
                <w:szCs w:val="18"/>
              </w:rPr>
              <w:t>≥0.8mm；</w:t>
            </w:r>
          </w:p>
          <w:p>
            <w:pPr>
              <w:widowControl/>
              <w:jc w:val="left"/>
              <w:rPr>
                <w:rFonts w:hint="eastAsia"/>
                <w:color w:val="000000"/>
                <w:sz w:val="18"/>
                <w:szCs w:val="18"/>
              </w:rPr>
            </w:pPr>
            <w:r>
              <w:rPr>
                <w:rFonts w:hint="eastAsia"/>
                <w:color w:val="000000"/>
                <w:sz w:val="18"/>
                <w:szCs w:val="18"/>
              </w:rPr>
              <w:t>门框板厚度≥1.5mm</w:t>
            </w:r>
          </w:p>
          <w:p>
            <w:pPr>
              <w:widowControl/>
              <w:jc w:val="left"/>
              <w:rPr>
                <w:rFonts w:hint="eastAsia" w:cs="宋体"/>
                <w:color w:val="000000"/>
                <w:kern w:val="0"/>
                <w:sz w:val="18"/>
                <w:szCs w:val="18"/>
              </w:rPr>
            </w:pPr>
            <w:r>
              <w:rPr>
                <w:rFonts w:hint="eastAsia"/>
                <w:color w:val="000000"/>
                <w:kern w:val="0"/>
                <w:sz w:val="18"/>
                <w:szCs w:val="18"/>
              </w:rPr>
              <w:t>▲耐火时间</w:t>
            </w:r>
            <w:r>
              <w:rPr>
                <w:rFonts w:hint="eastAsia"/>
                <w:color w:val="000000"/>
                <w:sz w:val="18"/>
                <w:szCs w:val="18"/>
              </w:rPr>
              <w:t>≥90min</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s="Times New Roman"/>
                <w:color w:val="000000"/>
                <w:sz w:val="18"/>
                <w:szCs w:val="18"/>
              </w:rPr>
            </w:pPr>
            <w:r>
              <w:rPr>
                <w:rFonts w:hint="eastAsia"/>
                <w:color w:val="000000"/>
                <w:sz w:val="18"/>
                <w:szCs w:val="18"/>
              </w:rPr>
              <w:t>2</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hint="eastAsia"/>
                <w:color w:val="000000"/>
                <w:kern w:val="0"/>
                <w:sz w:val="18"/>
                <w:szCs w:val="18"/>
              </w:rPr>
            </w:pPr>
            <w:r>
              <w:rPr>
                <w:rFonts w:hint="eastAsia"/>
                <w:color w:val="000000"/>
                <w:sz w:val="18"/>
                <w:szCs w:val="18"/>
              </w:rPr>
              <w:t>樘</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sz w:val="18"/>
                <w:szCs w:val="18"/>
              </w:rPr>
              <w:t>万嘉、盼盼、步阳</w:t>
            </w:r>
            <w:r>
              <w:rPr>
                <w:rFonts w:hint="eastAsia"/>
                <w:color w:val="000000"/>
                <w:sz w:val="18"/>
                <w:szCs w:val="18"/>
              </w:rPr>
              <w:t>或相当于</w:t>
            </w:r>
          </w:p>
        </w:tc>
      </w:tr>
      <w:tr>
        <w:tblPrEx>
          <w:tblCellMar>
            <w:top w:w="0" w:type="dxa"/>
            <w:left w:w="108" w:type="dxa"/>
            <w:bottom w:w="0" w:type="dxa"/>
            <w:right w:w="108" w:type="dxa"/>
          </w:tblCellMar>
        </w:tblPrEx>
        <w:trPr>
          <w:trHeight w:val="7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11</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通道人脸组件</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s="宋体"/>
                <w:color w:val="000000"/>
                <w:kern w:val="0"/>
                <w:sz w:val="18"/>
                <w:szCs w:val="18"/>
              </w:rPr>
            </w:pPr>
            <w:r>
              <w:rPr>
                <w:rFonts w:hint="eastAsia"/>
                <w:color w:val="000000"/>
                <w:kern w:val="0"/>
                <w:sz w:val="18"/>
                <w:szCs w:val="18"/>
              </w:rPr>
              <w:t>7英寸LCD非触摸显示屏，屏幕比例9:16，屏幕分辨率600*1024；</w:t>
            </w:r>
          </w:p>
          <w:p>
            <w:pPr>
              <w:widowControl/>
              <w:jc w:val="left"/>
              <w:rPr>
                <w:rFonts w:hint="eastAsia" w:cs="宋体"/>
                <w:color w:val="000000"/>
                <w:kern w:val="0"/>
                <w:sz w:val="18"/>
                <w:szCs w:val="18"/>
              </w:rPr>
            </w:pPr>
            <w:r>
              <w:rPr>
                <w:rFonts w:hint="eastAsia"/>
                <w:color w:val="000000"/>
                <w:kern w:val="0"/>
                <w:sz w:val="18"/>
                <w:szCs w:val="18"/>
              </w:rPr>
              <w:t>摄像头参数：采用宽动态200万双目摄像头；</w:t>
            </w:r>
          </w:p>
          <w:p>
            <w:pPr>
              <w:widowControl/>
              <w:jc w:val="left"/>
              <w:rPr>
                <w:rFonts w:hint="eastAsia" w:cs="宋体"/>
                <w:color w:val="000000"/>
                <w:kern w:val="0"/>
                <w:sz w:val="18"/>
                <w:szCs w:val="18"/>
              </w:rPr>
            </w:pPr>
            <w:r>
              <w:rPr>
                <w:rFonts w:hint="eastAsia"/>
                <w:color w:val="000000"/>
                <w:kern w:val="0"/>
                <w:sz w:val="18"/>
                <w:szCs w:val="18"/>
              </w:rPr>
              <w:t>认</w:t>
            </w:r>
            <w:r>
              <w:rPr>
                <w:rFonts w:cs="宋体"/>
                <w:color w:val="000000"/>
                <w:kern w:val="0"/>
                <w:sz w:val="18"/>
                <w:szCs w:val="18"/>
              </w:rPr>
              <w:t>证方式：支持人脸认证方式，可通过 485 接口外接读卡器，也通过 USB 接口外接身份证，实现人证比对功能，支持外接二维码阅读器，做访客二维码相关业务；</w:t>
            </w:r>
          </w:p>
          <w:p>
            <w:pPr>
              <w:widowControl/>
              <w:jc w:val="left"/>
              <w:rPr>
                <w:rFonts w:hint="eastAsia" w:cs="宋体"/>
                <w:color w:val="000000"/>
                <w:kern w:val="0"/>
                <w:sz w:val="18"/>
                <w:szCs w:val="18"/>
              </w:rPr>
            </w:pPr>
            <w:r>
              <w:rPr>
                <w:rFonts w:hint="eastAsia"/>
                <w:color w:val="000000"/>
                <w:kern w:val="0"/>
                <w:sz w:val="18"/>
                <w:szCs w:val="18"/>
              </w:rPr>
              <w:t>人脸识别：采用深度学习算法，支持照片、视频防假；1:N人脸识别速度≤0.2s，人脸验证准确率</w:t>
            </w:r>
            <w:bookmarkStart w:id="139" w:name="OLE_LINK77"/>
            <w:r>
              <w:rPr>
                <w:rFonts w:hint="eastAsia"/>
                <w:color w:val="000000"/>
                <w:kern w:val="0"/>
                <w:sz w:val="18"/>
                <w:szCs w:val="18"/>
              </w:rPr>
              <w:t>≥</w:t>
            </w:r>
            <w:bookmarkEnd w:id="139"/>
            <w:r>
              <w:rPr>
                <w:rFonts w:hint="eastAsia"/>
                <w:color w:val="000000"/>
                <w:kern w:val="0"/>
                <w:sz w:val="18"/>
                <w:szCs w:val="18"/>
              </w:rPr>
              <w:t>99%；</w:t>
            </w:r>
          </w:p>
          <w:p>
            <w:pPr>
              <w:widowControl/>
              <w:jc w:val="left"/>
              <w:rPr>
                <w:rFonts w:hint="eastAsia" w:cs="宋体"/>
                <w:color w:val="000000"/>
                <w:kern w:val="0"/>
                <w:sz w:val="18"/>
                <w:szCs w:val="18"/>
              </w:rPr>
            </w:pPr>
            <w:r>
              <w:rPr>
                <w:rFonts w:hint="eastAsia"/>
                <w:color w:val="000000"/>
                <w:kern w:val="0"/>
                <w:sz w:val="18"/>
                <w:szCs w:val="18"/>
              </w:rPr>
              <w:t>存储容量：本地支持10000张人脸、1000张卡（外接读卡器），100000条事件记录</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s="Times New Roman"/>
                <w:color w:val="000000"/>
                <w:sz w:val="18"/>
                <w:szCs w:val="18"/>
              </w:rPr>
            </w:pPr>
            <w:r>
              <w:rPr>
                <w:rFonts w:hint="eastAsia"/>
                <w:color w:val="000000"/>
                <w:sz w:val="18"/>
                <w:szCs w:val="18"/>
              </w:rPr>
              <w:t>3</w:t>
            </w:r>
          </w:p>
        </w:tc>
        <w:tc>
          <w:tcPr>
            <w:tcW w:w="755"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捷顺、立方</w:t>
            </w:r>
            <w:r>
              <w:rPr>
                <w:color w:val="000000"/>
                <w:sz w:val="18"/>
                <w:szCs w:val="18"/>
              </w:rPr>
              <w:t>、富士或相当于</w:t>
            </w:r>
          </w:p>
        </w:tc>
      </w:tr>
      <w:tr>
        <w:tblPrEx>
          <w:tblCellMar>
            <w:top w:w="0" w:type="dxa"/>
            <w:left w:w="108" w:type="dxa"/>
            <w:bottom w:w="0" w:type="dxa"/>
            <w:right w:w="108" w:type="dxa"/>
          </w:tblCellMar>
        </w:tblPrEx>
        <w:trPr>
          <w:trHeight w:val="3534"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12</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闸机（</w:t>
            </w:r>
            <w:r>
              <w:rPr>
                <w:rFonts w:hint="eastAsia"/>
                <w:color w:val="000000"/>
                <w:sz w:val="18"/>
                <w:szCs w:val="18"/>
              </w:rPr>
              <w:t>单机芯左边道、双机芯中间道、单机芯右边道）</w:t>
            </w:r>
          </w:p>
        </w:tc>
        <w:tc>
          <w:tcPr>
            <w:tcW w:w="3936" w:type="dxa"/>
            <w:tcBorders>
              <w:top w:val="single" w:color="auto" w:sz="4" w:space="0"/>
              <w:left w:val="nil"/>
              <w:bottom w:val="single" w:color="auto" w:sz="4" w:space="0"/>
              <w:right w:val="single" w:color="auto" w:sz="4" w:space="0"/>
            </w:tcBorders>
            <w:vAlign w:val="center"/>
          </w:tcPr>
          <w:p>
            <w:pPr>
              <w:widowControl/>
              <w:rPr>
                <w:rFonts w:hint="eastAsia"/>
                <w:color w:val="000000"/>
                <w:sz w:val="18"/>
                <w:szCs w:val="18"/>
              </w:rPr>
            </w:pPr>
            <w:r>
              <w:rPr>
                <w:rFonts w:hint="eastAsia"/>
                <w:color w:val="000000"/>
                <w:sz w:val="18"/>
                <w:szCs w:val="18"/>
              </w:rPr>
              <w:t>技术参数：</w:t>
            </w:r>
            <w:r>
              <w:rPr>
                <w:rFonts w:hint="eastAsia"/>
                <w:color w:val="000000"/>
                <w:sz w:val="18"/>
                <w:szCs w:val="18"/>
              </w:rPr>
              <w:br w:type="textWrapping"/>
            </w:r>
            <w:r>
              <w:rPr>
                <w:rFonts w:hint="eastAsia"/>
                <w:color w:val="000000"/>
                <w:sz w:val="18"/>
                <w:szCs w:val="18"/>
              </w:rPr>
              <w:t>1. 电机类型：直驱电机</w:t>
            </w:r>
            <w:r>
              <w:rPr>
                <w:rFonts w:hint="eastAsia"/>
                <w:color w:val="000000"/>
                <w:sz w:val="18"/>
                <w:szCs w:val="18"/>
              </w:rPr>
              <w:br w:type="textWrapping"/>
            </w:r>
            <w:r>
              <w:rPr>
                <w:rFonts w:hint="eastAsia"/>
                <w:color w:val="000000"/>
                <w:kern w:val="0"/>
                <w:sz w:val="18"/>
                <w:szCs w:val="18"/>
              </w:rPr>
              <w:t>▲</w:t>
            </w:r>
            <w:r>
              <w:rPr>
                <w:rFonts w:hint="eastAsia"/>
                <w:color w:val="000000"/>
                <w:sz w:val="18"/>
                <w:szCs w:val="18"/>
              </w:rPr>
              <w:t xml:space="preserve">2. 箱体材质：304不锈钢，箱体厚度≥2mm； </w:t>
            </w:r>
            <w:r>
              <w:rPr>
                <w:rFonts w:hint="eastAsia"/>
                <w:color w:val="000000"/>
                <w:sz w:val="18"/>
                <w:szCs w:val="18"/>
              </w:rPr>
              <w:br w:type="textWrapping"/>
            </w:r>
            <w:r>
              <w:rPr>
                <w:rFonts w:hint="eastAsia"/>
                <w:color w:val="000000"/>
                <w:sz w:val="18"/>
                <w:szCs w:val="18"/>
              </w:rPr>
              <w:t>3. 通道宽度：550-1100mm，门翼间隙其中550-1000之间为50mm间隔，1000-1100之间为100mm间隔</w:t>
            </w:r>
            <w:r>
              <w:rPr>
                <w:rFonts w:hint="eastAsia"/>
                <w:color w:val="000000"/>
                <w:sz w:val="18"/>
                <w:szCs w:val="18"/>
              </w:rPr>
              <w:br w:type="textWrapping"/>
            </w:r>
            <w:bookmarkStart w:id="140" w:name="OLE_LINK66"/>
            <w:r>
              <w:rPr>
                <w:rFonts w:hint="eastAsia"/>
                <w:color w:val="000000"/>
                <w:kern w:val="0"/>
                <w:sz w:val="18"/>
                <w:szCs w:val="18"/>
              </w:rPr>
              <w:t>▲</w:t>
            </w:r>
            <w:bookmarkEnd w:id="140"/>
            <w:r>
              <w:rPr>
                <w:rFonts w:hint="eastAsia"/>
                <w:color w:val="000000"/>
                <w:sz w:val="18"/>
                <w:szCs w:val="18"/>
              </w:rPr>
              <w:t>4. 红外对数：</w:t>
            </w:r>
            <w:r>
              <w:rPr>
                <w:rFonts w:hint="eastAsia"/>
                <w:color w:val="000000"/>
                <w:kern w:val="0"/>
                <w:sz w:val="18"/>
                <w:szCs w:val="18"/>
              </w:rPr>
              <w:t>≥</w:t>
            </w:r>
            <w:r>
              <w:rPr>
                <w:rFonts w:hint="eastAsia"/>
                <w:color w:val="000000"/>
                <w:sz w:val="18"/>
                <w:szCs w:val="18"/>
              </w:rPr>
              <w:t>6对</w:t>
            </w:r>
            <w:r>
              <w:rPr>
                <w:rFonts w:hint="eastAsia"/>
                <w:color w:val="000000"/>
                <w:sz w:val="18"/>
                <w:szCs w:val="18"/>
              </w:rPr>
              <w:br w:type="textWrapping"/>
            </w:r>
            <w:r>
              <w:rPr>
                <w:rFonts w:hint="eastAsia"/>
                <w:color w:val="000000"/>
                <w:sz w:val="18"/>
                <w:szCs w:val="18"/>
              </w:rPr>
              <w:t>5. 操作系统：嵌入式Linux操作系统</w:t>
            </w:r>
            <w:r>
              <w:rPr>
                <w:rFonts w:hint="eastAsia"/>
                <w:color w:val="000000"/>
                <w:sz w:val="18"/>
                <w:szCs w:val="18"/>
              </w:rPr>
              <w:br w:type="textWrapping"/>
            </w:r>
            <w:r>
              <w:rPr>
                <w:rFonts w:hint="eastAsia"/>
                <w:color w:val="000000"/>
                <w:sz w:val="18"/>
                <w:szCs w:val="18"/>
              </w:rPr>
              <w:t>6. 显示屏：7英寸IPS显示屏，600*1024分辨率，屏幕比例9:16</w:t>
            </w:r>
            <w:r>
              <w:rPr>
                <w:rFonts w:hint="eastAsia"/>
                <w:color w:val="000000"/>
                <w:sz w:val="18"/>
                <w:szCs w:val="18"/>
              </w:rPr>
              <w:br w:type="textWrapping"/>
            </w:r>
            <w:r>
              <w:rPr>
                <w:rFonts w:hint="eastAsia"/>
                <w:color w:val="000000"/>
                <w:sz w:val="18"/>
                <w:szCs w:val="18"/>
              </w:rPr>
              <w:t>7. 通道管理：支持通过web实现人员权限、设备参数、设备状态等功能管理</w:t>
            </w:r>
            <w:r>
              <w:rPr>
                <w:rFonts w:hint="eastAsia"/>
                <w:color w:val="000000"/>
                <w:sz w:val="18"/>
                <w:szCs w:val="18"/>
              </w:rPr>
              <w:br w:type="textWrapping"/>
            </w:r>
            <w:bookmarkStart w:id="141" w:name="OLE_LINK74"/>
            <w:r>
              <w:rPr>
                <w:rFonts w:hint="eastAsia"/>
                <w:color w:val="000000"/>
                <w:kern w:val="0"/>
                <w:sz w:val="18"/>
                <w:szCs w:val="18"/>
              </w:rPr>
              <w:t>▲</w:t>
            </w:r>
            <w:bookmarkEnd w:id="141"/>
            <w:r>
              <w:rPr>
                <w:rFonts w:hint="eastAsia"/>
                <w:color w:val="000000"/>
                <w:sz w:val="18"/>
                <w:szCs w:val="18"/>
              </w:rPr>
              <w:t>8. 设备容量：≥10万人脸、≥50万张卡，≥100万条事件记录</w:t>
            </w:r>
            <w:r>
              <w:rPr>
                <w:rFonts w:hint="eastAsia"/>
                <w:color w:val="000000"/>
                <w:sz w:val="18"/>
                <w:szCs w:val="18"/>
              </w:rPr>
              <w:br w:type="textWrapping"/>
            </w:r>
            <w:bookmarkStart w:id="142" w:name="OLE_LINK67"/>
            <w:r>
              <w:rPr>
                <w:rFonts w:hint="eastAsia"/>
                <w:color w:val="000000"/>
                <w:kern w:val="0"/>
                <w:sz w:val="18"/>
                <w:szCs w:val="18"/>
              </w:rPr>
              <w:t>▲</w:t>
            </w:r>
            <w:bookmarkEnd w:id="142"/>
            <w:r>
              <w:rPr>
                <w:rFonts w:hint="eastAsia"/>
                <w:color w:val="000000"/>
                <w:sz w:val="18"/>
                <w:szCs w:val="18"/>
              </w:rPr>
              <w:t>9. 通行速度：最大通行速度</w:t>
            </w:r>
            <w:bookmarkStart w:id="143" w:name="OLE_LINK73"/>
            <w:r>
              <w:rPr>
                <w:rFonts w:hint="eastAsia"/>
                <w:color w:val="000000"/>
                <w:sz w:val="18"/>
                <w:szCs w:val="18"/>
              </w:rPr>
              <w:t>≥</w:t>
            </w:r>
            <w:bookmarkEnd w:id="143"/>
            <w:r>
              <w:rPr>
                <w:rFonts w:hint="eastAsia"/>
                <w:color w:val="000000"/>
                <w:sz w:val="18"/>
                <w:szCs w:val="18"/>
              </w:rPr>
              <w:t>40人/分钟</w:t>
            </w:r>
            <w:r>
              <w:rPr>
                <w:rFonts w:hint="eastAsia"/>
                <w:color w:val="000000"/>
                <w:sz w:val="18"/>
                <w:szCs w:val="18"/>
              </w:rPr>
              <w:br w:type="textWrapping"/>
            </w:r>
            <w:r>
              <w:rPr>
                <w:rFonts w:hint="eastAsia"/>
                <w:color w:val="000000"/>
                <w:sz w:val="18"/>
                <w:szCs w:val="18"/>
              </w:rPr>
              <w:t>10. 电压功率：AC 100~240V/50~60HZ （单通道）</w:t>
            </w:r>
            <w:r>
              <w:rPr>
                <w:rFonts w:hint="eastAsia"/>
                <w:color w:val="000000"/>
                <w:sz w:val="18"/>
                <w:szCs w:val="18"/>
              </w:rPr>
              <w:br w:type="textWrapping"/>
            </w:r>
            <w:r>
              <w:rPr>
                <w:rFonts w:hint="eastAsia"/>
                <w:color w:val="000000"/>
                <w:sz w:val="18"/>
                <w:szCs w:val="18"/>
              </w:rPr>
              <w:t>11. 额定功率：600W（单通道）</w:t>
            </w:r>
            <w:r>
              <w:rPr>
                <w:rFonts w:hint="eastAsia"/>
                <w:color w:val="000000"/>
                <w:sz w:val="18"/>
                <w:szCs w:val="18"/>
              </w:rPr>
              <w:br w:type="textWrapping"/>
            </w:r>
            <w:r>
              <w:rPr>
                <w:rFonts w:hint="eastAsia"/>
                <w:color w:val="000000"/>
                <w:sz w:val="18"/>
                <w:szCs w:val="18"/>
              </w:rPr>
              <w:t>通道功能：</w:t>
            </w:r>
            <w:r>
              <w:rPr>
                <w:rFonts w:hint="eastAsia"/>
                <w:color w:val="000000"/>
                <w:sz w:val="18"/>
                <w:szCs w:val="18"/>
              </w:rPr>
              <w:br w:type="textWrapping"/>
            </w:r>
            <w:r>
              <w:rPr>
                <w:rFonts w:hint="eastAsia"/>
                <w:color w:val="000000"/>
                <w:sz w:val="18"/>
                <w:szCs w:val="18"/>
              </w:rPr>
              <w:t>1. 通行模式：设备支持进出方向通行状态（受控、常开、常闭、感应、无障碍）的灵活配置</w:t>
            </w:r>
            <w:r>
              <w:rPr>
                <w:rFonts w:hint="eastAsia"/>
                <w:color w:val="000000"/>
                <w:sz w:val="18"/>
                <w:szCs w:val="18"/>
              </w:rPr>
              <w:br w:type="textWrapping"/>
            </w:r>
            <w:r>
              <w:rPr>
                <w:rFonts w:hint="eastAsia"/>
                <w:color w:val="000000"/>
                <w:sz w:val="18"/>
                <w:szCs w:val="18"/>
              </w:rPr>
              <w:t>2. 自动复位：设备具有自动复位功能，开门后在规定的时间内未通行，系统将自动取消用户的本次通行的权限，可设定通行时间</w:t>
            </w:r>
            <w:r>
              <w:rPr>
                <w:rFonts w:hint="eastAsia"/>
                <w:color w:val="000000"/>
                <w:sz w:val="18"/>
                <w:szCs w:val="18"/>
              </w:rPr>
              <w:br w:type="textWrapping"/>
            </w:r>
            <w:r>
              <w:rPr>
                <w:rFonts w:hint="eastAsia"/>
                <w:color w:val="000000"/>
                <w:sz w:val="18"/>
                <w:szCs w:val="18"/>
              </w:rPr>
              <w:t>3. 记忆模式：设备支持记忆模式，可实现连续快速通行</w:t>
            </w:r>
            <w:r>
              <w:rPr>
                <w:rFonts w:hint="eastAsia"/>
                <w:color w:val="000000"/>
                <w:sz w:val="18"/>
                <w:szCs w:val="18"/>
              </w:rPr>
              <w:br w:type="textWrapping"/>
            </w:r>
            <w:r>
              <w:rPr>
                <w:rFonts w:hint="eastAsia"/>
                <w:color w:val="000000"/>
                <w:sz w:val="18"/>
                <w:szCs w:val="18"/>
              </w:rPr>
              <w:t>4. 消防联动：设备具有消防联动接口，当消防信号触发时，门翼自动打开，快速引导人员疏散</w:t>
            </w:r>
            <w:r>
              <w:rPr>
                <w:rFonts w:hint="eastAsia"/>
                <w:color w:val="000000"/>
                <w:sz w:val="18"/>
                <w:szCs w:val="18"/>
              </w:rPr>
              <w:br w:type="textWrapping"/>
            </w:r>
            <w:r>
              <w:rPr>
                <w:rFonts w:hint="eastAsia"/>
                <w:color w:val="000000"/>
                <w:sz w:val="18"/>
                <w:szCs w:val="18"/>
              </w:rPr>
              <w:t>5. 双重防夹：设备支持机械/红外双重防夹功能</w:t>
            </w:r>
            <w:r>
              <w:rPr>
                <w:rFonts w:hint="eastAsia"/>
                <w:color w:val="000000"/>
                <w:sz w:val="18"/>
                <w:szCs w:val="18"/>
              </w:rPr>
              <w:br w:type="textWrapping"/>
            </w:r>
            <w:r>
              <w:rPr>
                <w:rFonts w:hint="eastAsia"/>
                <w:color w:val="000000"/>
                <w:sz w:val="18"/>
                <w:szCs w:val="18"/>
              </w:rPr>
              <w:t>6. 尾随报警：当通道中同时通行人数超过其允许通行的人数时会有报警提示，同时上传报警事件</w:t>
            </w:r>
            <w:r>
              <w:rPr>
                <w:rFonts w:hint="eastAsia"/>
                <w:color w:val="000000"/>
                <w:sz w:val="18"/>
                <w:szCs w:val="18"/>
              </w:rPr>
              <w:br w:type="textWrapping"/>
            </w:r>
            <w:r>
              <w:rPr>
                <w:rFonts w:hint="eastAsia"/>
                <w:color w:val="000000"/>
                <w:sz w:val="18"/>
                <w:szCs w:val="18"/>
              </w:rPr>
              <w:t>7. 红外屏蔽：若通道内红外对射有损坏，可通过屏蔽已损坏的红外对射，让通道暂时恢复使用</w:t>
            </w:r>
          </w:p>
        </w:tc>
        <w:tc>
          <w:tcPr>
            <w:tcW w:w="993" w:type="dxa"/>
            <w:tcBorders>
              <w:top w:val="single" w:color="auto" w:sz="4" w:space="0"/>
              <w:left w:val="nil"/>
              <w:bottom w:val="single" w:color="auto" w:sz="4" w:space="0"/>
              <w:right w:val="single" w:color="auto" w:sz="4" w:space="0"/>
            </w:tcBorders>
            <w:vAlign w:val="center"/>
          </w:tcPr>
          <w:p>
            <w:pPr>
              <w:widowControl/>
              <w:rPr>
                <w:rFonts w:hint="eastAsia"/>
                <w:color w:val="000000"/>
                <w:sz w:val="18"/>
                <w:szCs w:val="18"/>
              </w:rPr>
            </w:pPr>
            <w:r>
              <w:rPr>
                <w:rFonts w:hint="eastAsia"/>
                <w:color w:val="000000"/>
                <w:kern w:val="0"/>
                <w:sz w:val="18"/>
                <w:szCs w:val="18"/>
              </w:rPr>
              <w:t>（</w:t>
            </w:r>
            <w:r>
              <w:rPr>
                <w:rFonts w:hint="eastAsia"/>
                <w:color w:val="000000"/>
                <w:sz w:val="18"/>
                <w:szCs w:val="18"/>
              </w:rPr>
              <w:t>单机芯左边道2台、双机芯中间道4台、单机芯右边道2台）</w:t>
            </w:r>
          </w:p>
        </w:tc>
        <w:tc>
          <w:tcPr>
            <w:tcW w:w="755" w:type="dxa"/>
            <w:tcBorders>
              <w:top w:val="single" w:color="auto" w:sz="4" w:space="0"/>
              <w:left w:val="nil"/>
              <w:bottom w:val="single" w:color="auto" w:sz="4" w:space="0"/>
              <w:right w:val="single" w:color="auto" w:sz="4" w:space="0"/>
            </w:tcBorders>
            <w:vAlign w:val="center"/>
          </w:tcPr>
          <w:p>
            <w:pPr>
              <w:widowControl/>
              <w:rPr>
                <w:rFonts w:hint="eastAsia"/>
                <w:color w:val="000000"/>
                <w:sz w:val="18"/>
                <w:szCs w:val="18"/>
              </w:rPr>
            </w:pPr>
            <w:r>
              <w:rPr>
                <w:rFonts w:hint="eastAsia"/>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widowControl/>
              <w:rPr>
                <w:rFonts w:hint="eastAsia"/>
                <w:color w:val="000000"/>
                <w:sz w:val="18"/>
                <w:szCs w:val="18"/>
              </w:rPr>
            </w:pPr>
            <w:r>
              <w:rPr>
                <w:rFonts w:hint="eastAsia"/>
                <w:color w:val="000000"/>
                <w:sz w:val="18"/>
                <w:szCs w:val="18"/>
              </w:rPr>
              <w:t>捷顺、立方、富士或相当于</w:t>
            </w:r>
          </w:p>
        </w:tc>
      </w:tr>
      <w:tr>
        <w:tblPrEx>
          <w:tblCellMar>
            <w:top w:w="0" w:type="dxa"/>
            <w:left w:w="108" w:type="dxa"/>
            <w:bottom w:w="0" w:type="dxa"/>
            <w:right w:w="108" w:type="dxa"/>
          </w:tblCellMar>
        </w:tblPrEx>
        <w:trPr>
          <w:trHeight w:val="6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13</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管线</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s="宋体"/>
                <w:color w:val="000000"/>
                <w:kern w:val="0"/>
                <w:sz w:val="18"/>
                <w:szCs w:val="18"/>
              </w:rPr>
            </w:pPr>
            <w:r>
              <w:rPr>
                <w:rFonts w:hint="eastAsia"/>
                <w:color w:val="000000"/>
                <w:kern w:val="0"/>
                <w:sz w:val="18"/>
                <w:szCs w:val="18"/>
              </w:rPr>
              <w:t>管线、开槽、修复等　</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s="Times New Roman"/>
                <w:color w:val="000000"/>
                <w:sz w:val="18"/>
                <w:szCs w:val="18"/>
              </w:rPr>
            </w:pPr>
            <w:r>
              <w:rPr>
                <w:rFonts w:hint="eastAsia"/>
                <w:color w:val="000000"/>
                <w:sz w:val="18"/>
                <w:szCs w:val="18"/>
              </w:rPr>
              <w:t>1</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hint="eastAsia"/>
                <w:color w:val="000000"/>
                <w:kern w:val="0"/>
                <w:sz w:val="18"/>
                <w:szCs w:val="18"/>
              </w:rPr>
            </w:pPr>
            <w:r>
              <w:rPr>
                <w:rFonts w:hint="eastAsia"/>
                <w:color w:val="000000"/>
                <w:sz w:val="18"/>
                <w:szCs w:val="18"/>
              </w:rPr>
              <w:t>项</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p>
        </w:tc>
      </w:tr>
      <w:tr>
        <w:tblPrEx>
          <w:tblCellMar>
            <w:top w:w="0" w:type="dxa"/>
            <w:left w:w="108" w:type="dxa"/>
            <w:bottom w:w="0" w:type="dxa"/>
            <w:right w:w="108" w:type="dxa"/>
          </w:tblCellMar>
        </w:tblPrEx>
        <w:trPr>
          <w:trHeight w:val="6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14</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sz w:val="18"/>
                <w:szCs w:val="18"/>
              </w:rPr>
              <w:t>门禁管理系统平台</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s="宋体"/>
                <w:color w:val="000000"/>
                <w:kern w:val="0"/>
                <w:sz w:val="18"/>
                <w:szCs w:val="18"/>
              </w:rPr>
            </w:pPr>
            <w:r>
              <w:rPr>
                <w:rFonts w:hint="eastAsia"/>
                <w:color w:val="000000"/>
                <w:sz w:val="18"/>
                <w:szCs w:val="18"/>
              </w:rPr>
              <w:t>基础门禁管理通过接入多种门禁设备，利用卡片、人脸、指纹介质，实现人员身份辨别、出入管控等智能应用，主要提供门禁权限管理、事件管理、门禁状态查看、门禁远程控制、人员出入记录实时展示、远程呼叫对讲等应用。</w:t>
            </w:r>
            <w:r>
              <w:rPr>
                <w:rFonts w:hint="eastAsia"/>
                <w:color w:val="000000"/>
                <w:sz w:val="18"/>
                <w:szCs w:val="18"/>
              </w:rPr>
              <w:br w:type="textWrapping"/>
            </w:r>
            <w:r>
              <w:rPr>
                <w:rFonts w:hint="eastAsia"/>
                <w:color w:val="000000"/>
                <w:sz w:val="18"/>
                <w:szCs w:val="18"/>
              </w:rPr>
              <w:t>访客管理提供访客预约、访客登记、人证比对、访客签离、访客权限管理、短信通知、来访记录查看等功能</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s="Times New Roman"/>
                <w:color w:val="000000"/>
                <w:kern w:val="2"/>
                <w:sz w:val="18"/>
                <w:szCs w:val="18"/>
              </w:rPr>
            </w:pPr>
            <w:r>
              <w:rPr>
                <w:rFonts w:hint="eastAsia"/>
                <w:color w:val="000000"/>
                <w:sz w:val="18"/>
                <w:szCs w:val="18"/>
              </w:rPr>
              <w:t>1</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hint="eastAsia"/>
                <w:color w:val="000000"/>
                <w:sz w:val="18"/>
                <w:szCs w:val="18"/>
              </w:rPr>
            </w:pPr>
            <w:r>
              <w:rPr>
                <w:rFonts w:hint="eastAsia"/>
                <w:color w:val="000000"/>
                <w:sz w:val="18"/>
                <w:szCs w:val="18"/>
              </w:rPr>
              <w:t>项</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p>
        </w:tc>
      </w:tr>
      <w:tr>
        <w:tblPrEx>
          <w:tblCellMar>
            <w:top w:w="0" w:type="dxa"/>
            <w:left w:w="108" w:type="dxa"/>
            <w:bottom w:w="0" w:type="dxa"/>
            <w:right w:w="108" w:type="dxa"/>
          </w:tblCellMar>
        </w:tblPrEx>
        <w:trPr>
          <w:trHeight w:val="6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15</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电动装置</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s="宋体"/>
                <w:color w:val="000000"/>
                <w:kern w:val="0"/>
                <w:sz w:val="18"/>
                <w:szCs w:val="18"/>
              </w:rPr>
            </w:pPr>
            <w:r>
              <w:rPr>
                <w:rFonts w:hint="eastAsia"/>
                <w:color w:val="000000"/>
                <w:sz w:val="18"/>
                <w:szCs w:val="18"/>
              </w:rPr>
              <w:t>含传动皮带、电源、电机、主板、驱动部件、限位器、传感器、自动感应开关设备*2</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s="Times New Roman"/>
                <w:color w:val="000000"/>
                <w:kern w:val="2"/>
                <w:sz w:val="18"/>
                <w:szCs w:val="18"/>
              </w:rPr>
            </w:pPr>
            <w:r>
              <w:rPr>
                <w:rFonts w:hint="eastAsia"/>
                <w:color w:val="000000"/>
                <w:sz w:val="18"/>
                <w:szCs w:val="18"/>
              </w:rPr>
              <w:t>2</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hint="eastAsia"/>
                <w:color w:val="000000"/>
                <w:sz w:val="18"/>
                <w:szCs w:val="18"/>
              </w:rPr>
            </w:pPr>
            <w:r>
              <w:rPr>
                <w:rFonts w:hint="eastAsia"/>
                <w:color w:val="000000"/>
                <w:sz w:val="18"/>
                <w:szCs w:val="18"/>
              </w:rPr>
              <w:t>套</w:t>
            </w:r>
          </w:p>
        </w:tc>
        <w:tc>
          <w:tcPr>
            <w:tcW w:w="1027" w:type="dxa"/>
            <w:tcBorders>
              <w:top w:val="single" w:color="auto" w:sz="4" w:space="0"/>
              <w:left w:val="nil"/>
              <w:bottom w:val="single" w:color="auto" w:sz="4" w:space="0"/>
              <w:right w:val="single" w:color="auto" w:sz="4" w:space="0"/>
            </w:tcBorders>
          </w:tcPr>
          <w:p>
            <w:pPr>
              <w:pStyle w:val="22"/>
              <w:adjustRightInd w:val="0"/>
              <w:spacing w:line="360" w:lineRule="exact"/>
              <w:rPr>
                <w:rFonts w:hint="eastAsia"/>
                <w:color w:val="000000"/>
                <w:sz w:val="18"/>
                <w:szCs w:val="18"/>
              </w:rPr>
            </w:pPr>
          </w:p>
        </w:tc>
      </w:tr>
      <w:tr>
        <w:tblPrEx>
          <w:tblCellMar>
            <w:top w:w="0" w:type="dxa"/>
            <w:left w:w="108" w:type="dxa"/>
            <w:bottom w:w="0" w:type="dxa"/>
            <w:right w:w="108" w:type="dxa"/>
          </w:tblCellMar>
        </w:tblPrEx>
        <w:trPr>
          <w:trHeight w:val="600" w:hRule="atLeast"/>
        </w:trPr>
        <w:tc>
          <w:tcPr>
            <w:tcW w:w="3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Calibri" w:hAnsi="Calibri" w:cs="宋体"/>
                <w:color w:val="000000"/>
                <w:kern w:val="0"/>
                <w:sz w:val="18"/>
                <w:szCs w:val="18"/>
              </w:rPr>
            </w:pPr>
            <w:r>
              <w:rPr>
                <w:rFonts w:hint="eastAsia"/>
                <w:color w:val="000000"/>
                <w:kern w:val="0"/>
                <w:sz w:val="18"/>
                <w:szCs w:val="18"/>
              </w:rPr>
              <w:t>16</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hint="eastAsia" w:cs="宋体"/>
                <w:color w:val="000000"/>
                <w:kern w:val="0"/>
                <w:sz w:val="18"/>
                <w:szCs w:val="18"/>
              </w:rPr>
            </w:pPr>
            <w:r>
              <w:rPr>
                <w:rFonts w:hint="eastAsia"/>
                <w:color w:val="000000"/>
                <w:kern w:val="0"/>
                <w:sz w:val="18"/>
                <w:szCs w:val="18"/>
              </w:rPr>
              <w:t>服务器</w:t>
            </w:r>
          </w:p>
        </w:tc>
        <w:tc>
          <w:tcPr>
            <w:tcW w:w="3936" w:type="dxa"/>
            <w:tcBorders>
              <w:top w:val="single" w:color="auto" w:sz="4" w:space="0"/>
              <w:left w:val="nil"/>
              <w:bottom w:val="single" w:color="auto" w:sz="4" w:space="0"/>
              <w:right w:val="single" w:color="auto" w:sz="4" w:space="0"/>
            </w:tcBorders>
            <w:vAlign w:val="center"/>
          </w:tcPr>
          <w:p>
            <w:pPr>
              <w:widowControl/>
              <w:jc w:val="left"/>
              <w:rPr>
                <w:rFonts w:hint="eastAsia"/>
                <w:color w:val="000000"/>
                <w:sz w:val="18"/>
                <w:szCs w:val="18"/>
              </w:rPr>
            </w:pPr>
            <w:r>
              <w:rPr>
                <w:rFonts w:hint="eastAsia"/>
                <w:color w:val="000000"/>
                <w:sz w:val="18"/>
                <w:szCs w:val="18"/>
              </w:rPr>
              <w:t>4U 塔式，</w:t>
            </w:r>
          </w:p>
          <w:p>
            <w:pPr>
              <w:widowControl/>
              <w:jc w:val="left"/>
              <w:rPr>
                <w:rFonts w:hint="eastAsia"/>
                <w:color w:val="000000"/>
                <w:sz w:val="18"/>
                <w:szCs w:val="18"/>
              </w:rPr>
            </w:pPr>
            <w:r>
              <w:rPr>
                <w:rFonts w:hint="eastAsia"/>
                <w:color w:val="000000"/>
                <w:kern w:val="0"/>
                <w:sz w:val="18"/>
                <w:szCs w:val="18"/>
              </w:rPr>
              <w:t>▲</w:t>
            </w:r>
            <w:r>
              <w:rPr>
                <w:rFonts w:hint="eastAsia"/>
                <w:color w:val="000000"/>
                <w:sz w:val="18"/>
                <w:szCs w:val="18"/>
              </w:rPr>
              <w:t>CPU：配置</w:t>
            </w:r>
            <w:r>
              <w:rPr>
                <w:rFonts w:hint="eastAsia"/>
                <w:color w:val="000000"/>
                <w:kern w:val="0"/>
                <w:sz w:val="18"/>
                <w:szCs w:val="18"/>
              </w:rPr>
              <w:t>≥</w:t>
            </w:r>
            <w:r>
              <w:rPr>
                <w:rFonts w:hint="eastAsia"/>
                <w:color w:val="000000"/>
                <w:sz w:val="18"/>
                <w:szCs w:val="18"/>
              </w:rPr>
              <w:t>10核；</w:t>
            </w:r>
          </w:p>
          <w:p>
            <w:pPr>
              <w:widowControl/>
              <w:jc w:val="left"/>
              <w:rPr>
                <w:rFonts w:hint="eastAsia"/>
                <w:color w:val="000000"/>
                <w:kern w:val="0"/>
                <w:sz w:val="18"/>
                <w:szCs w:val="18"/>
              </w:rPr>
            </w:pPr>
            <w:r>
              <w:rPr>
                <w:rFonts w:hint="eastAsia"/>
                <w:color w:val="000000"/>
                <w:kern w:val="0"/>
                <w:sz w:val="18"/>
                <w:szCs w:val="18"/>
              </w:rPr>
              <w:t>▲</w:t>
            </w:r>
            <w:r>
              <w:rPr>
                <w:rFonts w:hint="eastAsia"/>
                <w:color w:val="000000"/>
                <w:sz w:val="18"/>
                <w:szCs w:val="18"/>
              </w:rPr>
              <w:t>内存：配置</w:t>
            </w:r>
            <w:r>
              <w:rPr>
                <w:rFonts w:hint="eastAsia"/>
                <w:color w:val="000000"/>
                <w:kern w:val="0"/>
                <w:sz w:val="18"/>
                <w:szCs w:val="18"/>
              </w:rPr>
              <w:t>≥</w:t>
            </w:r>
            <w:r>
              <w:rPr>
                <w:rFonts w:hint="eastAsia"/>
                <w:color w:val="000000"/>
                <w:sz w:val="18"/>
                <w:szCs w:val="18"/>
              </w:rPr>
              <w:t>64G；</w:t>
            </w:r>
            <w:r>
              <w:rPr>
                <w:rFonts w:hint="eastAsia"/>
                <w:color w:val="000000"/>
                <w:sz w:val="18"/>
                <w:szCs w:val="18"/>
              </w:rPr>
              <w:br w:type="textWrapping"/>
            </w:r>
            <w:r>
              <w:rPr>
                <w:rFonts w:hint="eastAsia"/>
                <w:color w:val="000000"/>
                <w:kern w:val="0"/>
                <w:sz w:val="18"/>
                <w:szCs w:val="18"/>
              </w:rPr>
              <w:t>▲</w:t>
            </w:r>
            <w:r>
              <w:rPr>
                <w:rFonts w:hint="eastAsia"/>
                <w:color w:val="000000"/>
                <w:sz w:val="18"/>
                <w:szCs w:val="18"/>
              </w:rPr>
              <w:t>硬盘：配置3块，每块</w:t>
            </w:r>
            <w:r>
              <w:rPr>
                <w:rFonts w:hint="eastAsia"/>
                <w:color w:val="000000"/>
                <w:kern w:val="0"/>
                <w:sz w:val="18"/>
                <w:szCs w:val="18"/>
              </w:rPr>
              <w:t>≥</w:t>
            </w:r>
            <w:r>
              <w:rPr>
                <w:rFonts w:hint="eastAsia"/>
                <w:color w:val="000000"/>
                <w:sz w:val="18"/>
                <w:szCs w:val="18"/>
              </w:rPr>
              <w:t xml:space="preserve">1T </w:t>
            </w:r>
          </w:p>
        </w:tc>
        <w:tc>
          <w:tcPr>
            <w:tcW w:w="993"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color w:val="000000"/>
                <w:sz w:val="18"/>
                <w:szCs w:val="18"/>
              </w:rPr>
              <w:t>1</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hint="eastAsia"/>
                <w:color w:val="000000"/>
                <w:kern w:val="0"/>
                <w:sz w:val="18"/>
                <w:szCs w:val="18"/>
              </w:rPr>
            </w:pPr>
            <w:r>
              <w:rPr>
                <w:rFonts w:hint="eastAsia"/>
                <w:color w:val="000000"/>
                <w:sz w:val="18"/>
                <w:szCs w:val="18"/>
              </w:rPr>
              <w:t>台</w:t>
            </w:r>
          </w:p>
        </w:tc>
        <w:tc>
          <w:tcPr>
            <w:tcW w:w="1027" w:type="dxa"/>
            <w:tcBorders>
              <w:top w:val="single" w:color="auto" w:sz="4" w:space="0"/>
              <w:left w:val="nil"/>
              <w:bottom w:val="single" w:color="auto" w:sz="4" w:space="0"/>
              <w:right w:val="single" w:color="auto" w:sz="4" w:space="0"/>
            </w:tcBorders>
            <w:vAlign w:val="center"/>
          </w:tcPr>
          <w:p>
            <w:pPr>
              <w:pStyle w:val="22"/>
              <w:adjustRightInd w:val="0"/>
              <w:spacing w:line="360" w:lineRule="exact"/>
              <w:jc w:val="center"/>
              <w:rPr>
                <w:rFonts w:hint="eastAsia"/>
                <w:color w:val="000000"/>
                <w:sz w:val="18"/>
                <w:szCs w:val="18"/>
              </w:rPr>
            </w:pPr>
            <w:r>
              <w:rPr>
                <w:rFonts w:hint="eastAsia"/>
                <w:sz w:val="18"/>
                <w:szCs w:val="18"/>
              </w:rPr>
              <w:t>联想、浪潮、华为</w:t>
            </w:r>
            <w:r>
              <w:rPr>
                <w:rFonts w:hint="eastAsia"/>
                <w:color w:val="000000"/>
                <w:sz w:val="18"/>
                <w:szCs w:val="18"/>
              </w:rPr>
              <w:t>或相当于</w:t>
            </w:r>
          </w:p>
        </w:tc>
      </w:tr>
    </w:tbl>
    <w:p>
      <w:pPr>
        <w:tabs>
          <w:tab w:val="left" w:pos="5848"/>
        </w:tabs>
        <w:rPr>
          <w:rFonts w:hint="eastAsia"/>
        </w:rPr>
      </w:pPr>
      <w:r>
        <w:rPr>
          <w:rFonts w:hint="eastAsia"/>
        </w:rPr>
        <w:tab/>
      </w:r>
    </w:p>
    <w:p>
      <w:pPr>
        <w:pStyle w:val="11"/>
        <w:ind w:firstLine="0" w:firstLineChars="0"/>
        <w:rPr>
          <w:rFonts w:hint="eastAsia"/>
          <w:b/>
          <w:bCs/>
        </w:rPr>
      </w:pPr>
      <w:r>
        <w:rPr>
          <w:rFonts w:hint="eastAsia"/>
          <w:b/>
          <w:bCs/>
        </w:rPr>
        <w:t>六、其他要求</w:t>
      </w:r>
    </w:p>
    <w:tbl>
      <w:tblPr>
        <w:tblStyle w:val="25"/>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64"/>
        <w:gridCol w:w="71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质保期</w:t>
            </w:r>
          </w:p>
        </w:tc>
        <w:tc>
          <w:tcPr>
            <w:tcW w:w="406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2年，质保期内提供保修和更换配件服务，相关费用包含在报价内。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服务响应时间</w:t>
            </w:r>
          </w:p>
        </w:tc>
        <w:tc>
          <w:tcPr>
            <w:tcW w:w="406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合同货物出现故障后，投标人接到招标人通知应在不超过3小时内做出响应，不超过10小时内到达现场并开始维修服务，并提供较为完善的售后服务方案。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工期时间和地点</w:t>
            </w:r>
          </w:p>
        </w:tc>
        <w:tc>
          <w:tcPr>
            <w:tcW w:w="4060" w:type="pct"/>
            <w:tcBorders>
              <w:top w:val="single" w:color="auto" w:sz="4" w:space="0"/>
              <w:left w:val="single" w:color="auto" w:sz="4" w:space="0"/>
              <w:bottom w:val="single" w:color="auto" w:sz="4" w:space="0"/>
              <w:right w:val="single" w:color="auto" w:sz="4" w:space="0"/>
            </w:tcBorders>
            <w:vAlign w:val="center"/>
          </w:tcPr>
          <w:p>
            <w:pPr>
              <w:pStyle w:val="10"/>
              <w:tabs>
                <w:tab w:val="left" w:pos="1343"/>
                <w:tab w:val="left" w:pos="2697"/>
                <w:tab w:val="left" w:pos="3264"/>
                <w:tab w:val="left" w:pos="4896"/>
                <w:tab w:val="left" w:pos="6005"/>
                <w:tab w:val="left" w:pos="7085"/>
                <w:tab w:val="left" w:pos="7498"/>
              </w:tabs>
              <w:topLinePunct/>
              <w:autoSpaceDN w:val="0"/>
              <w:spacing w:after="0" w:line="312" w:lineRule="auto"/>
              <w:textAlignment w:val="auto"/>
              <w:rPr>
                <w:rFonts w:hint="eastAsia"/>
                <w:sz w:val="18"/>
                <w:szCs w:val="18"/>
              </w:rPr>
            </w:pPr>
            <w:r>
              <w:rPr>
                <w:rFonts w:hint="eastAsia"/>
                <w:sz w:val="18"/>
                <w:szCs w:val="18"/>
              </w:rPr>
              <w:t>交付时间：</w:t>
            </w:r>
            <w:bookmarkStart w:id="144" w:name="OLE_LINK26"/>
            <w:r>
              <w:rPr>
                <w:rFonts w:hint="eastAsia"/>
                <w:sz w:val="18"/>
                <w:szCs w:val="18"/>
              </w:rPr>
              <w:t>自合同签订且招标人下达开工令之日起，25 日历天内完成本项目全部设备的安装、调试，并通过招标人组织验收后交付使用。</w:t>
            </w:r>
          </w:p>
          <w:bookmarkEnd w:id="144"/>
          <w:p>
            <w:pPr>
              <w:pStyle w:val="10"/>
              <w:tabs>
                <w:tab w:val="left" w:pos="1343"/>
                <w:tab w:val="left" w:pos="2697"/>
                <w:tab w:val="left" w:pos="3264"/>
                <w:tab w:val="left" w:pos="4896"/>
                <w:tab w:val="left" w:pos="6005"/>
                <w:tab w:val="left" w:pos="7085"/>
                <w:tab w:val="left" w:pos="7498"/>
              </w:tabs>
              <w:topLinePunct/>
              <w:autoSpaceDN w:val="0"/>
              <w:spacing w:line="312" w:lineRule="auto"/>
              <w:textAlignment w:val="auto"/>
              <w:rPr>
                <w:rFonts w:hint="eastAsia"/>
                <w:sz w:val="18"/>
                <w:szCs w:val="18"/>
              </w:rPr>
            </w:pPr>
            <w:r>
              <w:rPr>
                <w:rFonts w:hint="eastAsia"/>
                <w:sz w:val="18"/>
                <w:szCs w:val="18"/>
              </w:rPr>
              <w:t>交货地点：招标人指定地点。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验收标准</w:t>
            </w:r>
          </w:p>
        </w:tc>
        <w:tc>
          <w:tcPr>
            <w:tcW w:w="406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1.安装调试到位后的设备由投标人进行验收签字。（验收标准：各类设备的数量、技术质量性能和规格型号、外观等应符合招标文件要求及合同中的相关条款，同时应符合产品相关标准，明确安装调试、保修服务、配件提供、培训与技术升级等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b/>
                <w:bCs/>
                <w:sz w:val="18"/>
                <w:szCs w:val="18"/>
              </w:rPr>
            </w:pPr>
            <w:r>
              <w:rPr>
                <w:rFonts w:hint="eastAsia" w:ascii="宋体" w:hAnsi="宋体"/>
                <w:b/>
                <w:bCs/>
                <w:sz w:val="18"/>
                <w:szCs w:val="18"/>
              </w:rPr>
              <w:t>闸机、刷脸设备、门禁管理系统平台</w:t>
            </w:r>
          </w:p>
        </w:tc>
        <w:tc>
          <w:tcPr>
            <w:tcW w:w="406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b/>
                <w:bCs/>
                <w:sz w:val="18"/>
                <w:szCs w:val="18"/>
              </w:rPr>
            </w:pPr>
            <w:bookmarkStart w:id="145" w:name="OLE_LINK27"/>
            <w:r>
              <w:rPr>
                <w:rFonts w:ascii="宋体" w:hAnsi="宋体"/>
                <w:b/>
                <w:bCs/>
                <w:sz w:val="18"/>
                <w:szCs w:val="18"/>
              </w:rPr>
              <w:t>本项目采购的闸机、刷脸识别设备，须自带</w:t>
            </w:r>
            <w:r>
              <w:rPr>
                <w:rFonts w:hint="eastAsia" w:ascii="宋体" w:hAnsi="宋体"/>
                <w:b/>
                <w:bCs/>
                <w:sz w:val="18"/>
                <w:szCs w:val="18"/>
              </w:rPr>
              <w:t>同系统</w:t>
            </w:r>
            <w:r>
              <w:rPr>
                <w:rFonts w:ascii="宋体" w:hAnsi="宋体"/>
                <w:b/>
                <w:bCs/>
                <w:sz w:val="18"/>
                <w:szCs w:val="18"/>
              </w:rPr>
              <w:t>免费门禁管理系统平台，平台需集成固定人员管理、访客管理等核心功能，且支持手机端便捷操作。后续系统升级、功能迭代等衍生付费服务，招标人无需另行支付任何费用</w:t>
            </w:r>
            <w:r>
              <w:rPr>
                <w:rFonts w:hint="eastAsia" w:ascii="宋体" w:hAnsi="宋体"/>
                <w:b/>
                <w:bCs/>
                <w:sz w:val="18"/>
                <w:szCs w:val="18"/>
              </w:rPr>
              <w:t>，该平台由厂家部署于互联网，不使用甲方局域网与互联网IP资源。甲方服务器通过物业宽带开放普通上网权限实现与该平台的数据对接，服务器不单独开放互联网IP及端口</w:t>
            </w:r>
            <w:r>
              <w:rPr>
                <w:rFonts w:ascii="宋体" w:hAnsi="宋体"/>
                <w:b/>
                <w:bCs/>
                <w:sz w:val="18"/>
                <w:szCs w:val="18"/>
              </w:rPr>
              <w:t>。</w:t>
            </w:r>
            <w:bookmarkEnd w:id="14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其他技术、服务要求</w:t>
            </w:r>
          </w:p>
        </w:tc>
        <w:tc>
          <w:tcPr>
            <w:tcW w:w="4060" w:type="pct"/>
            <w:tcBorders>
              <w:top w:val="single" w:color="auto" w:sz="4" w:space="0"/>
              <w:left w:val="single" w:color="auto" w:sz="4" w:space="0"/>
              <w:bottom w:val="single" w:color="auto" w:sz="4" w:space="0"/>
              <w:right w:val="single" w:color="auto" w:sz="4" w:space="0"/>
            </w:tcBorders>
            <w:vAlign w:val="center"/>
          </w:tcPr>
          <w:p>
            <w:pPr>
              <w:pStyle w:val="12"/>
              <w:ind w:left="0" w:leftChars="0"/>
              <w:rPr>
                <w:rFonts w:hint="eastAsia" w:ascii="宋体" w:hAnsi="宋体"/>
                <w:sz w:val="18"/>
                <w:szCs w:val="18"/>
              </w:rPr>
            </w:pPr>
            <w:r>
              <w:rPr>
                <w:rFonts w:hint="eastAsia" w:ascii="宋体" w:hAnsi="宋体"/>
                <w:sz w:val="18"/>
                <w:szCs w:val="18"/>
              </w:rPr>
              <w:t>1.所有设备必须是全新的，未曾使用过的，符合国家有关设备制造标准。</w:t>
            </w:r>
          </w:p>
          <w:p>
            <w:pPr>
              <w:pStyle w:val="12"/>
              <w:ind w:left="0" w:leftChars="0"/>
              <w:rPr>
                <w:rFonts w:hint="eastAsia" w:ascii="宋体" w:hAnsi="宋体"/>
                <w:sz w:val="18"/>
                <w:szCs w:val="18"/>
              </w:rPr>
            </w:pPr>
            <w:r>
              <w:rPr>
                <w:rFonts w:hint="eastAsia" w:ascii="宋体" w:hAnsi="宋体"/>
                <w:sz w:val="18"/>
                <w:szCs w:val="18"/>
              </w:rPr>
              <w:t>2.</w:t>
            </w:r>
            <w:bookmarkStart w:id="146" w:name="OLE_LINK4"/>
            <w:r>
              <w:rPr>
                <w:rFonts w:ascii="宋体" w:hAnsi="宋体"/>
                <w:sz w:val="18"/>
                <w:szCs w:val="18"/>
              </w:rPr>
              <w:t>本项目报价包含各种设备所需的线材、配件、连接线、接插件、安装、调试、运输、旧件拆除（含安装的线材）等全部费用</w:t>
            </w:r>
            <w:bookmarkEnd w:id="146"/>
          </w:p>
          <w:p>
            <w:pPr>
              <w:pStyle w:val="12"/>
              <w:ind w:left="0" w:leftChars="0"/>
              <w:rPr>
                <w:rFonts w:hint="eastAsia" w:ascii="宋体" w:hAnsi="宋体"/>
                <w:sz w:val="18"/>
                <w:szCs w:val="18"/>
              </w:rPr>
            </w:pPr>
            <w:r>
              <w:rPr>
                <w:rFonts w:hint="eastAsia" w:ascii="宋体" w:hAnsi="宋体"/>
                <w:sz w:val="18"/>
                <w:szCs w:val="18"/>
              </w:rPr>
              <w:t>3.投标人不得以任何形式将本项目转包或分包给其他单位，否则招标人有权终止合同，所发生的一切损失均由投标人承担。</w:t>
            </w:r>
          </w:p>
          <w:p>
            <w:pPr>
              <w:pStyle w:val="12"/>
              <w:ind w:left="0" w:leftChars="0"/>
              <w:rPr>
                <w:rFonts w:hint="eastAsia" w:ascii="宋体" w:hAnsi="宋体"/>
                <w:sz w:val="18"/>
                <w:szCs w:val="18"/>
              </w:rPr>
            </w:pPr>
            <w:r>
              <w:rPr>
                <w:rFonts w:hint="eastAsia" w:ascii="宋体" w:hAnsi="宋体"/>
                <w:sz w:val="18"/>
                <w:szCs w:val="18"/>
              </w:rPr>
              <w:t>4.投标人应针对本项目制定详细、具体的实施方案。</w:t>
            </w:r>
          </w:p>
          <w:p>
            <w:pPr>
              <w:pStyle w:val="12"/>
              <w:ind w:left="0" w:leftChars="0"/>
              <w:rPr>
                <w:rFonts w:hint="eastAsia" w:ascii="宋体" w:hAnsi="宋体"/>
                <w:sz w:val="18"/>
                <w:szCs w:val="18"/>
              </w:rPr>
            </w:pPr>
            <w:r>
              <w:rPr>
                <w:rFonts w:hint="eastAsia" w:ascii="宋体" w:hAnsi="宋体"/>
                <w:sz w:val="18"/>
                <w:szCs w:val="18"/>
              </w:rPr>
              <w:t>5.投标人应针对本项目制定明确的交货步骤、每个阶段时间节点、进度控制和措施、进度计划表等。</w:t>
            </w:r>
          </w:p>
          <w:p>
            <w:pPr>
              <w:pStyle w:val="12"/>
              <w:ind w:left="0" w:leftChars="0"/>
              <w:rPr>
                <w:rFonts w:hint="eastAsia" w:ascii="宋体" w:hAnsi="宋体"/>
                <w:sz w:val="18"/>
                <w:szCs w:val="18"/>
              </w:rPr>
            </w:pPr>
            <w:r>
              <w:rPr>
                <w:rFonts w:hint="eastAsia" w:ascii="宋体" w:hAnsi="宋体"/>
                <w:sz w:val="18"/>
                <w:szCs w:val="18"/>
              </w:rPr>
              <w:t>6.培训：</w:t>
            </w:r>
          </w:p>
          <w:p>
            <w:pPr>
              <w:pStyle w:val="12"/>
              <w:ind w:left="0" w:leftChars="0"/>
              <w:rPr>
                <w:rFonts w:hint="eastAsia" w:ascii="宋体" w:hAnsi="宋体"/>
                <w:sz w:val="18"/>
                <w:szCs w:val="18"/>
              </w:rPr>
            </w:pPr>
            <w:bookmarkStart w:id="147" w:name="OLE_LINK46"/>
            <w:r>
              <w:rPr>
                <w:rFonts w:hint="eastAsia" w:ascii="宋体" w:hAnsi="宋体"/>
                <w:sz w:val="18"/>
                <w:szCs w:val="18"/>
              </w:rPr>
              <w:t>（1）</w:t>
            </w:r>
            <w:bookmarkEnd w:id="147"/>
            <w:r>
              <w:rPr>
                <w:rFonts w:hint="eastAsia" w:ascii="宋体" w:hAnsi="宋体"/>
                <w:sz w:val="18"/>
                <w:szCs w:val="18"/>
              </w:rPr>
              <w:t>投标人应对招标人的操作人员、维修人员免费进行培训。</w:t>
            </w:r>
          </w:p>
          <w:p>
            <w:pPr>
              <w:pStyle w:val="12"/>
              <w:ind w:left="0" w:leftChars="0"/>
              <w:rPr>
                <w:rFonts w:hint="eastAsia" w:ascii="宋体" w:hAnsi="宋体"/>
                <w:sz w:val="18"/>
                <w:szCs w:val="18"/>
              </w:rPr>
            </w:pPr>
            <w:r>
              <w:rPr>
                <w:rFonts w:hint="eastAsia" w:ascii="宋体" w:hAnsi="宋体"/>
                <w:sz w:val="18"/>
                <w:szCs w:val="18"/>
              </w:rPr>
              <w:t>（2）投标人应提供相应的培训计划。</w:t>
            </w:r>
          </w:p>
          <w:p>
            <w:pPr>
              <w:pStyle w:val="12"/>
              <w:ind w:left="0" w:leftChars="0"/>
              <w:rPr>
                <w:rFonts w:hint="eastAsia" w:ascii="宋体" w:hAnsi="宋体"/>
                <w:sz w:val="18"/>
                <w:szCs w:val="18"/>
              </w:rPr>
            </w:pPr>
            <w:r>
              <w:rPr>
                <w:rFonts w:hint="eastAsia" w:ascii="宋体" w:hAnsi="宋体"/>
                <w:sz w:val="18"/>
                <w:szCs w:val="18"/>
              </w:rPr>
              <w:t>（3）投标人应对上述内容的实现方式、地点、人数、时间在投标文件中详细说明。</w:t>
            </w:r>
          </w:p>
          <w:p>
            <w:pPr>
              <w:pStyle w:val="12"/>
              <w:ind w:left="0" w:leftChars="0"/>
              <w:rPr>
                <w:rFonts w:hint="eastAsia" w:ascii="宋体" w:hAnsi="宋体"/>
                <w:sz w:val="18"/>
                <w:szCs w:val="18"/>
              </w:rPr>
            </w:pPr>
            <w:r>
              <w:rPr>
                <w:rFonts w:hint="eastAsia" w:ascii="宋体" w:hAnsi="宋体"/>
                <w:sz w:val="18"/>
                <w:szCs w:val="18"/>
              </w:rPr>
              <w:t>7.技术支持：</w:t>
            </w:r>
          </w:p>
          <w:p>
            <w:pPr>
              <w:pStyle w:val="12"/>
              <w:ind w:left="0" w:leftChars="0"/>
              <w:rPr>
                <w:rFonts w:hint="eastAsia" w:ascii="宋体" w:hAnsi="宋体"/>
                <w:sz w:val="18"/>
                <w:szCs w:val="18"/>
              </w:rPr>
            </w:pPr>
            <w:r>
              <w:rPr>
                <w:rFonts w:hint="eastAsia" w:ascii="宋体" w:hAnsi="宋体"/>
                <w:sz w:val="18"/>
                <w:szCs w:val="18"/>
              </w:rPr>
              <w:t>投标人应及时免费提供合同货物软件的升级，免费提供合同货物新功能和应用的资料。</w:t>
            </w:r>
          </w:p>
          <w:p>
            <w:pPr>
              <w:pStyle w:val="12"/>
              <w:ind w:left="0" w:leftChars="0"/>
              <w:rPr>
                <w:rFonts w:hint="eastAsia" w:ascii="宋体" w:hAnsi="宋体"/>
                <w:sz w:val="18"/>
                <w:szCs w:val="18"/>
              </w:rPr>
            </w:pPr>
            <w:r>
              <w:rPr>
                <w:rFonts w:hint="eastAsia" w:ascii="宋体" w:hAnsi="宋体"/>
                <w:sz w:val="18"/>
                <w:szCs w:val="18"/>
              </w:rPr>
              <w:t>8.安装调试：</w:t>
            </w:r>
          </w:p>
          <w:p>
            <w:pPr>
              <w:pStyle w:val="12"/>
              <w:ind w:left="0" w:leftChars="0"/>
              <w:rPr>
                <w:rFonts w:hint="eastAsia" w:ascii="宋体" w:hAnsi="宋体"/>
                <w:sz w:val="18"/>
                <w:szCs w:val="18"/>
              </w:rPr>
            </w:pPr>
            <w:r>
              <w:rPr>
                <w:rFonts w:hint="eastAsia" w:ascii="宋体" w:hAnsi="宋体"/>
                <w:sz w:val="18"/>
                <w:szCs w:val="18"/>
              </w:rPr>
              <w:t>（1）安装地点：招标人指定地点。</w:t>
            </w:r>
          </w:p>
          <w:p>
            <w:pPr>
              <w:pStyle w:val="12"/>
              <w:ind w:left="0" w:leftChars="0"/>
              <w:rPr>
                <w:rFonts w:hint="eastAsia" w:ascii="宋体" w:hAnsi="宋体"/>
                <w:sz w:val="18"/>
                <w:szCs w:val="18"/>
              </w:rPr>
            </w:pPr>
            <w:r>
              <w:rPr>
                <w:rFonts w:hint="eastAsia" w:ascii="宋体" w:hAnsi="宋体"/>
                <w:sz w:val="18"/>
                <w:szCs w:val="18"/>
              </w:rPr>
              <w:t>（2）安装标准：符合有关技术规范要求，所有的软件和硬件必须保证同时安装到位。</w:t>
            </w:r>
          </w:p>
          <w:p>
            <w:pPr>
              <w:pStyle w:val="12"/>
              <w:ind w:left="0" w:leftChars="0"/>
              <w:rPr>
                <w:rFonts w:hint="eastAsia" w:ascii="宋体" w:hAnsi="宋体"/>
                <w:sz w:val="18"/>
                <w:szCs w:val="18"/>
              </w:rPr>
            </w:pPr>
            <w:r>
              <w:rPr>
                <w:rFonts w:hint="eastAsia" w:ascii="宋体" w:hAnsi="宋体"/>
                <w:sz w:val="18"/>
                <w:szCs w:val="18"/>
              </w:rPr>
              <w:t>（3）投标人针对本项目提供完善的售后服务方案以及售后服务承诺。</w:t>
            </w:r>
          </w:p>
          <w:p>
            <w:pPr>
              <w:pStyle w:val="12"/>
              <w:ind w:left="0" w:leftChars="0"/>
              <w:rPr>
                <w:rFonts w:hint="eastAsia" w:ascii="宋体" w:hAnsi="宋体"/>
                <w:sz w:val="18"/>
                <w:szCs w:val="18"/>
              </w:rPr>
            </w:pPr>
            <w:r>
              <w:rPr>
                <w:rFonts w:hint="eastAsia" w:ascii="宋体" w:hAnsi="宋体"/>
                <w:sz w:val="18"/>
                <w:szCs w:val="18"/>
              </w:rPr>
              <w:t>（4）投标人应针对本项目提供质保期满后配件、附件、备品备件的准备和保障措施。</w:t>
            </w:r>
          </w:p>
          <w:p>
            <w:pPr>
              <w:pStyle w:val="12"/>
              <w:ind w:left="0" w:leftChars="0"/>
              <w:rPr>
                <w:rFonts w:hint="eastAsia" w:ascii="宋体" w:hAnsi="宋体"/>
                <w:sz w:val="18"/>
                <w:szCs w:val="18"/>
              </w:rPr>
            </w:pPr>
            <w:r>
              <w:rPr>
                <w:rFonts w:ascii="宋体" w:hAnsi="宋体"/>
                <w:sz w:val="18"/>
                <w:szCs w:val="18"/>
              </w:rPr>
              <w:t>9.</w:t>
            </w:r>
            <w:r>
              <w:rPr>
                <w:rFonts w:hint="eastAsia"/>
              </w:rPr>
              <w:t xml:space="preserve"> </w:t>
            </w:r>
            <w:r>
              <w:rPr>
                <w:rFonts w:hint="eastAsia" w:ascii="宋体" w:hAnsi="宋体"/>
                <w:sz w:val="18"/>
                <w:szCs w:val="18"/>
              </w:rPr>
              <w:t>地下室防火门，一楼后门备具消防联动功能，当消防信号触发时，门自动打开，可快速引导人员疏散(具体按设计图纸操作)。</w:t>
            </w:r>
          </w:p>
        </w:tc>
      </w:tr>
    </w:tbl>
    <w:p>
      <w:pPr>
        <w:rPr>
          <w:rFonts w:hint="eastAsia"/>
        </w:rPr>
      </w:pPr>
    </w:p>
    <w:p>
      <w:pPr>
        <w:widowControl/>
        <w:adjustRightInd/>
        <w:spacing w:line="240" w:lineRule="auto"/>
        <w:jc w:val="left"/>
        <w:textAlignment w:val="auto"/>
        <w:rPr>
          <w:rFonts w:hint="eastAsia"/>
        </w:rPr>
      </w:pPr>
      <w:r>
        <w:rPr>
          <w:rFonts w:hint="eastAsia"/>
        </w:rPr>
        <w:br w:type="page"/>
      </w:r>
    </w:p>
    <w:p>
      <w:pPr>
        <w:pStyle w:val="2"/>
        <w:jc w:val="center"/>
        <w:rPr>
          <w:rFonts w:hint="eastAsia"/>
        </w:rPr>
      </w:pPr>
      <w:r>
        <w:rPr>
          <w:rFonts w:hint="eastAsia"/>
        </w:rPr>
        <w:t xml:space="preserve">第八章 </w:t>
      </w:r>
      <w:bookmarkStart w:id="148" w:name="_Toc19528"/>
      <w:r>
        <w:rPr>
          <w:rFonts w:hint="eastAsia"/>
        </w:rPr>
        <w:t>投标文件格式</w:t>
      </w:r>
      <w:bookmarkEnd w:id="134"/>
      <w:bookmarkEnd w:id="135"/>
      <w:bookmarkEnd w:id="136"/>
      <w:bookmarkEnd w:id="137"/>
      <w:bookmarkEnd w:id="148"/>
    </w:p>
    <w:p>
      <w:pPr>
        <w:pStyle w:val="2"/>
        <w:jc w:val="center"/>
        <w:rPr>
          <w:rFonts w:hint="eastAsia"/>
          <w:sz w:val="36"/>
          <w:szCs w:val="36"/>
        </w:rPr>
      </w:pPr>
      <w:r>
        <w:rPr>
          <w:rFonts w:hint="eastAsia"/>
          <w:sz w:val="36"/>
          <w:szCs w:val="36"/>
        </w:rPr>
        <w:t>目录</w:t>
      </w:r>
    </w:p>
    <w:p>
      <w:pPr>
        <w:pStyle w:val="12"/>
        <w:ind w:left="0" w:leftChars="0"/>
        <w:rPr>
          <w:rFonts w:hint="eastAsia" w:ascii="宋体" w:hAnsi="宋体"/>
          <w:sz w:val="18"/>
          <w:szCs w:val="18"/>
        </w:rPr>
      </w:pPr>
      <w:r>
        <w:rPr>
          <w:rFonts w:hint="eastAsia" w:ascii="宋体" w:hAnsi="宋体"/>
          <w:sz w:val="18"/>
          <w:szCs w:val="18"/>
        </w:rPr>
        <w:t>投标文件由资格审查文件、价格标、商务技术标组成。</w:t>
      </w:r>
    </w:p>
    <w:p>
      <w:pPr>
        <w:pStyle w:val="12"/>
        <w:ind w:left="0" w:leftChars="0"/>
        <w:rPr>
          <w:rFonts w:hint="eastAsia" w:ascii="宋体" w:hAnsi="宋体"/>
          <w:sz w:val="18"/>
          <w:szCs w:val="18"/>
        </w:rPr>
      </w:pPr>
      <w:r>
        <w:rPr>
          <w:rFonts w:hint="eastAsia" w:ascii="宋体" w:hAnsi="宋体"/>
          <w:sz w:val="18"/>
          <w:szCs w:val="18"/>
        </w:rPr>
        <w:t>一、资格审查文件：</w:t>
      </w:r>
    </w:p>
    <w:p>
      <w:pPr>
        <w:pStyle w:val="12"/>
        <w:ind w:left="0" w:leftChars="0"/>
        <w:rPr>
          <w:rFonts w:hint="eastAsia" w:ascii="宋体" w:hAnsi="宋体"/>
          <w:sz w:val="18"/>
          <w:szCs w:val="18"/>
        </w:rPr>
      </w:pPr>
      <w:r>
        <w:rPr>
          <w:rFonts w:hint="eastAsia" w:ascii="宋体" w:hAnsi="宋体"/>
          <w:sz w:val="18"/>
          <w:szCs w:val="18"/>
        </w:rPr>
        <w:t>1.资格审查文件封面；</w:t>
      </w:r>
    </w:p>
    <w:p>
      <w:pPr>
        <w:pStyle w:val="12"/>
        <w:ind w:left="0" w:leftChars="0"/>
        <w:rPr>
          <w:rFonts w:hint="eastAsia" w:ascii="宋体" w:hAnsi="宋体"/>
          <w:sz w:val="18"/>
          <w:szCs w:val="18"/>
        </w:rPr>
      </w:pPr>
      <w:r>
        <w:rPr>
          <w:rFonts w:hint="eastAsia" w:ascii="宋体" w:hAnsi="宋体"/>
          <w:sz w:val="18"/>
          <w:szCs w:val="18"/>
        </w:rPr>
        <w:t>2.法定代表人身份证明书；</w:t>
      </w:r>
    </w:p>
    <w:p>
      <w:pPr>
        <w:pStyle w:val="12"/>
        <w:ind w:left="0" w:leftChars="0"/>
        <w:rPr>
          <w:rFonts w:hint="eastAsia" w:ascii="宋体" w:hAnsi="宋体"/>
          <w:sz w:val="18"/>
          <w:szCs w:val="18"/>
        </w:rPr>
      </w:pPr>
      <w:r>
        <w:rPr>
          <w:rFonts w:hint="eastAsia" w:ascii="宋体" w:hAnsi="宋体"/>
          <w:sz w:val="18"/>
          <w:szCs w:val="18"/>
        </w:rPr>
        <w:t>3.法定代表人授权委托书；</w:t>
      </w:r>
    </w:p>
    <w:p>
      <w:pPr>
        <w:jc w:val="left"/>
        <w:rPr>
          <w:rFonts w:hint="eastAsia"/>
          <w:sz w:val="18"/>
          <w:szCs w:val="18"/>
        </w:rPr>
      </w:pPr>
      <w:r>
        <w:rPr>
          <w:rFonts w:hint="eastAsia"/>
          <w:sz w:val="18"/>
          <w:szCs w:val="18"/>
        </w:rPr>
        <w:t>4.企业营业执照及安全生产许可证扫描件；</w:t>
      </w:r>
    </w:p>
    <w:p>
      <w:pPr>
        <w:rPr>
          <w:rFonts w:hint="eastAsia"/>
          <w:sz w:val="18"/>
          <w:szCs w:val="18"/>
        </w:rPr>
      </w:pPr>
      <w:r>
        <w:rPr>
          <w:sz w:val="18"/>
          <w:szCs w:val="18"/>
        </w:rPr>
        <w:t>5.</w:t>
      </w:r>
      <w:r>
        <w:rPr>
          <w:rFonts w:hint="eastAsia"/>
          <w:sz w:val="18"/>
          <w:szCs w:val="18"/>
        </w:rPr>
        <w:t>企业资质证书扫描件</w:t>
      </w:r>
    </w:p>
    <w:p>
      <w:pPr>
        <w:pStyle w:val="12"/>
        <w:ind w:left="0" w:leftChars="0"/>
        <w:rPr>
          <w:rFonts w:hint="eastAsia" w:ascii="宋体" w:hAnsi="宋体"/>
          <w:sz w:val="18"/>
          <w:szCs w:val="18"/>
        </w:rPr>
      </w:pPr>
      <w:r>
        <w:rPr>
          <w:rFonts w:hint="eastAsia" w:ascii="宋体" w:hAnsi="宋体"/>
          <w:sz w:val="18"/>
          <w:szCs w:val="18"/>
        </w:rPr>
        <w:t>6.拟派项目人员的简历表：附项目经理有效的身份证复印件、建造师注册证书复印件、安全生产考核合格证书（B证）复印件</w:t>
      </w:r>
      <w:r>
        <w:rPr>
          <w:rFonts w:cs="宋体"/>
          <w:kern w:val="0"/>
          <w:szCs w:val="21"/>
        </w:rPr>
        <w:t>；</w:t>
      </w:r>
      <w:r>
        <w:rPr>
          <w:rFonts w:hint="eastAsia" w:ascii="宋体" w:hAnsi="宋体"/>
          <w:sz w:val="18"/>
          <w:szCs w:val="18"/>
        </w:rPr>
        <w:t xml:space="preserve">专（兼）职安全员安全生产考核合格证书（C类）复印件及社保证明复印件（一级建造师电子注册证书应符合住房和城乡建设部办公厅关于全面实行一级建造师电子注册证书的通知（建办市〔2021〕40号）的有关规定）； </w:t>
      </w:r>
    </w:p>
    <w:p>
      <w:pPr>
        <w:jc w:val="left"/>
        <w:rPr>
          <w:rFonts w:hint="eastAsia"/>
          <w:sz w:val="18"/>
          <w:szCs w:val="18"/>
        </w:rPr>
      </w:pPr>
      <w:bookmarkStart w:id="149" w:name="OLE_LINK34"/>
      <w:r>
        <w:rPr>
          <w:rFonts w:hint="eastAsia"/>
          <w:sz w:val="18"/>
          <w:szCs w:val="18"/>
        </w:rPr>
        <w:t>7.安全管理承诺函；</w:t>
      </w:r>
    </w:p>
    <w:p>
      <w:pPr>
        <w:jc w:val="left"/>
        <w:rPr>
          <w:rFonts w:hint="eastAsia"/>
          <w:sz w:val="18"/>
          <w:szCs w:val="18"/>
        </w:rPr>
      </w:pPr>
      <w:r>
        <w:rPr>
          <w:rFonts w:hint="eastAsia"/>
          <w:sz w:val="18"/>
          <w:szCs w:val="18"/>
        </w:rPr>
        <w:t>8.与投标人签订劳动合同的人员不少于20人</w:t>
      </w:r>
    </w:p>
    <w:p>
      <w:pPr>
        <w:jc w:val="left"/>
        <w:rPr>
          <w:rFonts w:hint="eastAsia"/>
          <w:sz w:val="18"/>
          <w:szCs w:val="18"/>
        </w:rPr>
      </w:pPr>
      <w:r>
        <w:rPr>
          <w:rFonts w:hint="eastAsia"/>
          <w:sz w:val="18"/>
          <w:szCs w:val="18"/>
        </w:rPr>
        <w:t xml:space="preserve">9. </w:t>
      </w:r>
      <w:r>
        <w:rPr>
          <w:sz w:val="18"/>
          <w:szCs w:val="18"/>
        </w:rPr>
        <w:t>投标人未被列入失信被执行人名单、重大税收违法案件当事人名单、安全生产严重失信主体名单、政府采购严重违法失信行为记录名单等信用信息以信用中国网站（www.creditchina.gov.cn）、中国政府采购网（www.ccgp.gov.cn）公布为准。</w:t>
      </w:r>
    </w:p>
    <w:p>
      <w:pPr>
        <w:jc w:val="left"/>
        <w:rPr>
          <w:rFonts w:hint="eastAsia"/>
          <w:sz w:val="18"/>
          <w:szCs w:val="18"/>
        </w:rPr>
      </w:pPr>
      <w:r>
        <w:rPr>
          <w:rFonts w:hint="eastAsia"/>
          <w:sz w:val="18"/>
          <w:szCs w:val="18"/>
        </w:rPr>
        <w:t>10.投标人未被列入全国建筑市场监管公共服务平台公布的建筑市场主体 “黑名单”</w:t>
      </w:r>
    </w:p>
    <w:p>
      <w:pPr>
        <w:jc w:val="left"/>
        <w:rPr>
          <w:rFonts w:hint="eastAsia"/>
          <w:sz w:val="18"/>
          <w:szCs w:val="18"/>
        </w:rPr>
      </w:pPr>
      <w:r>
        <w:rPr>
          <w:rFonts w:hint="eastAsia"/>
          <w:sz w:val="18"/>
          <w:szCs w:val="18"/>
        </w:rPr>
        <w:t>11.其他需要补充的资料。</w:t>
      </w:r>
    </w:p>
    <w:bookmarkEnd w:id="149"/>
    <w:p>
      <w:pPr>
        <w:pStyle w:val="12"/>
        <w:ind w:left="0" w:leftChars="0"/>
        <w:rPr>
          <w:rFonts w:hint="eastAsia" w:ascii="宋体" w:hAnsi="宋体"/>
          <w:sz w:val="18"/>
          <w:szCs w:val="18"/>
        </w:rPr>
      </w:pPr>
      <w:r>
        <w:rPr>
          <w:rFonts w:hint="eastAsia" w:ascii="宋体" w:hAnsi="宋体"/>
          <w:sz w:val="18"/>
          <w:szCs w:val="18"/>
        </w:rPr>
        <w:t>二、价格标组成：</w:t>
      </w:r>
    </w:p>
    <w:p>
      <w:pPr>
        <w:jc w:val="left"/>
        <w:rPr>
          <w:rFonts w:hint="eastAsia"/>
          <w:sz w:val="18"/>
          <w:szCs w:val="18"/>
        </w:rPr>
      </w:pPr>
      <w:r>
        <w:rPr>
          <w:rFonts w:hint="eastAsia"/>
          <w:sz w:val="18"/>
          <w:szCs w:val="18"/>
        </w:rPr>
        <w:t>1.价格标封面；</w:t>
      </w:r>
    </w:p>
    <w:p>
      <w:pPr>
        <w:jc w:val="left"/>
        <w:rPr>
          <w:rFonts w:hint="eastAsia"/>
          <w:sz w:val="18"/>
          <w:szCs w:val="18"/>
        </w:rPr>
      </w:pPr>
      <w:r>
        <w:rPr>
          <w:rFonts w:hint="eastAsia"/>
          <w:sz w:val="18"/>
          <w:szCs w:val="18"/>
        </w:rPr>
        <w:t>2.投标函；</w:t>
      </w:r>
    </w:p>
    <w:p>
      <w:pPr>
        <w:jc w:val="left"/>
        <w:rPr>
          <w:rFonts w:hint="eastAsia"/>
          <w:sz w:val="18"/>
          <w:szCs w:val="18"/>
        </w:rPr>
      </w:pPr>
      <w:r>
        <w:rPr>
          <w:rFonts w:hint="eastAsia"/>
          <w:sz w:val="18"/>
          <w:szCs w:val="18"/>
        </w:rPr>
        <w:t>3.</w:t>
      </w:r>
      <w:bookmarkStart w:id="150" w:name="OLE_LINK15"/>
      <w:r>
        <w:rPr>
          <w:rFonts w:hint="eastAsia"/>
          <w:sz w:val="18"/>
          <w:szCs w:val="18"/>
        </w:rPr>
        <w:t>工程量清单与计价表</w:t>
      </w:r>
    </w:p>
    <w:bookmarkEnd w:id="150"/>
    <w:p>
      <w:pPr>
        <w:pStyle w:val="12"/>
        <w:ind w:left="0" w:leftChars="0"/>
        <w:rPr>
          <w:rFonts w:hint="eastAsia" w:ascii="宋体" w:hAnsi="宋体"/>
          <w:sz w:val="18"/>
          <w:szCs w:val="18"/>
        </w:rPr>
      </w:pPr>
      <w:r>
        <w:rPr>
          <w:rFonts w:hint="eastAsia" w:ascii="宋体" w:hAnsi="宋体"/>
          <w:sz w:val="18"/>
          <w:szCs w:val="18"/>
        </w:rPr>
        <w:t>三、商务技术标组成：</w:t>
      </w:r>
    </w:p>
    <w:p>
      <w:pPr>
        <w:jc w:val="left"/>
        <w:rPr>
          <w:rFonts w:hint="eastAsia"/>
          <w:sz w:val="18"/>
          <w:szCs w:val="18"/>
        </w:rPr>
      </w:pPr>
      <w:r>
        <w:rPr>
          <w:rFonts w:hint="eastAsia"/>
          <w:sz w:val="18"/>
          <w:szCs w:val="18"/>
        </w:rPr>
        <w:t>1.商务技术标封面；</w:t>
      </w:r>
    </w:p>
    <w:p>
      <w:pPr>
        <w:jc w:val="left"/>
        <w:rPr>
          <w:rFonts w:hint="eastAsia"/>
          <w:sz w:val="18"/>
          <w:szCs w:val="18"/>
        </w:rPr>
      </w:pPr>
      <w:r>
        <w:rPr>
          <w:rFonts w:hint="eastAsia"/>
          <w:sz w:val="18"/>
          <w:szCs w:val="18"/>
        </w:rPr>
        <w:t>2.商务技术偏离表</w:t>
      </w:r>
    </w:p>
    <w:p>
      <w:pPr>
        <w:jc w:val="left"/>
        <w:rPr>
          <w:rFonts w:hint="eastAsia"/>
          <w:sz w:val="18"/>
          <w:szCs w:val="18"/>
        </w:rPr>
      </w:pPr>
      <w:r>
        <w:rPr>
          <w:rFonts w:hint="eastAsia"/>
          <w:sz w:val="18"/>
          <w:szCs w:val="18"/>
        </w:rPr>
        <w:t>3.</w:t>
      </w:r>
      <w:r>
        <w:rPr>
          <w:sz w:val="18"/>
          <w:szCs w:val="18"/>
        </w:rPr>
        <w:t>材料设备品牌</w:t>
      </w:r>
    </w:p>
    <w:p>
      <w:pPr>
        <w:jc w:val="left"/>
        <w:rPr>
          <w:rFonts w:hint="eastAsia"/>
          <w:sz w:val="18"/>
          <w:szCs w:val="18"/>
        </w:rPr>
      </w:pPr>
      <w:r>
        <w:rPr>
          <w:rFonts w:hint="eastAsia"/>
          <w:sz w:val="18"/>
          <w:szCs w:val="18"/>
        </w:rPr>
        <w:t>4.综合实力；</w:t>
      </w:r>
    </w:p>
    <w:p>
      <w:pPr>
        <w:jc w:val="left"/>
        <w:rPr>
          <w:rFonts w:hint="eastAsia"/>
          <w:sz w:val="18"/>
          <w:szCs w:val="18"/>
        </w:rPr>
      </w:pPr>
      <w:r>
        <w:rPr>
          <w:rFonts w:hint="eastAsia"/>
          <w:sz w:val="18"/>
          <w:szCs w:val="18"/>
        </w:rPr>
        <w:t>5.现场工作计划安排及施工方案；</w:t>
      </w:r>
    </w:p>
    <w:p>
      <w:pPr>
        <w:jc w:val="left"/>
        <w:rPr>
          <w:rFonts w:hint="eastAsia"/>
          <w:sz w:val="18"/>
          <w:szCs w:val="18"/>
        </w:rPr>
      </w:pPr>
      <w:r>
        <w:rPr>
          <w:rFonts w:hint="eastAsia"/>
          <w:sz w:val="18"/>
          <w:szCs w:val="18"/>
        </w:rPr>
        <w:t>6.标“▲”产品参数(要求提供产品参数证明并加盖原厂公章，未提供不得分)；</w:t>
      </w:r>
    </w:p>
    <w:p>
      <w:pPr>
        <w:jc w:val="left"/>
        <w:rPr>
          <w:rFonts w:hint="eastAsia"/>
          <w:sz w:val="18"/>
          <w:szCs w:val="18"/>
        </w:rPr>
      </w:pPr>
      <w:r>
        <w:rPr>
          <w:rFonts w:hint="eastAsia"/>
          <w:sz w:val="18"/>
          <w:szCs w:val="18"/>
        </w:rPr>
        <w:t>7类似业绩；</w:t>
      </w:r>
    </w:p>
    <w:p>
      <w:pPr>
        <w:jc w:val="left"/>
        <w:rPr>
          <w:rFonts w:hint="eastAsia"/>
          <w:sz w:val="18"/>
          <w:szCs w:val="18"/>
        </w:rPr>
      </w:pPr>
      <w:r>
        <w:rPr>
          <w:rFonts w:hint="eastAsia"/>
          <w:sz w:val="18"/>
          <w:szCs w:val="18"/>
        </w:rPr>
        <w:t>8.项目管理机构；</w:t>
      </w:r>
    </w:p>
    <w:p>
      <w:pPr>
        <w:rPr>
          <w:rFonts w:hint="eastAsia"/>
          <w:sz w:val="18"/>
          <w:szCs w:val="18"/>
        </w:rPr>
      </w:pPr>
      <w:r>
        <w:rPr>
          <w:rFonts w:hint="eastAsia" w:cs="宋体"/>
          <w:bCs/>
          <w:sz w:val="18"/>
          <w:szCs w:val="18"/>
        </w:rPr>
        <w:t>9</w:t>
      </w:r>
      <w:r>
        <w:rPr>
          <w:rFonts w:cs="宋体"/>
          <w:bCs/>
          <w:sz w:val="18"/>
          <w:szCs w:val="18"/>
        </w:rPr>
        <w:t>.</w:t>
      </w:r>
      <w:r>
        <w:rPr>
          <w:rFonts w:hint="eastAsia" w:cs="宋体"/>
          <w:bCs/>
          <w:sz w:val="18"/>
          <w:szCs w:val="18"/>
        </w:rPr>
        <w:t>商务技术标评审所涉及的资料。</w:t>
      </w:r>
    </w:p>
    <w:p>
      <w:pPr>
        <w:pStyle w:val="12"/>
        <w:ind w:left="0" w:leftChars="0"/>
        <w:rPr>
          <w:rFonts w:hint="eastAsia" w:ascii="宋体" w:hAnsi="宋体"/>
          <w:sz w:val="18"/>
          <w:szCs w:val="18"/>
        </w:rPr>
      </w:pPr>
      <w:r>
        <w:rPr>
          <w:rFonts w:hint="eastAsia" w:ascii="宋体" w:hAnsi="宋体"/>
          <w:sz w:val="18"/>
          <w:szCs w:val="18"/>
        </w:rPr>
        <w:t>注：以上内容附件中有参考格式的，需参照格式，没有参考格式的，投标人根据招标文件要求自行编写。</w:t>
      </w:r>
    </w:p>
    <w:p>
      <w:pPr>
        <w:pStyle w:val="14"/>
        <w:widowControl/>
        <w:spacing w:before="120" w:beforeLines="50" w:after="120" w:afterLines="50" w:line="440" w:lineRule="atLeast"/>
        <w:jc w:val="left"/>
        <w:outlineLvl w:val="0"/>
        <w:rPr>
          <w:sz w:val="18"/>
          <w:szCs w:val="18"/>
        </w:rPr>
      </w:pPr>
      <w:r>
        <w:rPr>
          <w:rFonts w:hint="eastAsia"/>
          <w:sz w:val="18"/>
          <w:szCs w:val="18"/>
        </w:rPr>
        <w:t xml:space="preserve"> </w:t>
      </w:r>
    </w:p>
    <w:p>
      <w:pPr>
        <w:pStyle w:val="14"/>
        <w:widowControl/>
        <w:spacing w:before="120" w:beforeLines="50" w:after="120" w:afterLines="50" w:line="440" w:lineRule="atLeast"/>
        <w:jc w:val="left"/>
        <w:outlineLvl w:val="0"/>
        <w:rPr>
          <w:sz w:val="18"/>
          <w:szCs w:val="18"/>
        </w:rPr>
      </w:pPr>
      <w:r>
        <w:rPr>
          <w:rFonts w:hint="eastAsia"/>
          <w:sz w:val="18"/>
          <w:szCs w:val="18"/>
        </w:rPr>
        <w:t xml:space="preserve"> </w:t>
      </w:r>
    </w:p>
    <w:p>
      <w:pPr>
        <w:pStyle w:val="14"/>
        <w:widowControl/>
        <w:spacing w:before="120" w:beforeLines="50" w:after="120" w:afterLines="50" w:line="440" w:lineRule="atLeast"/>
        <w:jc w:val="left"/>
        <w:outlineLvl w:val="0"/>
        <w:rPr>
          <w:sz w:val="18"/>
          <w:szCs w:val="18"/>
        </w:rPr>
      </w:pPr>
      <w:r>
        <w:rPr>
          <w:rFonts w:hint="eastAsia"/>
        </w:rPr>
        <w:br w:type="page"/>
      </w:r>
      <w:r>
        <w:rPr>
          <w:rFonts w:hint="eastAsia"/>
        </w:rPr>
        <w:t>一、投标文件资格审查文件格式</w:t>
      </w:r>
    </w:p>
    <w:p>
      <w:pPr>
        <w:pStyle w:val="14"/>
        <w:widowControl/>
        <w:spacing w:before="120" w:beforeLines="50" w:after="120" w:afterLines="50" w:line="440" w:lineRule="atLeast"/>
        <w:jc w:val="left"/>
        <w:outlineLvl w:val="0"/>
      </w:pPr>
      <w:r>
        <w:rPr>
          <w:rFonts w:hint="eastAsia"/>
        </w:rPr>
        <w:t>1.资格审查文件封面</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center"/>
        <w:outlineLvl w:val="0"/>
      </w:pPr>
      <w:r>
        <w:rPr>
          <w:rFonts w:hint="eastAsia"/>
          <w:b/>
          <w:bCs/>
          <w:u w:val="single"/>
        </w:rPr>
        <w:t xml:space="preserve">                  </w:t>
      </w:r>
      <w:r>
        <w:rPr>
          <w:rFonts w:hint="eastAsia"/>
          <w:b/>
          <w:bCs/>
        </w:rPr>
        <w:t>项目</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center"/>
        <w:outlineLvl w:val="0"/>
        <w:rPr>
          <w:b/>
          <w:bCs/>
        </w:rPr>
      </w:pPr>
      <w:r>
        <w:rPr>
          <w:rFonts w:hint="eastAsia"/>
          <w:b/>
          <w:bCs/>
        </w:rPr>
        <w:t>投标文件</w:t>
      </w:r>
    </w:p>
    <w:p>
      <w:pPr>
        <w:pStyle w:val="14"/>
        <w:widowControl/>
        <w:snapToGrid w:val="0"/>
        <w:spacing w:before="120" w:beforeLines="50" w:after="120" w:afterLines="50" w:line="440" w:lineRule="atLeast"/>
        <w:outlineLvl w:val="0"/>
        <w:rPr>
          <w:u w:val="single"/>
        </w:rPr>
      </w:pP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left"/>
        <w:outlineLvl w:val="0"/>
        <w:rPr>
          <w:b/>
          <w:bCs/>
        </w:rPr>
      </w:pPr>
      <w:r>
        <w:rPr>
          <w:rFonts w:hint="eastAsia"/>
          <w:b/>
          <w:bCs/>
        </w:rPr>
        <w:t xml:space="preserve"> </w:t>
      </w:r>
    </w:p>
    <w:p>
      <w:pPr>
        <w:pStyle w:val="14"/>
        <w:widowControl/>
        <w:snapToGrid w:val="0"/>
        <w:spacing w:before="120" w:beforeLines="50" w:after="120" w:afterLines="50" w:line="440" w:lineRule="atLeast"/>
        <w:jc w:val="left"/>
        <w:outlineLvl w:val="0"/>
        <w:rPr>
          <w:u w:val="single"/>
        </w:rPr>
      </w:pPr>
      <w:r>
        <w:rPr>
          <w:rFonts w:hint="eastAsia"/>
        </w:rPr>
        <w:t>项目名称：</w:t>
      </w:r>
      <w:r>
        <w:rPr>
          <w:rFonts w:hint="eastAsia"/>
          <w:u w:val="single"/>
        </w:rPr>
        <w:t xml:space="preserve">                             </w:t>
      </w:r>
    </w:p>
    <w:p>
      <w:pPr>
        <w:pStyle w:val="14"/>
        <w:widowControl/>
        <w:snapToGrid w:val="0"/>
        <w:spacing w:before="120" w:beforeLines="50" w:after="120" w:afterLines="50" w:line="440" w:lineRule="atLeast"/>
        <w:jc w:val="left"/>
        <w:outlineLvl w:val="0"/>
      </w:pPr>
      <w:r>
        <w:rPr>
          <w:rFonts w:hint="eastAsia"/>
        </w:rPr>
        <w:t>投标文件内容：</w:t>
      </w:r>
      <w:r>
        <w:rPr>
          <w:rFonts w:hint="eastAsia"/>
          <w:b/>
          <w:bCs/>
          <w:u w:val="single"/>
        </w:rPr>
        <w:t>资格审查文件</w:t>
      </w:r>
    </w:p>
    <w:p>
      <w:pPr>
        <w:pStyle w:val="14"/>
        <w:widowControl/>
        <w:snapToGrid w:val="0"/>
        <w:spacing w:before="120" w:beforeLines="50" w:after="120" w:afterLines="50" w:line="440" w:lineRule="atLeast"/>
        <w:jc w:val="left"/>
        <w:outlineLvl w:val="0"/>
        <w:rPr>
          <w:u w:val="single"/>
        </w:rPr>
      </w:pPr>
      <w:r>
        <w:rPr>
          <w:rFonts w:hint="eastAsia"/>
        </w:rPr>
        <w:t>投标人：</w:t>
      </w:r>
      <w:r>
        <w:rPr>
          <w:rFonts w:hint="eastAsia"/>
          <w:u w:val="single"/>
        </w:rPr>
        <w:t xml:space="preserve">                              （盖章）       </w:t>
      </w:r>
    </w:p>
    <w:p>
      <w:pPr>
        <w:pStyle w:val="14"/>
        <w:widowControl/>
        <w:snapToGrid w:val="0"/>
        <w:spacing w:before="120" w:beforeLines="50" w:after="120" w:afterLines="50" w:line="440" w:lineRule="atLeast"/>
        <w:jc w:val="left"/>
        <w:outlineLvl w:val="0"/>
        <w:rPr>
          <w:u w:val="single"/>
        </w:rPr>
      </w:pPr>
      <w:r>
        <w:rPr>
          <w:rFonts w:hint="eastAsia"/>
        </w:rPr>
        <w:t>法定代表人或其委托代理人：</w:t>
      </w:r>
      <w:r>
        <w:rPr>
          <w:rFonts w:hint="eastAsia"/>
          <w:u w:val="single"/>
        </w:rPr>
        <w:t xml:space="preserve">     （签字或盖章）        </w:t>
      </w:r>
    </w:p>
    <w:p>
      <w:pPr>
        <w:pStyle w:val="14"/>
        <w:widowControl/>
        <w:snapToGrid w:val="0"/>
        <w:spacing w:before="120" w:beforeLines="50" w:after="120" w:afterLines="50" w:line="440" w:lineRule="atLeast"/>
        <w:jc w:val="left"/>
        <w:outlineLvl w:val="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br w:type="page"/>
      </w:r>
      <w:r>
        <w:rPr>
          <w:rFonts w:hint="eastAsia"/>
        </w:rPr>
        <w:t>2.法定代表人身份证明书</w:t>
      </w:r>
    </w:p>
    <w:p>
      <w:pPr>
        <w:pStyle w:val="14"/>
        <w:widowControl/>
        <w:snapToGrid w:val="0"/>
        <w:spacing w:before="120" w:beforeLines="50" w:after="120" w:afterLines="50" w:line="440" w:lineRule="atLeast"/>
        <w:jc w:val="center"/>
        <w:outlineLvl w:val="0"/>
        <w:rPr>
          <w:b/>
          <w:bCs/>
        </w:rPr>
      </w:pPr>
      <w:r>
        <w:rPr>
          <w:rFonts w:hint="eastAsia"/>
          <w:b/>
          <w:bCs/>
        </w:rPr>
        <w:t>法定代表人身份证明书</w:t>
      </w:r>
    </w:p>
    <w:p>
      <w:pPr>
        <w:pStyle w:val="14"/>
        <w:widowControl/>
        <w:snapToGrid w:val="0"/>
        <w:spacing w:before="120" w:beforeLines="50" w:after="120" w:afterLines="50" w:line="440" w:lineRule="atLeast"/>
        <w:outlineLvl w:val="0"/>
        <w:rPr>
          <w:u w:val="single"/>
        </w:rPr>
      </w:pPr>
      <w:r>
        <w:rPr>
          <w:rFonts w:hint="eastAsia"/>
        </w:rPr>
        <w:t>投标人名称：</w:t>
      </w:r>
      <w:r>
        <w:rPr>
          <w:rFonts w:hint="eastAsia"/>
          <w:u w:val="single"/>
        </w:rPr>
        <w:t xml:space="preserve">                              </w:t>
      </w:r>
    </w:p>
    <w:p>
      <w:pPr>
        <w:pStyle w:val="14"/>
        <w:widowControl/>
        <w:snapToGrid w:val="0"/>
        <w:spacing w:before="120" w:beforeLines="50" w:after="120" w:afterLines="50" w:line="440" w:lineRule="atLeast"/>
        <w:outlineLvl w:val="0"/>
        <w:rPr>
          <w:u w:val="single"/>
        </w:rPr>
      </w:pPr>
      <w:r>
        <w:rPr>
          <w:rFonts w:hint="eastAsia"/>
        </w:rPr>
        <w:t>单位性质：</w:t>
      </w:r>
      <w:r>
        <w:rPr>
          <w:rFonts w:hint="eastAsia"/>
          <w:u w:val="single"/>
        </w:rPr>
        <w:t xml:space="preserve">                              </w:t>
      </w:r>
    </w:p>
    <w:p>
      <w:pPr>
        <w:pStyle w:val="14"/>
        <w:widowControl/>
        <w:snapToGrid w:val="0"/>
        <w:spacing w:before="120" w:beforeLines="50" w:after="120" w:afterLines="50" w:line="440" w:lineRule="atLeast"/>
        <w:outlineLvl w:val="0"/>
        <w:rPr>
          <w:u w:val="single"/>
        </w:rPr>
      </w:pPr>
      <w:r>
        <w:rPr>
          <w:rFonts w:hint="eastAsia"/>
        </w:rPr>
        <w:t>地址：</w:t>
      </w:r>
      <w:r>
        <w:rPr>
          <w:rFonts w:hint="eastAsia"/>
          <w:u w:val="single"/>
        </w:rPr>
        <w:t xml:space="preserve">                              </w:t>
      </w:r>
    </w:p>
    <w:p>
      <w:pPr>
        <w:pStyle w:val="14"/>
        <w:widowControl/>
        <w:snapToGrid w:val="0"/>
        <w:spacing w:before="120" w:beforeLines="50" w:after="120" w:afterLines="50" w:line="440" w:lineRule="atLeast"/>
        <w:jc w:val="left"/>
        <w:outlineLvl w:val="0"/>
      </w:pPr>
      <w:r>
        <w:rPr>
          <w:rFonts w:hint="eastAsia"/>
        </w:rPr>
        <w:t>成立时间：   年   月   日</w:t>
      </w:r>
    </w:p>
    <w:p>
      <w:pPr>
        <w:pStyle w:val="14"/>
        <w:widowControl/>
        <w:snapToGrid w:val="0"/>
        <w:spacing w:before="120" w:beforeLines="50" w:after="120" w:afterLines="50" w:line="440" w:lineRule="atLeast"/>
        <w:outlineLvl w:val="0"/>
        <w:rPr>
          <w:u w:val="single"/>
        </w:rPr>
      </w:pPr>
      <w:r>
        <w:rPr>
          <w:rFonts w:hint="eastAsia"/>
        </w:rPr>
        <w:t>经营期限：</w:t>
      </w:r>
      <w:r>
        <w:rPr>
          <w:rFonts w:hint="eastAsia"/>
          <w:u w:val="single"/>
        </w:rPr>
        <w:t xml:space="preserve">                              </w:t>
      </w:r>
    </w:p>
    <w:p>
      <w:pPr>
        <w:pStyle w:val="14"/>
        <w:widowControl/>
        <w:snapToGrid w:val="0"/>
        <w:spacing w:before="120" w:beforeLines="50" w:after="120" w:afterLines="50" w:line="440" w:lineRule="atLeast"/>
        <w:jc w:val="left"/>
        <w:outlineLvl w:val="0"/>
        <w:rPr>
          <w:u w:val="single"/>
        </w:rPr>
      </w:pPr>
      <w:r>
        <w:rPr>
          <w:rFonts w:hint="eastAsia"/>
        </w:rPr>
        <w:t>姓名：</w:t>
      </w:r>
      <w:r>
        <w:rPr>
          <w:rFonts w:hint="eastAsia"/>
          <w:u w:val="single"/>
        </w:rPr>
        <w:t xml:space="preserve">     </w:t>
      </w:r>
      <w:r>
        <w:rPr>
          <w:rFonts w:hint="eastAsia"/>
        </w:rPr>
        <w:t xml:space="preserve">   性别：</w:t>
      </w:r>
      <w:r>
        <w:rPr>
          <w:rFonts w:hint="eastAsia"/>
          <w:u w:val="single"/>
        </w:rPr>
        <w:t xml:space="preserve">     </w:t>
      </w:r>
      <w:r>
        <w:rPr>
          <w:rFonts w:hint="eastAsia"/>
        </w:rPr>
        <w:t xml:space="preserve">    年龄：</w:t>
      </w:r>
      <w:r>
        <w:rPr>
          <w:rFonts w:hint="eastAsia"/>
          <w:u w:val="single"/>
        </w:rPr>
        <w:t xml:space="preserve">     </w:t>
      </w:r>
      <w:r>
        <w:rPr>
          <w:rFonts w:hint="eastAsia"/>
        </w:rPr>
        <w:t xml:space="preserve">     职务：</w:t>
      </w:r>
      <w:r>
        <w:rPr>
          <w:rFonts w:hint="eastAsia"/>
          <w:u w:val="single"/>
        </w:rPr>
        <w:t xml:space="preserve">     </w:t>
      </w:r>
      <w:r>
        <w:rPr>
          <w:rFonts w:hint="eastAsia"/>
        </w:rPr>
        <w:t xml:space="preserve">   身份证号：</w:t>
      </w:r>
      <w:r>
        <w:rPr>
          <w:rFonts w:hint="eastAsia"/>
          <w:u w:val="single"/>
        </w:rPr>
        <w:t xml:space="preserve">    </w:t>
      </w:r>
    </w:p>
    <w:p>
      <w:pPr>
        <w:pStyle w:val="14"/>
        <w:widowControl/>
        <w:snapToGrid w:val="0"/>
        <w:spacing w:before="120" w:beforeLines="50" w:after="120" w:afterLines="50" w:line="440" w:lineRule="atLeast"/>
        <w:jc w:val="left"/>
        <w:outlineLvl w:val="0"/>
      </w:pPr>
      <w:r>
        <w:rPr>
          <w:rFonts w:hint="eastAsia"/>
        </w:rPr>
        <w:t>系</w:t>
      </w:r>
      <w:r>
        <w:rPr>
          <w:rFonts w:hint="eastAsia"/>
          <w:u w:val="single"/>
        </w:rPr>
        <w:t xml:space="preserve">                      （投标人名称）</w:t>
      </w:r>
      <w:r>
        <w:rPr>
          <w:rFonts w:hint="eastAsia"/>
        </w:rPr>
        <w:t>的法定代表人。</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特此证明。</w:t>
      </w:r>
    </w:p>
    <w:p>
      <w:pPr>
        <w:pStyle w:val="14"/>
        <w:widowControl/>
        <w:snapToGrid w:val="0"/>
        <w:spacing w:before="120" w:beforeLines="50" w:after="120" w:afterLines="50" w:line="440" w:lineRule="atLeast"/>
        <w:jc w:val="left"/>
        <w:outlineLvl w:val="0"/>
        <w:rPr>
          <w:b/>
        </w:rPr>
      </w:pPr>
      <w:r>
        <w:rPr>
          <w:rFonts w:hint="eastAsia"/>
          <w:b/>
        </w:rPr>
        <w:t>附：法定代表人身份证复印件。</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rPr>
          <w:u w:val="single"/>
        </w:rPr>
      </w:pPr>
      <w:r>
        <w:rPr>
          <w:rFonts w:hint="eastAsia"/>
        </w:rPr>
        <w:t>投标人：</w:t>
      </w:r>
      <w:r>
        <w:rPr>
          <w:rFonts w:hint="eastAsia"/>
          <w:u w:val="single"/>
        </w:rPr>
        <w:t xml:space="preserve">                   （盖章） </w:t>
      </w:r>
    </w:p>
    <w:p>
      <w:pPr>
        <w:pStyle w:val="14"/>
        <w:widowControl/>
        <w:snapToGrid w:val="0"/>
        <w:spacing w:before="120" w:beforeLines="50" w:after="120" w:afterLines="50" w:line="440" w:lineRule="atLeast"/>
        <w:jc w:val="left"/>
        <w:outlineLvl w:val="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br w:type="page"/>
      </w:r>
      <w:r>
        <w:rPr>
          <w:rFonts w:hint="eastAsia"/>
        </w:rPr>
        <w:t>3.法定代表人授权委托书</w:t>
      </w:r>
    </w:p>
    <w:p>
      <w:pPr>
        <w:pStyle w:val="14"/>
        <w:widowControl/>
        <w:snapToGrid w:val="0"/>
        <w:spacing w:before="120" w:beforeLines="50" w:after="120" w:afterLines="50" w:line="440" w:lineRule="atLeast"/>
        <w:jc w:val="center"/>
        <w:outlineLvl w:val="0"/>
        <w:rPr>
          <w:b/>
          <w:bCs/>
        </w:rPr>
      </w:pPr>
      <w:r>
        <w:rPr>
          <w:rFonts w:hint="eastAsia"/>
          <w:b/>
          <w:bCs/>
        </w:rPr>
        <w:t>法定代表人授权委托书</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ind w:firstLine="420" w:firstLineChars="200"/>
        <w:jc w:val="left"/>
        <w:outlineLvl w:val="0"/>
      </w:pPr>
      <w:r>
        <w:rPr>
          <w:rFonts w:hint="eastAsia"/>
        </w:rPr>
        <w:t>本人</w:t>
      </w:r>
      <w:r>
        <w:rPr>
          <w:rFonts w:hint="eastAsia"/>
          <w:u w:val="single"/>
        </w:rPr>
        <w:t xml:space="preserve">            （姓名）  </w:t>
      </w:r>
      <w:r>
        <w:rPr>
          <w:rFonts w:hint="eastAsia"/>
        </w:rPr>
        <w:t>系</w:t>
      </w:r>
      <w:r>
        <w:rPr>
          <w:rFonts w:hint="eastAsia"/>
          <w:u w:val="single"/>
        </w:rPr>
        <w:t xml:space="preserve">            （投标人名称）    </w:t>
      </w:r>
      <w:r>
        <w:rPr>
          <w:rFonts w:hint="eastAsia"/>
        </w:rPr>
        <w:t>的法定代表人，现授权委托</w:t>
      </w:r>
      <w:r>
        <w:rPr>
          <w:rFonts w:hint="eastAsia"/>
          <w:u w:val="single"/>
        </w:rPr>
        <w:t xml:space="preserve">           （单位名称）   </w:t>
      </w:r>
      <w:r>
        <w:rPr>
          <w:rFonts w:hint="eastAsia"/>
        </w:rPr>
        <w:t>的</w:t>
      </w:r>
      <w:r>
        <w:rPr>
          <w:rFonts w:hint="eastAsia"/>
          <w:u w:val="single"/>
        </w:rPr>
        <w:t xml:space="preserve">      （受托人姓名）  </w:t>
      </w:r>
      <w:r>
        <w:rPr>
          <w:rFonts w:hint="eastAsia"/>
        </w:rPr>
        <w:t>为我方代理人。代理人根据授权，以我方名义签署、澄清、说明、补正、提交、撤销、修改</w:t>
      </w:r>
      <w:r>
        <w:rPr>
          <w:rFonts w:hint="eastAsia"/>
          <w:u w:val="single"/>
        </w:rPr>
        <w:t xml:space="preserve">      （招标人名称） </w:t>
      </w:r>
      <w:r>
        <w:rPr>
          <w:rFonts w:hint="eastAsia"/>
        </w:rPr>
        <w:t>的</w:t>
      </w:r>
      <w:r>
        <w:rPr>
          <w:rFonts w:hint="eastAsia"/>
          <w:u w:val="single"/>
        </w:rPr>
        <w:t xml:space="preserve">             （招标工程名称）  </w:t>
      </w:r>
      <w:r>
        <w:rPr>
          <w:rFonts w:hint="eastAsia"/>
        </w:rPr>
        <w:t>工程施工投标文件、签订合同和处理有关事宜，其法律后果由我方承担。</w:t>
      </w:r>
    </w:p>
    <w:p>
      <w:pPr>
        <w:pStyle w:val="14"/>
        <w:widowControl/>
        <w:snapToGrid w:val="0"/>
        <w:spacing w:before="120" w:beforeLines="50" w:after="120" w:afterLines="50" w:line="440" w:lineRule="atLeast"/>
        <w:jc w:val="left"/>
        <w:outlineLvl w:val="0"/>
        <w:rPr>
          <w:u w:val="single"/>
        </w:rPr>
      </w:pPr>
      <w:r>
        <w:rPr>
          <w:rFonts w:hint="eastAsia"/>
        </w:rPr>
        <w:t>委托期限：</w:t>
      </w:r>
      <w:r>
        <w:rPr>
          <w:rFonts w:hint="eastAsia"/>
          <w:u w:val="single"/>
        </w:rPr>
        <w:t xml:space="preserve">        </w:t>
      </w:r>
      <w:r>
        <w:rPr>
          <w:rFonts w:hint="eastAsia"/>
        </w:rPr>
        <w:t>。</w:t>
      </w:r>
    </w:p>
    <w:p>
      <w:pPr>
        <w:pStyle w:val="14"/>
        <w:widowControl/>
        <w:snapToGrid w:val="0"/>
        <w:spacing w:before="120" w:beforeLines="50" w:after="120" w:afterLines="50" w:line="440" w:lineRule="atLeast"/>
        <w:jc w:val="left"/>
        <w:outlineLvl w:val="0"/>
      </w:pPr>
      <w:r>
        <w:rPr>
          <w:rFonts w:hint="eastAsia"/>
        </w:rPr>
        <w:t>代理人无转委托权。</w:t>
      </w:r>
    </w:p>
    <w:p>
      <w:pPr>
        <w:pStyle w:val="14"/>
        <w:widowControl/>
        <w:snapToGrid w:val="0"/>
        <w:spacing w:before="120" w:beforeLines="50" w:after="120" w:afterLines="50" w:line="440" w:lineRule="atLeast"/>
        <w:jc w:val="left"/>
        <w:outlineLvl w:val="0"/>
        <w:rPr>
          <w:b/>
        </w:rPr>
      </w:pPr>
      <w:r>
        <w:rPr>
          <w:rFonts w:hint="eastAsia"/>
          <w:b/>
        </w:rPr>
        <w:t>附：委托代理人身份证复印件。</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投标人：</w:t>
      </w:r>
      <w:r>
        <w:rPr>
          <w:rFonts w:hint="eastAsia"/>
          <w:u w:val="single"/>
        </w:rPr>
        <w:t xml:space="preserve">                             （盖章）    </w:t>
      </w:r>
    </w:p>
    <w:p>
      <w:pPr>
        <w:pStyle w:val="14"/>
        <w:widowControl/>
        <w:snapToGrid w:val="0"/>
        <w:spacing w:before="120" w:beforeLines="50" w:after="120" w:afterLines="50" w:line="440" w:lineRule="atLeast"/>
        <w:jc w:val="left"/>
        <w:outlineLvl w:val="0"/>
      </w:pPr>
      <w:r>
        <w:rPr>
          <w:rFonts w:hint="eastAsia"/>
        </w:rPr>
        <w:t>法定代表人：</w:t>
      </w:r>
      <w:r>
        <w:rPr>
          <w:rFonts w:hint="eastAsia"/>
          <w:u w:val="single"/>
        </w:rPr>
        <w:t xml:space="preserve">                       （签字或盖章）</w:t>
      </w:r>
    </w:p>
    <w:p>
      <w:pPr>
        <w:pStyle w:val="14"/>
        <w:widowControl/>
        <w:snapToGrid w:val="0"/>
        <w:spacing w:before="120" w:beforeLines="50" w:after="120" w:afterLines="50" w:line="440" w:lineRule="atLeast"/>
        <w:jc w:val="left"/>
        <w:outlineLvl w:val="0"/>
      </w:pPr>
      <w:r>
        <w:rPr>
          <w:rFonts w:hint="eastAsia"/>
        </w:rPr>
        <w:t>身份证号码：</w:t>
      </w:r>
      <w:r>
        <w:rPr>
          <w:rFonts w:hint="eastAsia"/>
          <w:u w:val="single"/>
        </w:rPr>
        <w:t xml:space="preserve">                                   </w:t>
      </w:r>
    </w:p>
    <w:p>
      <w:pPr>
        <w:pStyle w:val="14"/>
        <w:widowControl/>
        <w:snapToGrid w:val="0"/>
        <w:spacing w:before="120" w:beforeLines="50" w:after="120" w:afterLines="50" w:line="440" w:lineRule="atLeast"/>
        <w:jc w:val="left"/>
        <w:outlineLvl w:val="0"/>
      </w:pPr>
      <w:r>
        <w:rPr>
          <w:rFonts w:hint="eastAsia"/>
        </w:rPr>
        <w:t>委托代理人：</w:t>
      </w:r>
      <w:r>
        <w:rPr>
          <w:rFonts w:hint="eastAsia"/>
          <w:u w:val="single"/>
        </w:rPr>
        <w:t xml:space="preserve">                         （签字或盖章）</w:t>
      </w:r>
    </w:p>
    <w:p>
      <w:pPr>
        <w:pStyle w:val="14"/>
        <w:widowControl/>
        <w:snapToGrid w:val="0"/>
        <w:spacing w:before="120" w:beforeLines="50" w:after="120" w:afterLines="50" w:line="440" w:lineRule="atLeast"/>
        <w:jc w:val="left"/>
        <w:outlineLvl w:val="0"/>
      </w:pPr>
      <w:r>
        <w:rPr>
          <w:rFonts w:hint="eastAsia"/>
        </w:rPr>
        <w:t>身份证号码：</w:t>
      </w:r>
      <w:r>
        <w:rPr>
          <w:rFonts w:hint="eastAsia"/>
          <w:u w:val="single"/>
        </w:rPr>
        <w:t xml:space="preserve">                                   </w:t>
      </w:r>
    </w:p>
    <w:p>
      <w:pPr>
        <w:pStyle w:val="14"/>
        <w:widowControl/>
        <w:snapToGrid w:val="0"/>
        <w:spacing w:before="120" w:beforeLines="50" w:after="120" w:afterLines="50" w:line="440" w:lineRule="atLeast"/>
        <w:jc w:val="left"/>
        <w:outlineLvl w:val="0"/>
        <w:rPr>
          <w:u w:val="single"/>
        </w:rPr>
      </w:pPr>
    </w:p>
    <w:p>
      <w:pPr>
        <w:pStyle w:val="14"/>
        <w:widowControl/>
        <w:snapToGrid w:val="0"/>
        <w:spacing w:before="120" w:beforeLines="50" w:after="120" w:afterLines="50" w:line="440" w:lineRule="atLeast"/>
        <w:jc w:val="left"/>
        <w:outlineLvl w:val="0"/>
      </w:pPr>
      <w:r>
        <w:rPr>
          <w:rFonts w:hint="eastAsia"/>
        </w:rPr>
        <w:t>年   月    日</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br w:type="page"/>
      </w:r>
      <w:r>
        <w:rPr>
          <w:rFonts w:hint="eastAsia"/>
        </w:rPr>
        <w:t>4.企业营业执照及安全生产许可证扫描件（加盖公章）</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5.企业资质证书扫描件（加盖公章）</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r>
        <w:rPr>
          <w:rFonts w:hint="eastAsia"/>
        </w:rPr>
        <w:t xml:space="preserve"> </w:t>
      </w:r>
    </w:p>
    <w:p>
      <w:pPr>
        <w:pStyle w:val="14"/>
        <w:widowControl/>
        <w:snapToGrid w:val="0"/>
        <w:spacing w:before="120" w:beforeLines="50" w:after="120" w:afterLines="50" w:line="440" w:lineRule="atLeast"/>
        <w:jc w:val="left"/>
        <w:outlineLvl w:val="0"/>
      </w:pPr>
    </w:p>
    <w:p>
      <w:pPr>
        <w:pStyle w:val="14"/>
        <w:widowControl/>
        <w:snapToGrid w:val="0"/>
        <w:spacing w:before="120" w:beforeLines="50" w:after="120" w:afterLines="50" w:line="440" w:lineRule="atLeast"/>
        <w:jc w:val="left"/>
        <w:outlineLvl w:val="0"/>
      </w:pPr>
      <w:r>
        <w:rPr>
          <w:rFonts w:hint="eastAsia"/>
        </w:rPr>
        <w:t>6.拟派项目人员简历表</w:t>
      </w:r>
    </w:p>
    <w:p>
      <w:pPr>
        <w:pStyle w:val="14"/>
        <w:widowControl/>
        <w:snapToGrid w:val="0"/>
        <w:spacing w:before="120" w:beforeLines="50" w:after="120" w:afterLines="50" w:line="440" w:lineRule="atLeast"/>
        <w:jc w:val="center"/>
        <w:outlineLvl w:val="0"/>
        <w:rPr>
          <w:b/>
          <w:bCs/>
        </w:rPr>
      </w:pPr>
      <w:r>
        <w:rPr>
          <w:rFonts w:hint="eastAsia"/>
          <w:b/>
          <w:bCs/>
        </w:rPr>
        <w:t>拟派项目人员简历表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1"/>
        <w:gridCol w:w="57"/>
        <w:gridCol w:w="1046"/>
        <w:gridCol w:w="1010"/>
        <w:gridCol w:w="119"/>
        <w:gridCol w:w="745"/>
        <w:gridCol w:w="372"/>
        <w:gridCol w:w="1116"/>
        <w:gridCol w:w="930"/>
        <w:gridCol w:w="930"/>
        <w:gridCol w:w="21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姓名</w:t>
            </w:r>
          </w:p>
        </w:tc>
        <w:tc>
          <w:tcPr>
            <w:tcW w:w="2056"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c>
          <w:tcPr>
            <w:tcW w:w="864"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r>
              <w:rPr>
                <w:rFonts w:hint="eastAsia"/>
              </w:rPr>
              <w:t>性别</w:t>
            </w:r>
          </w:p>
        </w:tc>
        <w:tc>
          <w:tcPr>
            <w:tcW w:w="1488"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p>
        </w:tc>
        <w:tc>
          <w:tcPr>
            <w:tcW w:w="930" w:type="dxa"/>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年龄</w:t>
            </w:r>
          </w:p>
        </w:tc>
        <w:tc>
          <w:tcPr>
            <w:tcW w:w="3076"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职务</w:t>
            </w:r>
          </w:p>
        </w:tc>
        <w:tc>
          <w:tcPr>
            <w:tcW w:w="2056"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c>
          <w:tcPr>
            <w:tcW w:w="864"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r>
              <w:rPr>
                <w:rFonts w:hint="eastAsia"/>
              </w:rPr>
              <w:t>职称</w:t>
            </w:r>
          </w:p>
        </w:tc>
        <w:tc>
          <w:tcPr>
            <w:tcW w:w="1488"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p>
        </w:tc>
        <w:tc>
          <w:tcPr>
            <w:tcW w:w="930" w:type="dxa"/>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学历</w:t>
            </w:r>
          </w:p>
        </w:tc>
        <w:tc>
          <w:tcPr>
            <w:tcW w:w="3076"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3284" w:type="dxa"/>
            <w:gridSpan w:val="4"/>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r>
              <w:rPr>
                <w:rFonts w:hint="eastAsia"/>
              </w:rPr>
              <w:t>所属单位名称</w:t>
            </w:r>
          </w:p>
        </w:tc>
        <w:tc>
          <w:tcPr>
            <w:tcW w:w="6358" w:type="dxa"/>
            <w:gridSpan w:val="7"/>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274" w:type="dxa"/>
            <w:gridSpan w:val="3"/>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r>
              <w:rPr>
                <w:rFonts w:hint="eastAsia"/>
              </w:rPr>
              <w:t>参加工作时间</w:t>
            </w:r>
          </w:p>
        </w:tc>
        <w:tc>
          <w:tcPr>
            <w:tcW w:w="1874" w:type="dxa"/>
            <w:gridSpan w:val="3"/>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c>
          <w:tcPr>
            <w:tcW w:w="1488"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取得资格</w:t>
            </w:r>
          </w:p>
          <w:p>
            <w:pPr>
              <w:pStyle w:val="14"/>
              <w:widowControl/>
              <w:snapToGrid w:val="0"/>
              <w:spacing w:before="120" w:beforeLines="50" w:after="120" w:afterLines="50" w:line="440" w:lineRule="atLeast"/>
              <w:jc w:val="left"/>
              <w:outlineLvl w:val="0"/>
              <w:rPr>
                <w:b/>
                <w:bCs/>
              </w:rPr>
            </w:pPr>
            <w:r>
              <w:rPr>
                <w:rFonts w:hint="eastAsia"/>
              </w:rPr>
              <w:t>证书时间</w:t>
            </w:r>
          </w:p>
        </w:tc>
        <w:tc>
          <w:tcPr>
            <w:tcW w:w="4006" w:type="dxa"/>
            <w:gridSpan w:val="3"/>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274" w:type="dxa"/>
            <w:gridSpan w:val="3"/>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r>
              <w:rPr>
                <w:rFonts w:hint="eastAsia"/>
              </w:rPr>
              <w:t>资格证书编号</w:t>
            </w:r>
          </w:p>
        </w:tc>
        <w:tc>
          <w:tcPr>
            <w:tcW w:w="7368" w:type="dxa"/>
            <w:gridSpan w:val="8"/>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2274" w:type="dxa"/>
            <w:gridSpan w:val="3"/>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安全生产考核</w:t>
            </w:r>
          </w:p>
          <w:p>
            <w:pPr>
              <w:pStyle w:val="14"/>
              <w:widowControl/>
              <w:snapToGrid w:val="0"/>
              <w:spacing w:before="120" w:beforeLines="50" w:after="120" w:afterLines="50" w:line="440" w:lineRule="atLeast"/>
              <w:jc w:val="left"/>
              <w:outlineLvl w:val="0"/>
            </w:pPr>
            <w:r>
              <w:rPr>
                <w:rFonts w:hint="eastAsia"/>
              </w:rPr>
              <w:t>合格证书编号</w:t>
            </w:r>
          </w:p>
        </w:tc>
        <w:tc>
          <w:tcPr>
            <w:tcW w:w="7368" w:type="dxa"/>
            <w:gridSpan w:val="8"/>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9642" w:type="dxa"/>
            <w:gridSpan w:val="11"/>
            <w:tcBorders>
              <w:top w:val="single" w:color="auto" w:sz="4" w:space="0"/>
              <w:left w:val="single" w:color="auto" w:sz="4" w:space="0"/>
              <w:bottom w:val="single" w:color="auto" w:sz="4" w:space="0"/>
              <w:right w:val="single" w:color="auto" w:sz="4" w:space="0"/>
            </w:tcBorders>
          </w:tcPr>
          <w:p>
            <w:pPr>
              <w:pStyle w:val="14"/>
              <w:widowControl/>
              <w:snapToGrid w:val="0"/>
              <w:spacing w:before="120" w:beforeLines="50" w:after="120" w:afterLines="50" w:line="440" w:lineRule="atLeast"/>
              <w:jc w:val="left"/>
              <w:outlineLvl w:val="0"/>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时间</w:t>
            </w:r>
          </w:p>
        </w:tc>
        <w:tc>
          <w:tcPr>
            <w:tcW w:w="2232" w:type="dxa"/>
            <w:gridSpan w:val="4"/>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参加过的类似项目</w:t>
            </w:r>
          </w:p>
        </w:tc>
        <w:tc>
          <w:tcPr>
            <w:tcW w:w="1117" w:type="dxa"/>
            <w:gridSpan w:val="2"/>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建设规模</w:t>
            </w:r>
          </w:p>
        </w:tc>
        <w:tc>
          <w:tcPr>
            <w:tcW w:w="1116" w:type="dxa"/>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担任职务</w:t>
            </w:r>
          </w:p>
        </w:tc>
        <w:tc>
          <w:tcPr>
            <w:tcW w:w="930" w:type="dxa"/>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在建或已完</w:t>
            </w:r>
          </w:p>
        </w:tc>
        <w:tc>
          <w:tcPr>
            <w:tcW w:w="930" w:type="dxa"/>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获奖</w:t>
            </w:r>
          </w:p>
          <w:p>
            <w:pPr>
              <w:pStyle w:val="14"/>
              <w:widowControl/>
              <w:snapToGrid w:val="0"/>
              <w:spacing w:before="120" w:beforeLines="50" w:after="120" w:afterLines="50" w:line="440" w:lineRule="atLeast"/>
              <w:jc w:val="left"/>
              <w:outlineLvl w:val="0"/>
            </w:pPr>
            <w:r>
              <w:rPr>
                <w:rFonts w:hint="eastAsia"/>
              </w:rPr>
              <w:t>情况</w:t>
            </w:r>
          </w:p>
        </w:tc>
        <w:tc>
          <w:tcPr>
            <w:tcW w:w="2146" w:type="dxa"/>
            <w:tcBorders>
              <w:top w:val="single" w:color="auto" w:sz="4" w:space="0"/>
              <w:left w:val="nil"/>
              <w:bottom w:val="single" w:color="auto" w:sz="4" w:space="0"/>
              <w:right w:val="single" w:color="auto" w:sz="4" w:space="0"/>
            </w:tcBorders>
            <w:vAlign w:val="center"/>
          </w:tcPr>
          <w:p>
            <w:pPr>
              <w:pStyle w:val="14"/>
              <w:widowControl/>
              <w:snapToGrid w:val="0"/>
              <w:spacing w:before="120" w:beforeLines="50" w:after="120" w:afterLines="50" w:line="440" w:lineRule="atLeast"/>
              <w:jc w:val="left"/>
              <w:outlineLvl w:val="0"/>
            </w:pPr>
            <w:r>
              <w:rPr>
                <w:rFonts w:hint="eastAsia"/>
              </w:rPr>
              <w:t>招标人及</w:t>
            </w:r>
          </w:p>
          <w:p>
            <w:pPr>
              <w:pStyle w:val="14"/>
              <w:widowControl/>
              <w:snapToGrid w:val="0"/>
              <w:spacing w:before="120" w:beforeLines="50" w:after="120" w:afterLines="50" w:line="440" w:lineRule="atLeast"/>
              <w:jc w:val="left"/>
              <w:outlineLvl w:val="0"/>
            </w:pPr>
            <w:r>
              <w:rPr>
                <w:rFonts w:hint="eastAsia"/>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1" w:type="dxa"/>
            <w:tcBorders>
              <w:top w:val="single" w:color="auto" w:sz="4" w:space="0"/>
              <w:left w:val="single" w:color="auto" w:sz="4" w:space="0"/>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2232" w:type="dxa"/>
            <w:gridSpan w:val="4"/>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1117" w:type="dxa"/>
            <w:gridSpan w:val="2"/>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1116"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930"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930"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2146"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1" w:type="dxa"/>
            <w:tcBorders>
              <w:top w:val="single" w:color="auto" w:sz="4" w:space="0"/>
              <w:left w:val="single" w:color="auto" w:sz="4" w:space="0"/>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2232" w:type="dxa"/>
            <w:gridSpan w:val="4"/>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1117" w:type="dxa"/>
            <w:gridSpan w:val="2"/>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1116"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930"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930"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2146"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171" w:type="dxa"/>
            <w:tcBorders>
              <w:top w:val="single" w:color="auto" w:sz="4" w:space="0"/>
              <w:left w:val="single" w:color="auto" w:sz="4" w:space="0"/>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2232" w:type="dxa"/>
            <w:gridSpan w:val="4"/>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1117" w:type="dxa"/>
            <w:gridSpan w:val="2"/>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1116"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930"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930"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c>
          <w:tcPr>
            <w:tcW w:w="2146" w:type="dxa"/>
            <w:tcBorders>
              <w:top w:val="single" w:color="auto" w:sz="4" w:space="0"/>
              <w:left w:val="nil"/>
              <w:bottom w:val="single" w:color="auto" w:sz="4" w:space="0"/>
              <w:right w:val="single" w:color="auto" w:sz="4" w:space="0"/>
            </w:tcBorders>
          </w:tcPr>
          <w:p>
            <w:pPr>
              <w:pStyle w:val="14"/>
              <w:widowControl/>
              <w:snapToGrid w:val="0"/>
              <w:spacing w:before="120" w:beforeLines="50" w:after="120" w:afterLines="50" w:line="440" w:lineRule="atLeast"/>
              <w:jc w:val="left"/>
              <w:outlineLvl w:val="0"/>
              <w:rPr>
                <w:b/>
                <w:bCs/>
              </w:rPr>
            </w:pPr>
          </w:p>
        </w:tc>
      </w:tr>
    </w:tbl>
    <w:p>
      <w:pPr>
        <w:pStyle w:val="14"/>
        <w:widowControl/>
        <w:spacing w:before="120" w:beforeLines="50" w:after="120" w:afterLines="50" w:line="440" w:lineRule="atLeast"/>
        <w:jc w:val="left"/>
        <w:outlineLvl w:val="0"/>
      </w:pPr>
      <w:r>
        <w:rPr>
          <w:rFonts w:hint="eastAsia"/>
        </w:rPr>
        <w:t>注：表后</w:t>
      </w:r>
      <w:r>
        <w:rPr>
          <w:rFonts w:hint="eastAsia" w:cs="宋体"/>
        </w:rPr>
        <w:t>附项目经理有效的身份证复印件、建造师注册证书复印件、安全生产考核合格证书（B证）；</w:t>
      </w:r>
      <w:r>
        <w:rPr>
          <w:rFonts w:cs="宋体"/>
        </w:rPr>
        <w:t>专（兼）职安全员</w:t>
      </w:r>
      <w:r>
        <w:rPr>
          <w:rFonts w:hint="eastAsia" w:cs="宋体"/>
        </w:rPr>
        <w:t>安全生产考核合格证书（C 类）扫描件及社保证明复印件（一级建造师电子注册证书应符合住房和城乡建设部办公厅关于全面实行一级建造师电子注册证书的通知（建办市〔2021〕40号）的有关规定）</w:t>
      </w:r>
      <w:r>
        <w:rPr>
          <w:rFonts w:hint="eastAsia"/>
        </w:rPr>
        <w:t>。</w:t>
      </w:r>
    </w:p>
    <w:p>
      <w:pPr>
        <w:pStyle w:val="14"/>
        <w:widowControl/>
        <w:snapToGrid w:val="0"/>
        <w:spacing w:before="120" w:beforeLines="50" w:after="120" w:afterLines="50" w:line="440" w:lineRule="atLeast"/>
        <w:jc w:val="left"/>
        <w:outlineLvl w:val="0"/>
      </w:pPr>
    </w:p>
    <w:p>
      <w:pPr>
        <w:pStyle w:val="14"/>
        <w:widowControl/>
        <w:snapToGrid w:val="0"/>
        <w:spacing w:before="120" w:beforeLines="50" w:after="120" w:afterLines="50" w:line="440" w:lineRule="atLeast"/>
        <w:jc w:val="left"/>
        <w:outlineLvl w:val="0"/>
        <w:rPr>
          <w:b/>
          <w:bCs/>
        </w:rPr>
      </w:pPr>
      <w:bookmarkStart w:id="151" w:name="OLE_LINK37"/>
      <w:r>
        <w:rPr>
          <w:rFonts w:hint="eastAsia"/>
        </w:rPr>
        <w:t>7</w:t>
      </w:r>
      <w:r>
        <w:rPr>
          <w:rFonts w:hint="eastAsia"/>
          <w:b/>
          <w:bCs/>
        </w:rPr>
        <w:t>.安全管理承诺函</w:t>
      </w:r>
      <w:bookmarkEnd w:id="151"/>
    </w:p>
    <w:p>
      <w:pPr>
        <w:pStyle w:val="14"/>
        <w:widowControl/>
        <w:snapToGrid w:val="0"/>
        <w:spacing w:before="120" w:beforeLines="50" w:after="120" w:afterLines="50" w:line="440" w:lineRule="atLeast"/>
        <w:jc w:val="center"/>
        <w:outlineLvl w:val="0"/>
        <w:rPr>
          <w:b/>
          <w:bCs/>
        </w:rPr>
      </w:pPr>
      <w:bookmarkStart w:id="152" w:name="OLE_LINK38"/>
      <w:r>
        <w:rPr>
          <w:rFonts w:hint="eastAsia"/>
          <w:b/>
          <w:bCs/>
        </w:rPr>
        <w:t>安全管理承诺函</w:t>
      </w:r>
    </w:p>
    <w:bookmarkEnd w:id="152"/>
    <w:p>
      <w:pPr>
        <w:pStyle w:val="14"/>
        <w:snapToGrid w:val="0"/>
        <w:spacing w:line="440" w:lineRule="atLeast"/>
        <w:rPr>
          <w:u w:val="single"/>
        </w:rPr>
      </w:pPr>
      <w:r>
        <w:rPr>
          <w:rFonts w:hint="eastAsia"/>
          <w:u w:val="single"/>
        </w:rPr>
        <w:t xml:space="preserve">    （招标人名称）  </w:t>
      </w:r>
      <w:r>
        <w:rPr>
          <w:rFonts w:hint="eastAsia"/>
        </w:rPr>
        <w:t xml:space="preserve">： </w:t>
      </w:r>
    </w:p>
    <w:p>
      <w:pPr>
        <w:pStyle w:val="14"/>
        <w:snapToGrid w:val="0"/>
        <w:spacing w:before="120" w:beforeLines="50" w:after="120" w:afterLines="50" w:line="440" w:lineRule="atLeast"/>
        <w:ind w:firstLine="420" w:firstLineChars="200"/>
        <w:outlineLvl w:val="0"/>
      </w:pPr>
      <w:r>
        <w:rPr>
          <w:rFonts w:hint="eastAsia"/>
        </w:rPr>
        <w:t>我方</w:t>
      </w:r>
      <w:r>
        <w:rPr>
          <w:rFonts w:hint="eastAsia"/>
          <w:u w:val="single"/>
        </w:rPr>
        <w:t xml:space="preserve"> （投标人全称）</w:t>
      </w:r>
      <w:r>
        <w:rPr>
          <w:rFonts w:hint="eastAsia"/>
        </w:rPr>
        <w:t>为保障业务合作过程中的安全生产秩序，明确我方安全生产责任，现就本公司所承担业务外包范围内的安全生产情况，郑重作出如下承诺；</w:t>
      </w:r>
    </w:p>
    <w:p>
      <w:pPr>
        <w:pStyle w:val="14"/>
        <w:snapToGrid w:val="0"/>
        <w:spacing w:before="120" w:beforeLines="50" w:after="120" w:afterLines="50" w:line="440" w:lineRule="atLeast"/>
        <w:ind w:firstLine="420" w:firstLineChars="200"/>
        <w:outlineLvl w:val="0"/>
      </w:pPr>
      <w:r>
        <w:rPr>
          <w:rFonts w:hint="eastAsia"/>
        </w:rPr>
        <w:t>我司郑重承诺，若我司中标，将于项目入场前完成以下工作，并报贵单位审核通过：</w:t>
      </w:r>
    </w:p>
    <w:p>
      <w:pPr>
        <w:pStyle w:val="14"/>
        <w:snapToGrid w:val="0"/>
        <w:spacing w:before="120" w:beforeLines="50" w:after="120" w:afterLines="50" w:line="440" w:lineRule="atLeast"/>
        <w:ind w:firstLine="420" w:firstLineChars="200"/>
        <w:outlineLvl w:val="0"/>
      </w:pPr>
      <w:r>
        <w:rPr>
          <w:rFonts w:hint="eastAsia"/>
        </w:rPr>
        <w:t>1、按要求建立《安全生产责任制》、《安全教育培训规定》、《安全技术交底制度》、《安全检查和隐患整改管理制度》、《施工现场安全监督规定》、《安全生产事故应急救援预案》等安全相关管理制度，制度符合贵单位安全生产管理要求。</w:t>
      </w:r>
    </w:p>
    <w:p>
      <w:pPr>
        <w:pStyle w:val="14"/>
        <w:snapToGrid w:val="0"/>
        <w:spacing w:before="120" w:beforeLines="50" w:after="120" w:afterLines="50" w:line="440" w:lineRule="atLeast"/>
        <w:ind w:firstLine="420" w:firstLineChars="200"/>
        <w:outlineLvl w:val="0"/>
      </w:pPr>
      <w:r>
        <w:rPr>
          <w:rFonts w:hint="eastAsia"/>
        </w:rPr>
        <w:t>2、 安全管理机构及安全管理人员配置:(1)公司级安全生产管理机构及专职安全管理人员配备符合国家相关法律法规要求;(2)施工现场配备至少1名项目专(兼)职现场安全生产管理人员。</w:t>
      </w:r>
    </w:p>
    <w:p>
      <w:pPr>
        <w:pStyle w:val="14"/>
        <w:snapToGrid w:val="0"/>
        <w:spacing w:before="120" w:beforeLines="50" w:after="120" w:afterLines="50" w:line="440" w:lineRule="atLeast"/>
        <w:ind w:firstLine="420" w:firstLineChars="200"/>
        <w:outlineLvl w:val="0"/>
      </w:pPr>
      <w:r>
        <w:rPr>
          <w:rFonts w:hint="eastAsia"/>
        </w:rPr>
        <w:t>3、安全教育培训:项目从业人员均具备所从事岗位的安全知识和技能，并有教育培训档案。</w:t>
      </w:r>
    </w:p>
    <w:p>
      <w:pPr>
        <w:pStyle w:val="14"/>
        <w:snapToGrid w:val="0"/>
        <w:spacing w:before="120" w:beforeLines="50" w:after="120" w:afterLines="50" w:line="440" w:lineRule="atLeast"/>
        <w:ind w:firstLine="420" w:firstLineChars="200"/>
        <w:outlineLvl w:val="0"/>
      </w:pPr>
      <w:r>
        <w:rPr>
          <w:rFonts w:hint="eastAsia"/>
        </w:rPr>
        <w:t>4、作业人员:(1)项目从业人员年龄在18周岁以上、法定退休年龄以下;(2)特种作业人员、特种设备作业人员具有合法有效的作业资格证书，持证上岗。</w:t>
      </w:r>
    </w:p>
    <w:p>
      <w:pPr>
        <w:pStyle w:val="14"/>
        <w:snapToGrid w:val="0"/>
        <w:spacing w:before="120" w:beforeLines="50" w:after="120" w:afterLines="50" w:line="440" w:lineRule="atLeast"/>
        <w:ind w:firstLine="420" w:firstLineChars="200"/>
        <w:outlineLvl w:val="0"/>
      </w:pPr>
      <w:r>
        <w:rPr>
          <w:rFonts w:hint="eastAsia"/>
        </w:rPr>
        <w:t>5、设备保障:主要施工机械和设备的数量、规格型号符合项目需求，相关机械设备工况良好、证件齐全、检测合格、定期检测维保。</w:t>
      </w:r>
    </w:p>
    <w:p>
      <w:pPr>
        <w:pStyle w:val="14"/>
        <w:snapToGrid w:val="0"/>
        <w:spacing w:before="120" w:beforeLines="50" w:after="120" w:afterLines="50" w:line="440" w:lineRule="atLeast"/>
        <w:ind w:firstLine="420" w:firstLineChars="200"/>
        <w:outlineLvl w:val="0"/>
      </w:pPr>
      <w:r>
        <w:rPr>
          <w:rFonts w:hint="eastAsia"/>
        </w:rPr>
        <w:t>6、办理项目从业人员工伤保险、人身意外伤害险等有关保险，临聘用工应为其购买相关商业保险。</w:t>
      </w:r>
    </w:p>
    <w:p>
      <w:pPr>
        <w:pStyle w:val="14"/>
        <w:snapToGrid w:val="0"/>
        <w:spacing w:before="120" w:beforeLines="50" w:after="120" w:afterLines="50" w:line="440" w:lineRule="atLeast"/>
        <w:ind w:firstLine="420" w:firstLineChars="200"/>
        <w:outlineLvl w:val="0"/>
      </w:pPr>
      <w:r>
        <w:rPr>
          <w:rFonts w:hint="eastAsia"/>
        </w:rPr>
        <w:t>7、为项目从业人员配备符合国家标准或者行业标准的劳动防护用品。</w:t>
      </w:r>
    </w:p>
    <w:p>
      <w:pPr>
        <w:pStyle w:val="14"/>
        <w:snapToGrid w:val="0"/>
        <w:spacing w:before="120" w:beforeLines="50" w:after="120" w:afterLines="50" w:line="440" w:lineRule="atLeast"/>
        <w:ind w:firstLine="420" w:firstLineChars="200"/>
        <w:outlineLvl w:val="0"/>
      </w:pPr>
      <w:r>
        <w:rPr>
          <w:rFonts w:hint="eastAsia"/>
        </w:rPr>
        <w:t>8、对承包项目的主要风险进行辨识，并制定管控措施，建立风险分级管控清单。</w:t>
      </w:r>
    </w:p>
    <w:p>
      <w:pPr>
        <w:pStyle w:val="14"/>
        <w:snapToGrid w:val="0"/>
        <w:spacing w:before="120" w:beforeLines="50" w:after="120" w:afterLines="50" w:line="440" w:lineRule="atLeast"/>
        <w:ind w:firstLine="420" w:firstLineChars="200"/>
        <w:outlineLvl w:val="0"/>
        <w:rPr>
          <w:bCs/>
        </w:rPr>
      </w:pPr>
      <w:r>
        <w:rPr>
          <w:rFonts w:hint="eastAsia"/>
          <w:bCs/>
        </w:rPr>
        <w:t>9、近3年公司范国内无相应安全责任事故。</w:t>
      </w:r>
    </w:p>
    <w:p>
      <w:pPr>
        <w:pStyle w:val="14"/>
        <w:snapToGrid w:val="0"/>
        <w:spacing w:before="120" w:beforeLines="50" w:after="120" w:afterLines="50" w:line="440" w:lineRule="atLeast"/>
        <w:ind w:firstLine="420" w:firstLineChars="200"/>
        <w:outlineLvl w:val="0"/>
      </w:pPr>
      <w:r>
        <w:rPr>
          <w:rFonts w:hint="eastAsia"/>
        </w:rPr>
        <w:t>若我司违背上述承诺，贵单位有权取消我司的中标资格并没收投标保证金（或处等额的违约金），并依据相关法律法规，保留追究法律责任的权利；若合同正在履行中或履行完毕后被发现，将按照合同约定的条款承担相应后果，给贵单位造成损失的，愿意依法承担相应赔偿责任。</w:t>
      </w:r>
    </w:p>
    <w:p>
      <w:pPr>
        <w:pStyle w:val="14"/>
        <w:snapToGrid w:val="0"/>
        <w:spacing w:before="120" w:beforeLines="50" w:after="120" w:afterLines="50" w:line="440" w:lineRule="atLeast"/>
        <w:ind w:firstLine="420" w:firstLineChars="200"/>
        <w:outlineLvl w:val="0"/>
      </w:pPr>
      <w:r>
        <w:rPr>
          <w:rFonts w:hint="eastAsia"/>
        </w:rPr>
        <w:t>我司郑重承诺，承诺内容真实有效，我司愿对虚假承诺承担《招标投标法》第六十八条规定的“弄虚作假骗取中标”的法律责任（包括行政处罚、民事赔偿等）。</w:t>
      </w:r>
    </w:p>
    <w:p>
      <w:pPr>
        <w:pStyle w:val="14"/>
        <w:snapToGrid w:val="0"/>
        <w:spacing w:before="120" w:beforeLines="50" w:after="120" w:afterLines="50" w:line="440" w:lineRule="atLeast"/>
        <w:ind w:firstLine="420" w:firstLineChars="200"/>
        <w:outlineLvl w:val="0"/>
      </w:pPr>
      <w:r>
        <w:rPr>
          <w:rFonts w:hint="eastAsia"/>
        </w:rPr>
        <w:t>本承诺书为投标文件不可分割的组成部分，与投标文件、中标合同具有同等法律效力，自签字盖章之日起生效，有效期同主合同。</w:t>
      </w:r>
    </w:p>
    <w:p>
      <w:pPr>
        <w:pStyle w:val="14"/>
        <w:snapToGrid w:val="0"/>
        <w:spacing w:before="120" w:beforeLines="50" w:after="120" w:afterLines="50" w:line="440" w:lineRule="atLeast"/>
        <w:outlineLvl w:val="0"/>
      </w:pPr>
      <w:r>
        <w:rPr>
          <w:rFonts w:hint="eastAsia"/>
        </w:rPr>
        <w:t>特此承诺！</w:t>
      </w:r>
    </w:p>
    <w:p>
      <w:pPr>
        <w:pStyle w:val="14"/>
        <w:snapToGrid w:val="0"/>
        <w:spacing w:before="120" w:beforeLines="50" w:after="120" w:afterLines="50" w:line="440" w:lineRule="atLeast"/>
        <w:outlineLvl w:val="0"/>
      </w:pPr>
      <w:r>
        <w:rPr>
          <w:rFonts w:hint="eastAsia"/>
        </w:rPr>
        <w:t xml:space="preserve">投标人（盖公章）：                     </w:t>
      </w:r>
    </w:p>
    <w:p>
      <w:pPr>
        <w:pStyle w:val="14"/>
        <w:snapToGrid w:val="0"/>
        <w:spacing w:before="120" w:beforeLines="50" w:after="120" w:afterLines="50" w:line="440" w:lineRule="atLeast"/>
        <w:outlineLvl w:val="0"/>
      </w:pPr>
      <w:r>
        <w:rPr>
          <w:rFonts w:hint="eastAsia"/>
        </w:rPr>
        <w:t xml:space="preserve">法定代表人（或授权代表）（签字或盖章）：        </w:t>
      </w:r>
    </w:p>
    <w:p>
      <w:pPr>
        <w:pStyle w:val="14"/>
        <w:snapToGrid w:val="0"/>
        <w:spacing w:before="120" w:beforeLines="50" w:after="120" w:afterLines="50" w:line="440" w:lineRule="atLeast"/>
        <w:outlineLvl w:val="0"/>
        <w:sectPr>
          <w:pgSz w:w="12240" w:h="15840"/>
          <w:pgMar w:top="1440" w:right="1800" w:bottom="1440" w:left="1800" w:header="720" w:footer="720" w:gutter="0"/>
          <w:cols w:space="720" w:num="1"/>
        </w:sectPr>
      </w:pPr>
      <w:r>
        <w:rPr>
          <w:rFonts w:hint="eastAsia"/>
        </w:rPr>
        <w:t xml:space="preserve">日期：      年    月    </w:t>
      </w:r>
    </w:p>
    <w:p>
      <w:pPr>
        <w:jc w:val="left"/>
        <w:rPr>
          <w:rFonts w:hint="eastAsia" w:cs="宋体"/>
          <w:szCs w:val="21"/>
        </w:rPr>
      </w:pPr>
      <w:r>
        <w:rPr>
          <w:rFonts w:hint="eastAsia" w:cs="宋体"/>
          <w:szCs w:val="21"/>
        </w:rPr>
        <w:t>8.</w:t>
      </w:r>
      <w:r>
        <w:rPr>
          <w:rFonts w:hint="eastAsia" w:ascii="新宋体" w:hAnsi="新宋体" w:eastAsia="新宋体" w:cs="新宋体"/>
          <w:kern w:val="0"/>
          <w:szCs w:val="21"/>
          <w:lang w:bidi="ar"/>
        </w:rPr>
        <w:t xml:space="preserve"> 与投标人签订劳动合同的人员不少于20人（</w:t>
      </w:r>
      <w:r>
        <w:rPr>
          <w:rFonts w:hint="eastAsia" w:cs="宋体"/>
          <w:kern w:val="0"/>
          <w:szCs w:val="21"/>
        </w:rPr>
        <w:t>提供有效劳动合同扫描件，</w:t>
      </w:r>
      <w:r>
        <w:rPr>
          <w:rFonts w:hint="eastAsia"/>
        </w:rPr>
        <w:t>并提供最近三个月投标人缴纳的社保缴纳证明材料）</w:t>
      </w:r>
    </w:p>
    <w:p>
      <w:pPr>
        <w:pStyle w:val="14"/>
        <w:widowControl/>
        <w:snapToGrid w:val="0"/>
        <w:spacing w:before="158" w:beforeLines="50" w:after="158" w:afterLines="50" w:line="440" w:lineRule="atLeast"/>
        <w:jc w:val="left"/>
        <w:outlineLvl w:val="0"/>
      </w:pPr>
      <w:r>
        <w:rPr>
          <w:rFonts w:hint="eastAsia"/>
        </w:rPr>
        <w:t xml:space="preserve"> </w:t>
      </w:r>
    </w:p>
    <w:p>
      <w:pPr>
        <w:pStyle w:val="14"/>
        <w:widowControl/>
        <w:snapToGrid w:val="0"/>
        <w:spacing w:before="158" w:beforeLines="50" w:after="158" w:afterLines="50" w:line="440" w:lineRule="atLeast"/>
        <w:jc w:val="left"/>
        <w:outlineLvl w:val="0"/>
      </w:pPr>
      <w:r>
        <w:rPr>
          <w:rFonts w:hint="eastAsia"/>
        </w:rPr>
        <w:t xml:space="preserve"> </w:t>
      </w:r>
    </w:p>
    <w:p>
      <w:pPr>
        <w:jc w:val="left"/>
        <w:rPr>
          <w:rFonts w:hint="eastAsia" w:ascii="新宋体" w:hAnsi="新宋体" w:eastAsia="新宋体" w:cs="新宋体"/>
          <w:kern w:val="0"/>
          <w:szCs w:val="21"/>
          <w:lang w:bidi="ar"/>
        </w:rPr>
      </w:pPr>
      <w:r>
        <w:rPr>
          <w:rFonts w:hint="eastAsia"/>
        </w:rPr>
        <w:br w:type="page"/>
      </w:r>
      <w:r>
        <w:rPr>
          <w:rFonts w:hint="eastAsia" w:cs="宋体"/>
          <w:szCs w:val="21"/>
        </w:rPr>
        <w:t>9.</w:t>
      </w:r>
      <w:r>
        <w:rPr>
          <w:rFonts w:hint="eastAsia" w:ascii="新宋体" w:hAnsi="新宋体" w:eastAsia="新宋体" w:cs="新宋体"/>
          <w:kern w:val="0"/>
          <w:szCs w:val="21"/>
          <w:lang w:bidi="ar"/>
        </w:rPr>
        <w:t xml:space="preserve"> </w:t>
      </w:r>
      <w:r>
        <w:rPr>
          <w:rFonts w:ascii="新宋体" w:hAnsi="新宋体" w:eastAsia="新宋体" w:cs="新宋体"/>
          <w:kern w:val="0"/>
          <w:szCs w:val="21"/>
          <w:lang w:bidi="ar"/>
        </w:rPr>
        <w:t>投标人未被列入失信被执行人名单、重大税收违法案件当事人名单、安全生产严重失信主体名单、政府采购严重违法失信行为记录名单等信用信息以信用中国网站（www.creditchina.gov.cn）、中国政府采购网（www.ccgp.gov.cn）公布为准。</w:t>
      </w:r>
    </w:p>
    <w:p>
      <w:pPr>
        <w:widowControl/>
        <w:adjustRightInd/>
        <w:spacing w:line="240" w:lineRule="auto"/>
        <w:jc w:val="left"/>
        <w:textAlignment w:val="auto"/>
        <w:rPr>
          <w:rFonts w:hAnsi="Courier New"/>
          <w:szCs w:val="21"/>
        </w:rPr>
      </w:pPr>
      <w:r>
        <w:br w:type="page"/>
      </w:r>
    </w:p>
    <w:p>
      <w:pPr>
        <w:jc w:val="left"/>
        <w:rPr>
          <w:rFonts w:hint="eastAsia" w:cs="宋体"/>
          <w:szCs w:val="21"/>
        </w:rPr>
      </w:pPr>
      <w:r>
        <w:rPr>
          <w:rFonts w:hint="eastAsia" w:ascii="新宋体" w:hAnsi="新宋体" w:eastAsia="新宋体" w:cs="新宋体"/>
          <w:kern w:val="0"/>
          <w:szCs w:val="21"/>
          <w:lang w:bidi="ar"/>
        </w:rPr>
        <w:t>10.投标人未被列入</w:t>
      </w:r>
      <w:r>
        <w:rPr>
          <w:rFonts w:ascii="新宋体" w:hAnsi="新宋体" w:eastAsia="新宋体" w:cs="新宋体"/>
          <w:kern w:val="0"/>
          <w:szCs w:val="21"/>
          <w:lang w:bidi="ar"/>
        </w:rPr>
        <w:t>全国建筑市场监管公共服务平台公布的建筑市场主体 “黑名单”</w:t>
      </w:r>
    </w:p>
    <w:p>
      <w:pPr>
        <w:widowControl/>
        <w:adjustRightInd/>
        <w:spacing w:line="240" w:lineRule="auto"/>
        <w:jc w:val="left"/>
        <w:textAlignment w:val="auto"/>
        <w:rPr>
          <w:rFonts w:hint="eastAsia"/>
        </w:rPr>
      </w:pPr>
      <w:r>
        <w:br w:type="page"/>
      </w:r>
    </w:p>
    <w:p>
      <w:pPr>
        <w:widowControl/>
        <w:numPr>
          <w:ilvl w:val="0"/>
          <w:numId w:val="6"/>
        </w:numPr>
        <w:adjustRightInd/>
        <w:spacing w:line="240" w:lineRule="auto"/>
        <w:jc w:val="left"/>
        <w:textAlignment w:val="auto"/>
        <w:rPr>
          <w:rFonts w:hint="eastAsia"/>
        </w:rPr>
      </w:pPr>
      <w:r>
        <w:rPr>
          <w:rFonts w:hint="eastAsia"/>
        </w:rPr>
        <w:t>其他需要补充的资料</w:t>
      </w: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widowControl/>
        <w:numPr>
          <w:ilvl w:val="255"/>
          <w:numId w:val="0"/>
        </w:numPr>
        <w:adjustRightInd/>
        <w:spacing w:line="240" w:lineRule="auto"/>
        <w:jc w:val="left"/>
        <w:textAlignment w:val="auto"/>
        <w:rPr>
          <w:rFonts w:hint="eastAsia"/>
        </w:rPr>
      </w:pPr>
    </w:p>
    <w:p>
      <w:pPr>
        <w:pStyle w:val="14"/>
        <w:widowControl/>
        <w:snapToGrid w:val="0"/>
        <w:spacing w:before="158" w:beforeLines="50" w:after="158" w:afterLines="50" w:line="440" w:lineRule="atLeast"/>
        <w:jc w:val="left"/>
        <w:outlineLvl w:val="0"/>
      </w:pPr>
      <w:r>
        <w:rPr>
          <w:rFonts w:hint="eastAsia"/>
        </w:rPr>
        <w:t>二、投标文件价格标格式</w:t>
      </w:r>
      <w:r>
        <w:rPr>
          <w:rFonts w:hint="eastAsia"/>
        </w:rPr>
        <w:tab/>
      </w:r>
    </w:p>
    <w:p>
      <w:pPr>
        <w:pStyle w:val="14"/>
        <w:widowControl/>
        <w:snapToGrid w:val="0"/>
        <w:spacing w:before="158" w:beforeLines="50" w:after="158" w:afterLines="50" w:line="440" w:lineRule="atLeast"/>
        <w:outlineLvl w:val="0"/>
      </w:pPr>
      <w:r>
        <w:rPr>
          <w:rFonts w:hint="eastAsia"/>
        </w:rPr>
        <w:t>1.价格标封面</w:t>
      </w:r>
    </w:p>
    <w:p>
      <w:pPr>
        <w:pStyle w:val="14"/>
        <w:widowControl/>
        <w:snapToGrid w:val="0"/>
        <w:spacing w:before="158" w:beforeLines="50" w:after="158" w:afterLines="50" w:line="440" w:lineRule="atLeast"/>
        <w:jc w:val="left"/>
        <w:outlineLvl w:val="0"/>
      </w:pPr>
      <w:r>
        <w:rPr>
          <w:rFonts w:hint="eastAsia"/>
        </w:rPr>
        <w:t xml:space="preserve"> </w:t>
      </w:r>
    </w:p>
    <w:p>
      <w:pPr>
        <w:pStyle w:val="14"/>
        <w:widowControl/>
        <w:snapToGrid w:val="0"/>
        <w:spacing w:before="158" w:beforeLines="50" w:after="158" w:afterLines="50" w:line="440" w:lineRule="atLeast"/>
        <w:jc w:val="left"/>
        <w:outlineLvl w:val="0"/>
      </w:pPr>
      <w:r>
        <w:rPr>
          <w:rFonts w:hint="eastAsia"/>
        </w:rPr>
        <w:t xml:space="preserve"> </w:t>
      </w:r>
    </w:p>
    <w:p>
      <w:pPr>
        <w:pStyle w:val="14"/>
        <w:widowControl/>
        <w:snapToGrid w:val="0"/>
        <w:spacing w:before="158" w:beforeLines="50" w:after="158" w:afterLines="50" w:line="440" w:lineRule="atLeast"/>
        <w:jc w:val="center"/>
        <w:outlineLvl w:val="0"/>
        <w:rPr>
          <w:u w:val="single"/>
        </w:rPr>
      </w:pPr>
      <w:r>
        <w:rPr>
          <w:rFonts w:hint="eastAsia"/>
        </w:rPr>
        <w:t xml:space="preserve">     </w:t>
      </w:r>
      <w:r>
        <w:rPr>
          <w:rFonts w:hint="eastAsia"/>
          <w:u w:val="single"/>
        </w:rPr>
        <w:t xml:space="preserve">                          </w:t>
      </w:r>
      <w:r>
        <w:rPr>
          <w:rFonts w:hint="eastAsia"/>
        </w:rPr>
        <w:t>项目</w:t>
      </w:r>
    </w:p>
    <w:p>
      <w:pPr>
        <w:pStyle w:val="14"/>
        <w:widowControl/>
        <w:snapToGrid w:val="0"/>
        <w:spacing w:before="158" w:beforeLines="50" w:after="158" w:afterLines="50" w:line="440" w:lineRule="atLeast"/>
        <w:jc w:val="left"/>
        <w:outlineLvl w:val="0"/>
        <w:rPr>
          <w:b/>
        </w:rPr>
      </w:pPr>
      <w:r>
        <w:rPr>
          <w:rFonts w:hint="eastAsia"/>
          <w:b/>
        </w:rPr>
        <w:t xml:space="preserve"> </w:t>
      </w:r>
    </w:p>
    <w:p>
      <w:pPr>
        <w:pStyle w:val="14"/>
        <w:widowControl/>
        <w:snapToGrid w:val="0"/>
        <w:spacing w:before="158" w:beforeLines="50" w:after="158" w:afterLines="50" w:line="440" w:lineRule="atLeast"/>
        <w:jc w:val="left"/>
        <w:outlineLvl w:val="0"/>
        <w:rPr>
          <w:b/>
        </w:rPr>
      </w:pPr>
      <w:r>
        <w:rPr>
          <w:rFonts w:hint="eastAsia"/>
          <w:b/>
        </w:rPr>
        <w:t xml:space="preserve"> </w:t>
      </w:r>
    </w:p>
    <w:p>
      <w:pPr>
        <w:pStyle w:val="14"/>
        <w:widowControl/>
        <w:snapToGrid w:val="0"/>
        <w:spacing w:before="158" w:beforeLines="50" w:after="158" w:afterLines="50" w:line="440" w:lineRule="atLeast"/>
        <w:jc w:val="center"/>
        <w:outlineLvl w:val="0"/>
        <w:rPr>
          <w:b/>
        </w:rPr>
      </w:pPr>
      <w:r>
        <w:rPr>
          <w:rFonts w:hint="eastAsia"/>
          <w:b/>
        </w:rPr>
        <w:t>投 标 文 件</w:t>
      </w:r>
    </w:p>
    <w:p>
      <w:pPr>
        <w:pStyle w:val="14"/>
        <w:widowControl/>
        <w:snapToGrid w:val="0"/>
        <w:spacing w:before="158" w:beforeLines="50" w:after="158" w:afterLines="50" w:line="440" w:lineRule="atLeast"/>
        <w:jc w:val="left"/>
        <w:outlineLvl w:val="0"/>
      </w:pPr>
      <w:r>
        <w:rPr>
          <w:rFonts w:hint="eastAsia"/>
        </w:rPr>
        <w:t xml:space="preserve"> </w:t>
      </w:r>
    </w:p>
    <w:p>
      <w:pPr>
        <w:pStyle w:val="14"/>
        <w:widowControl/>
        <w:snapToGrid w:val="0"/>
        <w:spacing w:before="158" w:beforeLines="50" w:after="158" w:afterLines="50" w:line="440" w:lineRule="atLeast"/>
        <w:jc w:val="left"/>
        <w:outlineLvl w:val="0"/>
        <w:rPr>
          <w:b/>
        </w:rPr>
      </w:pPr>
      <w:r>
        <w:rPr>
          <w:rFonts w:hint="eastAsia"/>
          <w:b/>
        </w:rPr>
        <w:t xml:space="preserve"> </w:t>
      </w:r>
    </w:p>
    <w:p>
      <w:pPr>
        <w:pStyle w:val="14"/>
        <w:widowControl/>
        <w:snapToGrid w:val="0"/>
        <w:spacing w:before="158" w:beforeLines="50" w:after="158" w:afterLines="50" w:line="440" w:lineRule="atLeast"/>
        <w:outlineLvl w:val="0"/>
        <w:rPr>
          <w:u w:val="single"/>
        </w:rPr>
      </w:pPr>
      <w:r>
        <w:rPr>
          <w:rFonts w:hint="eastAsia"/>
          <w:u w:val="single"/>
        </w:rPr>
        <w:t xml:space="preserve"> </w:t>
      </w:r>
    </w:p>
    <w:p>
      <w:pPr>
        <w:pStyle w:val="14"/>
        <w:widowControl/>
        <w:snapToGrid w:val="0"/>
        <w:spacing w:before="158" w:beforeLines="50" w:after="158" w:afterLines="50" w:line="440" w:lineRule="atLeast"/>
        <w:jc w:val="left"/>
        <w:outlineLvl w:val="0"/>
      </w:pPr>
      <w:r>
        <w:rPr>
          <w:rFonts w:hint="eastAsia"/>
        </w:rPr>
        <w:t xml:space="preserve"> </w:t>
      </w:r>
    </w:p>
    <w:p>
      <w:pPr>
        <w:pStyle w:val="14"/>
        <w:widowControl/>
        <w:snapToGrid w:val="0"/>
        <w:spacing w:before="158" w:beforeLines="50" w:after="158" w:afterLines="50" w:line="440" w:lineRule="atLeast"/>
        <w:jc w:val="left"/>
        <w:outlineLvl w:val="0"/>
        <w:rPr>
          <w:b/>
        </w:rPr>
      </w:pPr>
      <w:r>
        <w:rPr>
          <w:rFonts w:hint="eastAsia"/>
          <w:b/>
        </w:rPr>
        <w:t xml:space="preserve"> </w:t>
      </w:r>
    </w:p>
    <w:p>
      <w:pPr>
        <w:pStyle w:val="14"/>
        <w:widowControl/>
        <w:snapToGrid w:val="0"/>
        <w:spacing w:before="158" w:beforeLines="50" w:after="158" w:afterLines="50" w:line="440" w:lineRule="atLeast"/>
        <w:jc w:val="left"/>
        <w:outlineLvl w:val="0"/>
        <w:rPr>
          <w:b/>
        </w:rPr>
      </w:pPr>
      <w:r>
        <w:rPr>
          <w:rFonts w:hint="eastAsia"/>
          <w:b/>
        </w:rPr>
        <w:t xml:space="preserve"> </w:t>
      </w:r>
    </w:p>
    <w:p>
      <w:pPr>
        <w:pStyle w:val="14"/>
        <w:widowControl/>
        <w:snapToGrid w:val="0"/>
        <w:spacing w:before="158" w:beforeLines="50" w:after="158" w:afterLines="50" w:line="440" w:lineRule="atLeast"/>
        <w:jc w:val="left"/>
        <w:outlineLvl w:val="0"/>
        <w:rPr>
          <w:b/>
        </w:rPr>
      </w:pPr>
      <w:r>
        <w:rPr>
          <w:rFonts w:hint="eastAsia"/>
          <w:b/>
        </w:rPr>
        <w:t xml:space="preserve"> </w:t>
      </w:r>
    </w:p>
    <w:p>
      <w:pPr>
        <w:pStyle w:val="14"/>
        <w:widowControl/>
        <w:snapToGrid w:val="0"/>
        <w:spacing w:before="158" w:beforeLines="50" w:after="158" w:afterLines="50" w:line="440" w:lineRule="atLeast"/>
        <w:jc w:val="left"/>
        <w:outlineLvl w:val="0"/>
      </w:pPr>
      <w:r>
        <w:rPr>
          <w:rFonts w:hint="eastAsia"/>
        </w:rPr>
        <w:t>项目名称：</w:t>
      </w:r>
      <w:r>
        <w:rPr>
          <w:rFonts w:hint="eastAsia"/>
          <w:u w:val="single"/>
        </w:rPr>
        <w:t xml:space="preserve">                                       </w:t>
      </w:r>
    </w:p>
    <w:p>
      <w:pPr>
        <w:pStyle w:val="14"/>
        <w:widowControl/>
        <w:snapToGrid w:val="0"/>
        <w:spacing w:before="158" w:beforeLines="50" w:after="158" w:afterLines="50" w:line="440" w:lineRule="atLeast"/>
        <w:jc w:val="left"/>
        <w:outlineLvl w:val="0"/>
      </w:pPr>
      <w:r>
        <w:rPr>
          <w:rFonts w:hint="eastAsia"/>
        </w:rPr>
        <w:t>投标文件内容：</w:t>
      </w:r>
      <w:r>
        <w:rPr>
          <w:rFonts w:hint="eastAsia"/>
          <w:b/>
          <w:u w:val="single"/>
        </w:rPr>
        <w:t xml:space="preserve">    价格标                              </w:t>
      </w:r>
    </w:p>
    <w:p>
      <w:pPr>
        <w:pStyle w:val="14"/>
        <w:widowControl/>
        <w:snapToGrid w:val="0"/>
        <w:spacing w:before="158" w:beforeLines="50" w:after="158" w:afterLines="50" w:line="440" w:lineRule="atLeast"/>
        <w:jc w:val="left"/>
        <w:outlineLvl w:val="0"/>
        <w:rPr>
          <w:b/>
          <w:u w:val="single"/>
        </w:rPr>
      </w:pPr>
      <w:r>
        <w:rPr>
          <w:rFonts w:hint="eastAsia"/>
        </w:rPr>
        <w:t>投标人：</w:t>
      </w:r>
      <w:r>
        <w:rPr>
          <w:rFonts w:hint="eastAsia"/>
          <w:u w:val="single"/>
        </w:rPr>
        <w:t xml:space="preserve">                                   （盖章）</w:t>
      </w:r>
    </w:p>
    <w:p>
      <w:pPr>
        <w:pStyle w:val="14"/>
        <w:widowControl/>
        <w:snapToGrid w:val="0"/>
        <w:spacing w:before="158" w:beforeLines="50" w:after="158" w:afterLines="50" w:line="440" w:lineRule="atLeast"/>
        <w:jc w:val="left"/>
        <w:outlineLvl w:val="0"/>
        <w:rPr>
          <w:u w:val="single"/>
        </w:rPr>
      </w:pPr>
      <w:r>
        <w:rPr>
          <w:rFonts w:hint="eastAsia"/>
        </w:rPr>
        <w:t>法定代表人或其委托代理人：</w:t>
      </w:r>
      <w:r>
        <w:rPr>
          <w:rFonts w:hint="eastAsia"/>
          <w:u w:val="single"/>
        </w:rPr>
        <w:t xml:space="preserve">             （签字或盖章） </w:t>
      </w:r>
    </w:p>
    <w:p>
      <w:pPr>
        <w:pStyle w:val="14"/>
        <w:widowControl/>
        <w:snapToGrid w:val="0"/>
        <w:spacing w:before="158" w:beforeLines="50" w:after="158" w:afterLines="50" w:line="440" w:lineRule="atLeast"/>
        <w:jc w:val="left"/>
        <w:outlineLvl w:val="0"/>
      </w:pPr>
      <w:r>
        <w:rPr>
          <w:rFonts w:hint="eastAsia"/>
        </w:rPr>
        <w:t>日期：    年   月    日</w:t>
      </w:r>
    </w:p>
    <w:p>
      <w:pPr>
        <w:pStyle w:val="14"/>
        <w:widowControl/>
        <w:snapToGrid w:val="0"/>
        <w:spacing w:before="158" w:beforeLines="50" w:after="158" w:afterLines="50" w:line="440" w:lineRule="atLeast"/>
        <w:jc w:val="left"/>
        <w:outlineLvl w:val="0"/>
      </w:pPr>
      <w:r>
        <w:rPr>
          <w:rFonts w:hint="eastAsia"/>
        </w:rPr>
        <w:br w:type="page"/>
      </w:r>
      <w:r>
        <w:rPr>
          <w:rFonts w:hint="eastAsia"/>
        </w:rPr>
        <w:t>2.投 标 函</w:t>
      </w:r>
    </w:p>
    <w:p>
      <w:pPr>
        <w:pStyle w:val="14"/>
        <w:widowControl/>
        <w:snapToGrid w:val="0"/>
        <w:spacing w:before="158" w:beforeLines="50" w:after="158" w:afterLines="50" w:line="440" w:lineRule="atLeast"/>
        <w:jc w:val="center"/>
        <w:outlineLvl w:val="0"/>
        <w:rPr>
          <w:b/>
        </w:rPr>
      </w:pPr>
      <w:r>
        <w:rPr>
          <w:rFonts w:hint="eastAsia"/>
          <w:b/>
        </w:rPr>
        <w:t>投 标 函</w:t>
      </w:r>
    </w:p>
    <w:p>
      <w:pPr>
        <w:pStyle w:val="14"/>
        <w:widowControl/>
        <w:spacing w:before="158" w:beforeLines="50" w:after="158" w:afterLines="50" w:line="440" w:lineRule="atLeast"/>
        <w:jc w:val="left"/>
        <w:outlineLvl w:val="0"/>
      </w:pPr>
      <w:r>
        <w:rPr>
          <w:rFonts w:hint="eastAsia"/>
        </w:rPr>
        <w:t xml:space="preserve"> </w:t>
      </w:r>
    </w:p>
    <w:p>
      <w:pPr>
        <w:pStyle w:val="14"/>
        <w:widowControl/>
        <w:spacing w:before="158" w:beforeLines="50" w:after="158" w:afterLines="50" w:line="440" w:lineRule="atLeast"/>
        <w:ind w:firstLine="420" w:firstLineChars="200"/>
        <w:jc w:val="left"/>
        <w:outlineLvl w:val="0"/>
        <w:rPr>
          <w:u w:val="single"/>
        </w:rPr>
      </w:pPr>
      <w:r>
        <w:rPr>
          <w:rFonts w:hint="eastAsia"/>
        </w:rPr>
        <w:t>致：</w:t>
      </w:r>
      <w:bookmarkStart w:id="153" w:name="OLE_LINK39"/>
      <w:r>
        <w:rPr>
          <w:rFonts w:hint="eastAsia"/>
          <w:u w:val="single"/>
        </w:rPr>
        <w:t xml:space="preserve">        （招标人名称）  </w:t>
      </w:r>
    </w:p>
    <w:bookmarkEnd w:id="153"/>
    <w:p>
      <w:pPr>
        <w:pStyle w:val="14"/>
        <w:widowControl/>
        <w:numPr>
          <w:ilvl w:val="0"/>
          <w:numId w:val="7"/>
        </w:numPr>
        <w:spacing w:before="158" w:beforeLines="50" w:after="158" w:afterLines="50" w:line="240" w:lineRule="auto"/>
        <w:ind w:firstLine="420" w:firstLineChars="200"/>
        <w:jc w:val="left"/>
        <w:outlineLvl w:val="0"/>
      </w:pPr>
      <w:r>
        <w:rPr>
          <w:rFonts w:hint="eastAsia"/>
        </w:rPr>
        <w:t>根据你方</w:t>
      </w:r>
      <w:r>
        <w:rPr>
          <w:rFonts w:hint="eastAsia"/>
          <w:u w:val="single"/>
        </w:rPr>
        <w:t xml:space="preserve">              （招标项目名称）</w:t>
      </w:r>
      <w:r>
        <w:rPr>
          <w:rFonts w:hint="eastAsia"/>
        </w:rPr>
        <w:t>工程的招标文件，遵照《中华人民共和国招标投标法》等有关规定，我方已仔细研究了招标文件的全部内容，愿以人民币（大写）：</w:t>
      </w:r>
      <w:r>
        <w:rPr>
          <w:rFonts w:hint="eastAsia"/>
          <w:u w:val="single"/>
        </w:rPr>
        <w:t xml:space="preserve">      </w:t>
      </w:r>
      <w:r>
        <w:rPr>
          <w:rFonts w:hint="eastAsia"/>
        </w:rPr>
        <w:t>（即￥</w:t>
      </w:r>
      <w:r>
        <w:rPr>
          <w:rFonts w:hint="eastAsia"/>
          <w:u w:val="single"/>
        </w:rPr>
        <w:t xml:space="preserve">      </w:t>
      </w:r>
      <w:r>
        <w:rPr>
          <w:rFonts w:hint="eastAsia"/>
        </w:rPr>
        <w:t>）（含税，税率    %）的投标报价，由</w:t>
      </w:r>
      <w:r>
        <w:rPr>
          <w:rFonts w:hint="eastAsia"/>
          <w:u w:val="single"/>
        </w:rPr>
        <w:t xml:space="preserve">       </w:t>
      </w:r>
      <w:r>
        <w:rPr>
          <w:rFonts w:hint="eastAsia"/>
        </w:rPr>
        <w:t>担任项目经理承包上述工程的施工、竣工，并承担任何质量缺陷的保修责任。</w:t>
      </w:r>
    </w:p>
    <w:p>
      <w:pPr>
        <w:pStyle w:val="14"/>
        <w:widowControl/>
        <w:spacing w:before="158" w:beforeLines="50" w:after="158" w:afterLines="50" w:line="240" w:lineRule="auto"/>
        <w:ind w:firstLine="420" w:firstLineChars="200"/>
        <w:jc w:val="left"/>
        <w:outlineLvl w:val="0"/>
      </w:pPr>
      <w:r>
        <w:rPr>
          <w:rFonts w:hint="eastAsia"/>
        </w:rPr>
        <w:t>2、我方承诺在投标有效期内不修改、撤销投标文件。</w:t>
      </w:r>
    </w:p>
    <w:p>
      <w:pPr>
        <w:pStyle w:val="14"/>
        <w:widowControl/>
        <w:spacing w:before="158" w:beforeLines="50" w:after="158" w:afterLines="50" w:line="240" w:lineRule="auto"/>
        <w:ind w:firstLine="420" w:firstLineChars="200"/>
        <w:jc w:val="left"/>
        <w:outlineLvl w:val="0"/>
      </w:pPr>
      <w:r>
        <w:rPr>
          <w:rFonts w:hint="eastAsia"/>
        </w:rPr>
        <w:t>3、我方已按规定提交人民币（大写）：</w:t>
      </w:r>
      <w:r>
        <w:rPr>
          <w:rFonts w:hint="eastAsia"/>
          <w:u w:val="single"/>
        </w:rPr>
        <w:t xml:space="preserve">     </w:t>
      </w:r>
      <w:r>
        <w:rPr>
          <w:rFonts w:hint="eastAsia"/>
        </w:rPr>
        <w:t>整的投标保证金。</w:t>
      </w:r>
    </w:p>
    <w:p>
      <w:pPr>
        <w:pStyle w:val="14"/>
        <w:widowControl/>
        <w:spacing w:before="158" w:beforeLines="50" w:after="158" w:afterLines="50" w:line="240" w:lineRule="auto"/>
        <w:ind w:firstLine="420" w:firstLineChars="200"/>
        <w:jc w:val="left"/>
        <w:outlineLvl w:val="0"/>
      </w:pPr>
      <w:r>
        <w:rPr>
          <w:rFonts w:hint="eastAsia"/>
        </w:rPr>
        <w:t>4、如我方中标：</w:t>
      </w:r>
    </w:p>
    <w:p>
      <w:pPr>
        <w:pStyle w:val="14"/>
        <w:widowControl/>
        <w:spacing w:before="158" w:beforeLines="50" w:after="158" w:afterLines="50" w:line="240" w:lineRule="auto"/>
        <w:ind w:firstLine="420" w:firstLineChars="200"/>
        <w:jc w:val="left"/>
        <w:outlineLvl w:val="0"/>
      </w:pPr>
      <w:r>
        <w:rPr>
          <w:rFonts w:hint="eastAsia"/>
        </w:rPr>
        <w:t>（1）我方承诺在收到中标通知书后，在中标通知书规定的期限内与你方签订合同。</w:t>
      </w:r>
    </w:p>
    <w:p>
      <w:pPr>
        <w:pStyle w:val="14"/>
        <w:widowControl/>
        <w:spacing w:before="158" w:beforeLines="50" w:after="158" w:afterLines="50" w:line="240" w:lineRule="auto"/>
        <w:ind w:firstLine="420" w:firstLineChars="200"/>
        <w:jc w:val="left"/>
        <w:outlineLvl w:val="0"/>
      </w:pPr>
      <w:r>
        <w:rPr>
          <w:rFonts w:hint="eastAsia"/>
        </w:rPr>
        <w:t xml:space="preserve">（2）除非另外达成协议并生效，你方的中标通知书和我投标文件将构成约束双方的合同文件的组成部分。 </w:t>
      </w:r>
    </w:p>
    <w:p>
      <w:pPr>
        <w:pStyle w:val="14"/>
        <w:widowControl/>
        <w:spacing w:before="158" w:beforeLines="50" w:after="158" w:afterLines="50" w:line="240" w:lineRule="auto"/>
        <w:ind w:firstLine="420" w:firstLineChars="200"/>
        <w:jc w:val="left"/>
        <w:outlineLvl w:val="0"/>
      </w:pPr>
      <w:r>
        <w:rPr>
          <w:rFonts w:hint="eastAsia"/>
        </w:rPr>
        <w:t>（3）我方承诺在规定的工期</w:t>
      </w:r>
      <w:r>
        <w:rPr>
          <w:rFonts w:hint="eastAsia"/>
          <w:u w:val="single"/>
        </w:rPr>
        <w:t xml:space="preserve">    </w:t>
      </w:r>
      <w:r>
        <w:rPr>
          <w:rFonts w:hint="eastAsia"/>
        </w:rPr>
        <w:t>日历天内完成，并移交全部合同工程，并确保工程质量达到</w:t>
      </w:r>
      <w:r>
        <w:rPr>
          <w:rFonts w:hint="eastAsia"/>
          <w:u w:val="single"/>
        </w:rPr>
        <w:t xml:space="preserve">     </w:t>
      </w:r>
      <w:r>
        <w:rPr>
          <w:rFonts w:hint="eastAsia"/>
        </w:rPr>
        <w:t>标准，安全达到</w:t>
      </w:r>
      <w:r>
        <w:rPr>
          <w:rFonts w:hint="eastAsia"/>
          <w:u w:val="single"/>
        </w:rPr>
        <w:t xml:space="preserve">     </w:t>
      </w:r>
      <w:r>
        <w:rPr>
          <w:rFonts w:hint="eastAsia"/>
        </w:rPr>
        <w:t>标准。</w:t>
      </w:r>
    </w:p>
    <w:p>
      <w:pPr>
        <w:pStyle w:val="14"/>
        <w:widowControl/>
        <w:numPr>
          <w:ilvl w:val="0"/>
          <w:numId w:val="8"/>
        </w:numPr>
        <w:spacing w:before="158" w:beforeLines="50" w:after="158" w:afterLines="50" w:line="240" w:lineRule="auto"/>
        <w:ind w:firstLine="420" w:firstLineChars="200"/>
        <w:jc w:val="left"/>
        <w:outlineLvl w:val="0"/>
      </w:pPr>
      <w:r>
        <w:rPr>
          <w:rFonts w:hint="eastAsia"/>
        </w:rPr>
        <w:t>我方在此声明，所提交的投标文件及有关资料内容完整、真实和准确，且不存在招标文件第二章“投标人须知”第1.4.2条款规定的任何一种情形。</w:t>
      </w:r>
    </w:p>
    <w:p>
      <w:pPr>
        <w:pStyle w:val="14"/>
        <w:widowControl/>
        <w:spacing w:before="158" w:beforeLines="50" w:after="158" w:afterLines="50" w:line="240" w:lineRule="auto"/>
        <w:ind w:firstLine="420" w:firstLineChars="200"/>
        <w:jc w:val="left"/>
        <w:outlineLvl w:val="0"/>
      </w:pPr>
      <w:r>
        <w:rPr>
          <w:rFonts w:hint="eastAsia"/>
        </w:rPr>
        <w:t>6、</w:t>
      </w:r>
      <w:r>
        <w:t>本项目报价包含各种设备所需的线材、配件、连接线、接插件、安装、调试、运输、旧件拆除（含安装的线材）等全部费用</w:t>
      </w:r>
      <w:r>
        <w:rPr>
          <w:rFonts w:hint="eastAsia"/>
        </w:rPr>
        <w:t>。</w:t>
      </w:r>
    </w:p>
    <w:p>
      <w:pPr>
        <w:pStyle w:val="14"/>
        <w:widowControl/>
        <w:snapToGrid w:val="0"/>
        <w:spacing w:before="158" w:beforeLines="50" w:after="158" w:afterLines="50" w:line="440" w:lineRule="atLeast"/>
        <w:jc w:val="left"/>
        <w:outlineLvl w:val="0"/>
      </w:pPr>
      <w:r>
        <w:rPr>
          <w:rFonts w:hint="eastAsia"/>
        </w:rPr>
        <w:t xml:space="preserve"> </w:t>
      </w:r>
    </w:p>
    <w:p>
      <w:pPr>
        <w:pStyle w:val="14"/>
        <w:snapToGrid w:val="0"/>
        <w:spacing w:before="158" w:beforeLines="50" w:after="158" w:afterLines="50" w:line="440" w:lineRule="atLeast"/>
        <w:jc w:val="left"/>
        <w:outlineLvl w:val="0"/>
      </w:pPr>
      <w:r>
        <w:rPr>
          <w:rFonts w:hint="eastAsia"/>
        </w:rPr>
        <w:t xml:space="preserve"> </w:t>
      </w:r>
    </w:p>
    <w:p>
      <w:pPr>
        <w:pStyle w:val="14"/>
        <w:widowControl/>
        <w:snapToGrid w:val="0"/>
        <w:spacing w:before="158" w:beforeLines="50" w:after="158" w:afterLines="50" w:line="440" w:lineRule="atLeast"/>
        <w:jc w:val="left"/>
        <w:outlineLvl w:val="0"/>
      </w:pPr>
      <w:r>
        <w:rPr>
          <w:rFonts w:hint="eastAsia"/>
        </w:rPr>
        <w:t>投标人：</w:t>
      </w:r>
      <w:r>
        <w:rPr>
          <w:rFonts w:hint="eastAsia"/>
          <w:u w:val="single"/>
        </w:rPr>
        <w:t xml:space="preserve">            （盖章） </w:t>
      </w:r>
    </w:p>
    <w:p>
      <w:pPr>
        <w:pStyle w:val="14"/>
        <w:widowControl/>
        <w:snapToGrid w:val="0"/>
        <w:spacing w:before="158" w:beforeLines="50" w:after="158" w:afterLines="50" w:line="440" w:lineRule="atLeast"/>
        <w:jc w:val="left"/>
        <w:outlineLvl w:val="0"/>
        <w:rPr>
          <w:u w:val="single"/>
        </w:rPr>
      </w:pPr>
      <w:r>
        <w:rPr>
          <w:rFonts w:hint="eastAsia"/>
        </w:rPr>
        <w:t xml:space="preserve"> 法定代表人或其委托代理人：</w:t>
      </w:r>
      <w:r>
        <w:rPr>
          <w:rFonts w:hint="eastAsia"/>
          <w:u w:val="single"/>
        </w:rPr>
        <w:t xml:space="preserve">     （签字或盖章） </w:t>
      </w:r>
    </w:p>
    <w:p>
      <w:pPr>
        <w:pStyle w:val="14"/>
        <w:widowControl/>
        <w:snapToGrid w:val="0"/>
        <w:spacing w:before="158" w:beforeLines="50" w:after="158" w:afterLines="50" w:line="440" w:lineRule="atLeast"/>
        <w:jc w:val="left"/>
        <w:outlineLvl w:val="0"/>
        <w:rPr>
          <w:u w:val="single"/>
        </w:rPr>
      </w:pPr>
      <w:r>
        <w:rPr>
          <w:rFonts w:hint="eastAsia"/>
        </w:rPr>
        <w:t>地址：</w:t>
      </w:r>
      <w:r>
        <w:rPr>
          <w:rFonts w:hint="eastAsia"/>
          <w:u w:val="single"/>
        </w:rPr>
        <w:t xml:space="preserve">                     </w:t>
      </w:r>
    </w:p>
    <w:p>
      <w:pPr>
        <w:pStyle w:val="14"/>
        <w:widowControl/>
        <w:snapToGrid w:val="0"/>
        <w:spacing w:before="158" w:beforeLines="50" w:after="158" w:afterLines="50" w:line="440" w:lineRule="atLeast"/>
        <w:jc w:val="left"/>
        <w:outlineLvl w:val="0"/>
        <w:rPr>
          <w:u w:val="single"/>
        </w:rPr>
      </w:pPr>
      <w:r>
        <w:rPr>
          <w:rFonts w:hint="eastAsia"/>
        </w:rPr>
        <w:t>电话：</w:t>
      </w:r>
      <w:r>
        <w:rPr>
          <w:rFonts w:hint="eastAsia"/>
          <w:u w:val="single"/>
        </w:rPr>
        <w:t xml:space="preserve">                     </w:t>
      </w:r>
    </w:p>
    <w:p>
      <w:pPr>
        <w:pStyle w:val="14"/>
        <w:widowControl/>
        <w:snapToGrid w:val="0"/>
        <w:spacing w:before="158" w:beforeLines="50" w:after="158" w:afterLines="50" w:line="440" w:lineRule="atLeast"/>
        <w:jc w:val="left"/>
        <w:outlineLvl w:val="0"/>
        <w:rPr>
          <w:u w:val="single"/>
        </w:rPr>
      </w:pPr>
      <w:r>
        <w:rPr>
          <w:rFonts w:hint="eastAsia"/>
        </w:rPr>
        <w:t>传真：</w:t>
      </w:r>
      <w:r>
        <w:rPr>
          <w:rFonts w:hint="eastAsia"/>
          <w:u w:val="single"/>
        </w:rPr>
        <w:t xml:space="preserve">                     </w:t>
      </w:r>
    </w:p>
    <w:p>
      <w:pPr>
        <w:pStyle w:val="14"/>
        <w:widowControl/>
        <w:snapToGrid w:val="0"/>
        <w:spacing w:before="158" w:beforeLines="50" w:after="158" w:afterLines="50" w:line="440" w:lineRule="atLeast"/>
        <w:jc w:val="left"/>
        <w:outlineLvl w:val="0"/>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widowControl/>
        <w:snapToGrid w:val="0"/>
        <w:spacing w:before="158" w:beforeLines="50" w:after="158" w:afterLines="50"/>
        <w:jc w:val="left"/>
        <w:outlineLvl w:val="0"/>
        <w:rPr>
          <w:rFonts w:hint="eastAsia"/>
          <w:b/>
          <w:bCs/>
        </w:rPr>
      </w:pPr>
      <w:r>
        <w:rPr>
          <w:rFonts w:hint="eastAsia"/>
        </w:rPr>
        <w:t>3.</w:t>
      </w:r>
      <w:r>
        <w:rPr>
          <w:rFonts w:hint="eastAsia"/>
          <w:sz w:val="18"/>
          <w:szCs w:val="18"/>
        </w:rPr>
        <w:t xml:space="preserve"> </w:t>
      </w:r>
      <w:r>
        <w:rPr>
          <w:rFonts w:hint="eastAsia"/>
        </w:rPr>
        <w:t>3.</w:t>
      </w:r>
      <w:r>
        <w:rPr>
          <w:rFonts w:hint="eastAsia"/>
          <w:b/>
          <w:bCs/>
        </w:rPr>
        <w:t>工程量清单与计价表</w:t>
      </w:r>
    </w:p>
    <w:p>
      <w:pPr>
        <w:pStyle w:val="14"/>
        <w:widowControl/>
        <w:snapToGrid w:val="0"/>
        <w:spacing w:before="158" w:beforeLines="50" w:after="158" w:afterLines="50" w:line="440" w:lineRule="atLeast"/>
        <w:jc w:val="left"/>
        <w:outlineLvl w:val="0"/>
      </w:pPr>
      <w:r>
        <w:rPr>
          <w:rFonts w:hint="eastAsia"/>
        </w:rPr>
        <w:t xml:space="preserve"> </w:t>
      </w:r>
    </w:p>
    <w:p>
      <w:pPr>
        <w:pStyle w:val="14"/>
        <w:snapToGrid w:val="0"/>
        <w:spacing w:before="158" w:beforeLines="50" w:after="158" w:afterLines="50" w:line="440" w:lineRule="atLeast"/>
        <w:jc w:val="left"/>
        <w:outlineLvl w:val="0"/>
      </w:pPr>
      <w:r>
        <w:rPr>
          <w:rFonts w:hint="eastAsia"/>
        </w:rPr>
        <w:t xml:space="preserve"> </w:t>
      </w:r>
    </w:p>
    <w:p>
      <w:pPr>
        <w:pStyle w:val="14"/>
        <w:widowControl/>
        <w:snapToGrid w:val="0"/>
        <w:spacing w:before="158" w:beforeLines="50" w:after="158" w:afterLines="50" w:line="440" w:lineRule="atLeast"/>
        <w:jc w:val="center"/>
        <w:outlineLvl w:val="0"/>
        <w:sectPr>
          <w:pgSz w:w="11906" w:h="16838"/>
          <w:pgMar w:top="1080" w:right="1440" w:bottom="1080" w:left="1440" w:header="851" w:footer="850" w:gutter="0"/>
          <w:cols w:space="720" w:num="1"/>
          <w:titlePg/>
          <w:docGrid w:type="lines" w:linePitch="316" w:charSpace="0"/>
        </w:sectPr>
      </w:pPr>
      <w:r>
        <w:rPr>
          <w:rFonts w:hint="eastAsia"/>
          <w:b/>
          <w:bCs/>
        </w:rPr>
        <w:t>另册</w:t>
      </w:r>
    </w:p>
    <w:p>
      <w:pPr>
        <w:pStyle w:val="14"/>
        <w:widowControl/>
        <w:snapToGrid w:val="0"/>
        <w:spacing w:before="156" w:beforeLines="50" w:after="156" w:afterLines="50" w:line="440" w:lineRule="atLeast"/>
        <w:jc w:val="left"/>
        <w:outlineLvl w:val="0"/>
      </w:pPr>
      <w:r>
        <w:rPr>
          <w:rFonts w:hint="eastAsia"/>
        </w:rPr>
        <w:t>三、投标文件商务技术标格式</w:t>
      </w:r>
      <w:r>
        <w:rPr>
          <w:rFonts w:hint="eastAsia"/>
        </w:rPr>
        <w:tab/>
      </w:r>
    </w:p>
    <w:p>
      <w:pPr>
        <w:pStyle w:val="14"/>
        <w:widowControl/>
        <w:snapToGrid w:val="0"/>
        <w:spacing w:before="156" w:beforeLines="50" w:after="156" w:afterLines="50" w:line="440" w:lineRule="atLeast"/>
        <w:outlineLvl w:val="0"/>
      </w:pPr>
      <w:r>
        <w:rPr>
          <w:rFonts w:hint="eastAsia"/>
        </w:rPr>
        <w:t>1.商务技术标封面</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rPr>
          <w:u w:val="single"/>
        </w:rPr>
      </w:pPr>
      <w:r>
        <w:rPr>
          <w:rFonts w:hint="eastAsia"/>
          <w:u w:val="single"/>
        </w:rPr>
        <w:t xml:space="preserve">                                        </w:t>
      </w:r>
      <w:r>
        <w:rPr>
          <w:rFonts w:hint="eastAsia"/>
        </w:rPr>
        <w:t>工程施工招标</w:t>
      </w:r>
    </w:p>
    <w:p>
      <w:pPr>
        <w:pStyle w:val="14"/>
        <w:widowControl/>
        <w:snapToGrid w:val="0"/>
        <w:spacing w:before="156" w:beforeLines="50" w:after="156" w:afterLines="50" w:line="440" w:lineRule="atLeast"/>
        <w:jc w:val="left"/>
        <w:outlineLvl w:val="0"/>
        <w:rPr>
          <w:b/>
        </w:rPr>
      </w:pPr>
      <w:r>
        <w:rPr>
          <w:rFonts w:hint="eastAsia"/>
          <w:b/>
        </w:rPr>
        <w:t xml:space="preserve"> </w:t>
      </w:r>
    </w:p>
    <w:p>
      <w:pPr>
        <w:pStyle w:val="14"/>
        <w:widowControl/>
        <w:snapToGrid w:val="0"/>
        <w:spacing w:before="156" w:beforeLines="50" w:after="156" w:afterLines="50" w:line="440" w:lineRule="atLeast"/>
        <w:jc w:val="left"/>
        <w:outlineLvl w:val="0"/>
        <w:rPr>
          <w:b/>
        </w:rPr>
      </w:pPr>
      <w:r>
        <w:rPr>
          <w:rFonts w:hint="eastAsia"/>
          <w:b/>
        </w:rPr>
        <w:t xml:space="preserve"> </w:t>
      </w:r>
    </w:p>
    <w:p>
      <w:pPr>
        <w:pStyle w:val="14"/>
        <w:widowControl/>
        <w:snapToGrid w:val="0"/>
        <w:spacing w:before="156" w:beforeLines="50" w:after="156" w:afterLines="50" w:line="440" w:lineRule="atLeast"/>
        <w:jc w:val="center"/>
        <w:outlineLvl w:val="0"/>
        <w:rPr>
          <w:b/>
        </w:rPr>
      </w:pPr>
      <w:r>
        <w:rPr>
          <w:rFonts w:hint="eastAsia"/>
          <w:b/>
        </w:rPr>
        <w:t>投 标 文 件</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rPr>
          <w:b/>
        </w:rPr>
      </w:pPr>
      <w:r>
        <w:rPr>
          <w:rFonts w:hint="eastAsia"/>
          <w:b/>
        </w:rPr>
        <w:t xml:space="preserve"> </w:t>
      </w:r>
    </w:p>
    <w:p>
      <w:pPr>
        <w:pStyle w:val="14"/>
        <w:widowControl/>
        <w:snapToGrid w:val="0"/>
        <w:spacing w:before="156" w:beforeLines="50" w:after="156" w:afterLines="50" w:line="440" w:lineRule="atLeast"/>
        <w:jc w:val="left"/>
        <w:outlineLvl w:val="0"/>
        <w:rPr>
          <w:b/>
        </w:rPr>
      </w:pPr>
    </w:p>
    <w:p>
      <w:pPr>
        <w:pStyle w:val="14"/>
        <w:widowControl/>
        <w:snapToGrid w:val="0"/>
        <w:spacing w:before="156" w:beforeLines="50" w:after="156" w:afterLines="50" w:line="440" w:lineRule="atLeast"/>
        <w:jc w:val="left"/>
        <w:outlineLvl w:val="0"/>
        <w:rPr>
          <w:b/>
        </w:rPr>
      </w:pPr>
      <w:r>
        <w:rPr>
          <w:rFonts w:hint="eastAsia"/>
          <w:b/>
        </w:rPr>
        <w:t xml:space="preserve"> </w:t>
      </w:r>
    </w:p>
    <w:p>
      <w:pPr>
        <w:pStyle w:val="14"/>
        <w:widowControl/>
        <w:snapToGrid w:val="0"/>
        <w:spacing w:before="156" w:beforeLines="50" w:after="156" w:afterLines="50" w:line="440" w:lineRule="atLeast"/>
        <w:jc w:val="left"/>
        <w:outlineLvl w:val="0"/>
        <w:rPr>
          <w:b/>
        </w:rPr>
      </w:pPr>
      <w:r>
        <w:rPr>
          <w:rFonts w:hint="eastAsia"/>
          <w:b/>
        </w:rPr>
        <w:t xml:space="preserve"> </w:t>
      </w:r>
    </w:p>
    <w:p>
      <w:pPr>
        <w:pStyle w:val="14"/>
        <w:widowControl/>
        <w:snapToGrid w:val="0"/>
        <w:spacing w:before="156" w:beforeLines="50" w:after="156" w:afterLines="50" w:line="440" w:lineRule="atLeast"/>
        <w:jc w:val="left"/>
        <w:outlineLvl w:val="0"/>
      </w:pPr>
      <w:r>
        <w:rPr>
          <w:rFonts w:hint="eastAsia"/>
        </w:rPr>
        <w:t>项目名称：</w:t>
      </w:r>
      <w:r>
        <w:rPr>
          <w:rFonts w:hint="eastAsia"/>
          <w:u w:val="single"/>
        </w:rPr>
        <w:t xml:space="preserve">                                       </w:t>
      </w:r>
    </w:p>
    <w:p>
      <w:pPr>
        <w:pStyle w:val="14"/>
        <w:widowControl/>
        <w:snapToGrid w:val="0"/>
        <w:spacing w:before="156" w:beforeLines="50" w:after="156" w:afterLines="50" w:line="440" w:lineRule="atLeast"/>
        <w:jc w:val="left"/>
        <w:outlineLvl w:val="0"/>
      </w:pPr>
      <w:r>
        <w:rPr>
          <w:rFonts w:hint="eastAsia"/>
        </w:rPr>
        <w:t>投标文件内容：</w:t>
      </w:r>
      <w:r>
        <w:rPr>
          <w:rFonts w:hint="eastAsia"/>
          <w:b/>
          <w:u w:val="single"/>
        </w:rPr>
        <w:t xml:space="preserve">    商务技术标                              </w:t>
      </w:r>
    </w:p>
    <w:p>
      <w:pPr>
        <w:pStyle w:val="14"/>
        <w:widowControl/>
        <w:snapToGrid w:val="0"/>
        <w:spacing w:before="156" w:beforeLines="50" w:after="156" w:afterLines="50" w:line="440" w:lineRule="atLeast"/>
        <w:jc w:val="left"/>
        <w:outlineLvl w:val="0"/>
        <w:rPr>
          <w:b/>
          <w:u w:val="single"/>
        </w:rPr>
      </w:pPr>
      <w:r>
        <w:rPr>
          <w:rFonts w:hint="eastAsia"/>
        </w:rPr>
        <w:t>投标人：</w:t>
      </w:r>
      <w:r>
        <w:rPr>
          <w:rFonts w:hint="eastAsia"/>
          <w:u w:val="single"/>
        </w:rPr>
        <w:t xml:space="preserve">                                   （盖章）</w:t>
      </w:r>
    </w:p>
    <w:p>
      <w:pPr>
        <w:pStyle w:val="14"/>
        <w:widowControl/>
        <w:snapToGrid w:val="0"/>
        <w:spacing w:before="156" w:beforeLines="50" w:after="156" w:afterLines="50" w:line="440" w:lineRule="atLeast"/>
        <w:jc w:val="left"/>
        <w:outlineLvl w:val="0"/>
        <w:rPr>
          <w:u w:val="single"/>
        </w:rPr>
      </w:pPr>
      <w:r>
        <w:rPr>
          <w:rFonts w:hint="eastAsia"/>
        </w:rPr>
        <w:t>法定代表人或其委托代理人：</w:t>
      </w:r>
      <w:r>
        <w:rPr>
          <w:rFonts w:hint="eastAsia"/>
          <w:u w:val="single"/>
        </w:rPr>
        <w:t xml:space="preserve">             （签字或盖章） </w:t>
      </w:r>
    </w:p>
    <w:p>
      <w:pPr>
        <w:pStyle w:val="14"/>
        <w:widowControl/>
        <w:snapToGrid w:val="0"/>
        <w:spacing w:before="156" w:beforeLines="50" w:after="156" w:afterLines="50" w:line="440" w:lineRule="atLeast"/>
        <w:jc w:val="left"/>
        <w:outlineLvl w:val="0"/>
      </w:pPr>
      <w:r>
        <w:rPr>
          <w:rFonts w:hint="eastAsia"/>
        </w:rPr>
        <w:t>日期：    年   月    日</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pPr>
      <w:r>
        <w:rPr>
          <w:rFonts w:hint="eastAsia"/>
        </w:rPr>
        <w:t xml:space="preserve"> </w:t>
      </w:r>
    </w:p>
    <w:p>
      <w:pPr>
        <w:pStyle w:val="14"/>
        <w:widowControl/>
        <w:snapToGrid w:val="0"/>
        <w:spacing w:before="156" w:beforeLines="50" w:after="156" w:afterLines="50" w:line="440" w:lineRule="atLeast"/>
        <w:jc w:val="left"/>
        <w:outlineLvl w:val="0"/>
        <w:rPr>
          <w:b/>
          <w:bCs/>
        </w:rPr>
      </w:pPr>
    </w:p>
    <w:p>
      <w:pPr>
        <w:snapToGrid w:val="0"/>
        <w:spacing w:line="400" w:lineRule="exact"/>
        <w:rPr>
          <w:rStyle w:val="86"/>
          <w:rFonts w:hint="eastAsia"/>
          <w:b/>
          <w:bCs/>
        </w:rPr>
      </w:pPr>
      <w:r>
        <w:rPr>
          <w:rStyle w:val="86"/>
          <w:rFonts w:hint="eastAsia" w:cs="宋体"/>
          <w:b/>
          <w:bCs/>
        </w:rPr>
        <w:t>2.商务技术响应偏离表</w:t>
      </w:r>
    </w:p>
    <w:p>
      <w:pPr>
        <w:pStyle w:val="87"/>
        <w:spacing w:line="400" w:lineRule="exact"/>
        <w:ind w:left="0" w:leftChars="0"/>
        <w:rPr>
          <w:rFonts w:hint="eastAsia" w:ascii="宋体" w:hAnsi="宋体"/>
          <w:szCs w:val="21"/>
          <w:u w:val="single"/>
        </w:rPr>
      </w:pPr>
    </w:p>
    <w:tbl>
      <w:tblPr>
        <w:tblStyle w:val="25"/>
        <w:tblW w:w="9115"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045"/>
        <w:gridCol w:w="2221"/>
        <w:gridCol w:w="18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959" w:type="dxa"/>
            <w:vAlign w:val="center"/>
          </w:tcPr>
          <w:p>
            <w:pPr>
              <w:spacing w:line="360" w:lineRule="auto"/>
              <w:jc w:val="center"/>
              <w:rPr>
                <w:rFonts w:hint="eastAsia"/>
                <w:szCs w:val="21"/>
              </w:rPr>
            </w:pPr>
            <w:r>
              <w:rPr>
                <w:rFonts w:hint="eastAsia"/>
                <w:szCs w:val="21"/>
              </w:rPr>
              <w:t>序号</w:t>
            </w:r>
          </w:p>
        </w:tc>
        <w:tc>
          <w:tcPr>
            <w:tcW w:w="4045" w:type="dxa"/>
            <w:vAlign w:val="center"/>
          </w:tcPr>
          <w:p>
            <w:pPr>
              <w:spacing w:line="360" w:lineRule="auto"/>
              <w:jc w:val="center"/>
              <w:rPr>
                <w:rFonts w:hint="eastAsia"/>
                <w:szCs w:val="21"/>
              </w:rPr>
            </w:pPr>
            <w:r>
              <w:rPr>
                <w:rFonts w:hint="eastAsia"/>
                <w:szCs w:val="21"/>
              </w:rPr>
              <w:t>招标文件</w:t>
            </w:r>
          </w:p>
          <w:p>
            <w:pPr>
              <w:spacing w:line="360" w:lineRule="auto"/>
              <w:jc w:val="center"/>
              <w:rPr>
                <w:rFonts w:hint="eastAsia"/>
                <w:szCs w:val="21"/>
              </w:rPr>
            </w:pPr>
            <w:r>
              <w:rPr>
                <w:rFonts w:hint="eastAsia"/>
                <w:szCs w:val="21"/>
              </w:rPr>
              <w:t>商务技术条款要求</w:t>
            </w:r>
          </w:p>
        </w:tc>
        <w:tc>
          <w:tcPr>
            <w:tcW w:w="2221" w:type="dxa"/>
            <w:vAlign w:val="center"/>
          </w:tcPr>
          <w:p>
            <w:pPr>
              <w:spacing w:line="360" w:lineRule="auto"/>
              <w:jc w:val="center"/>
              <w:rPr>
                <w:rFonts w:hint="eastAsia"/>
                <w:szCs w:val="21"/>
              </w:rPr>
            </w:pPr>
            <w:r>
              <w:rPr>
                <w:rFonts w:hint="eastAsia"/>
                <w:szCs w:val="21"/>
              </w:rPr>
              <w:t>响应文件的</w:t>
            </w:r>
          </w:p>
          <w:p>
            <w:pPr>
              <w:spacing w:line="360" w:lineRule="auto"/>
              <w:jc w:val="center"/>
              <w:rPr>
                <w:rFonts w:hint="eastAsia"/>
                <w:szCs w:val="21"/>
              </w:rPr>
            </w:pPr>
            <w:r>
              <w:rPr>
                <w:rFonts w:hint="eastAsia"/>
                <w:szCs w:val="21"/>
              </w:rPr>
              <w:t>响应</w:t>
            </w:r>
          </w:p>
        </w:tc>
        <w:tc>
          <w:tcPr>
            <w:tcW w:w="1890" w:type="dxa"/>
            <w:vAlign w:val="center"/>
          </w:tcPr>
          <w:p>
            <w:pPr>
              <w:spacing w:line="360" w:lineRule="auto"/>
              <w:jc w:val="center"/>
              <w:rPr>
                <w:rFonts w:hint="eastAsia"/>
                <w:szCs w:val="21"/>
              </w:rPr>
            </w:pPr>
            <w:r>
              <w:rPr>
                <w:rFonts w:hint="eastAsia"/>
                <w:szCs w:val="21"/>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9" w:type="dxa"/>
            <w:vAlign w:val="center"/>
          </w:tcPr>
          <w:p>
            <w:pPr>
              <w:spacing w:line="360" w:lineRule="auto"/>
              <w:jc w:val="center"/>
              <w:rPr>
                <w:rFonts w:hint="eastAsia"/>
                <w:szCs w:val="21"/>
              </w:rPr>
            </w:pPr>
          </w:p>
        </w:tc>
        <w:tc>
          <w:tcPr>
            <w:tcW w:w="4045" w:type="dxa"/>
            <w:vAlign w:val="center"/>
          </w:tcPr>
          <w:p>
            <w:pPr>
              <w:spacing w:line="360" w:lineRule="auto"/>
              <w:rPr>
                <w:rFonts w:hint="eastAsia"/>
                <w:szCs w:val="21"/>
              </w:rPr>
            </w:pPr>
          </w:p>
        </w:tc>
        <w:tc>
          <w:tcPr>
            <w:tcW w:w="2221" w:type="dxa"/>
          </w:tcPr>
          <w:p>
            <w:pPr>
              <w:pStyle w:val="87"/>
              <w:spacing w:line="360" w:lineRule="auto"/>
              <w:ind w:left="0" w:leftChars="0"/>
              <w:rPr>
                <w:rFonts w:hint="eastAsia" w:ascii="宋体" w:hAnsi="宋体"/>
                <w:szCs w:val="21"/>
                <w:u w:val="single"/>
              </w:rPr>
            </w:pPr>
          </w:p>
        </w:tc>
        <w:tc>
          <w:tcPr>
            <w:tcW w:w="1890" w:type="dxa"/>
          </w:tcPr>
          <w:p>
            <w:pPr>
              <w:pStyle w:val="87"/>
              <w:spacing w:line="360" w:lineRule="auto"/>
              <w:ind w:left="0" w:leftChars="0"/>
              <w:rPr>
                <w:rFonts w:hint="eastAsia" w:ascii="宋体" w:hAnsi="宋体"/>
                <w:szCs w:val="21"/>
                <w:u w:val="single"/>
              </w:rPr>
            </w:pPr>
          </w:p>
        </w:tc>
      </w:tr>
    </w:tbl>
    <w:p>
      <w:pPr>
        <w:spacing w:line="400" w:lineRule="exact"/>
        <w:rPr>
          <w:rFonts w:hint="eastAsia"/>
          <w:kern w:val="0"/>
          <w:szCs w:val="21"/>
        </w:rPr>
      </w:pPr>
      <w:r>
        <w:rPr>
          <w:kern w:val="0"/>
          <w:szCs w:val="21"/>
        </w:rPr>
        <w:t>投标人：（盖单位公章）</w:t>
      </w:r>
    </w:p>
    <w:p>
      <w:pPr>
        <w:spacing w:line="400" w:lineRule="exact"/>
        <w:rPr>
          <w:rFonts w:hint="eastAsia"/>
          <w:kern w:val="0"/>
          <w:szCs w:val="21"/>
        </w:rPr>
      </w:pPr>
      <w:r>
        <w:rPr>
          <w:kern w:val="0"/>
          <w:szCs w:val="21"/>
        </w:rPr>
        <w:t>法定代表人或其委托代理人：</w:t>
      </w:r>
      <w:r>
        <w:rPr>
          <w:szCs w:val="21"/>
        </w:rPr>
        <w:t>（签字</w:t>
      </w:r>
      <w:r>
        <w:rPr>
          <w:rFonts w:hint="eastAsia"/>
          <w:szCs w:val="21"/>
        </w:rPr>
        <w:t>或盖章</w:t>
      </w:r>
      <w:r>
        <w:rPr>
          <w:szCs w:val="21"/>
        </w:rPr>
        <w:t>）</w:t>
      </w:r>
    </w:p>
    <w:p>
      <w:pPr>
        <w:spacing w:line="400" w:lineRule="exact"/>
        <w:ind w:right="840"/>
        <w:rPr>
          <w:rFonts w:hint="eastAsia"/>
          <w:b/>
          <w:sz w:val="28"/>
          <w:szCs w:val="28"/>
        </w:rPr>
      </w:pPr>
      <w:r>
        <w:rPr>
          <w:szCs w:val="21"/>
        </w:rPr>
        <w:t>日期：年</w:t>
      </w:r>
      <w:r>
        <w:rPr>
          <w:rFonts w:hint="eastAsia"/>
          <w:szCs w:val="21"/>
        </w:rPr>
        <w:t xml:space="preserve"> </w:t>
      </w:r>
      <w:r>
        <w:rPr>
          <w:szCs w:val="21"/>
        </w:rPr>
        <w:t>月</w:t>
      </w:r>
      <w:r>
        <w:rPr>
          <w:rFonts w:hint="eastAsia"/>
          <w:szCs w:val="21"/>
        </w:rPr>
        <w:t xml:space="preserve"> 日</w:t>
      </w:r>
    </w:p>
    <w:p>
      <w:pPr>
        <w:rPr>
          <w:rFonts w:hint="eastAsia"/>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snapToGrid w:val="0"/>
        <w:spacing w:before="156" w:beforeLines="50" w:after="156" w:afterLines="50" w:line="440" w:lineRule="atLeast"/>
        <w:jc w:val="left"/>
        <w:outlineLvl w:val="0"/>
        <w:rPr>
          <w:b/>
          <w:bCs/>
        </w:rPr>
      </w:pPr>
    </w:p>
    <w:p>
      <w:pPr>
        <w:pStyle w:val="14"/>
        <w:widowControl/>
        <w:snapToGrid w:val="0"/>
        <w:spacing w:before="156" w:beforeLines="50" w:after="156" w:afterLines="50" w:line="440" w:lineRule="atLeast"/>
        <w:jc w:val="left"/>
        <w:outlineLvl w:val="0"/>
      </w:pPr>
    </w:p>
    <w:p>
      <w:pPr>
        <w:pStyle w:val="14"/>
        <w:widowControl/>
        <w:snapToGrid w:val="0"/>
        <w:spacing w:before="156" w:beforeLines="50" w:after="156" w:afterLines="50" w:line="440" w:lineRule="atLeast"/>
        <w:jc w:val="left"/>
        <w:outlineLvl w:val="0"/>
      </w:pPr>
      <w:r>
        <w:rPr>
          <w:rFonts w:hint="eastAsia"/>
        </w:rPr>
        <w:t>3.材料设备品牌</w:t>
      </w:r>
    </w:p>
    <w:p>
      <w:pPr>
        <w:wordWrap w:val="0"/>
        <w:topLinePunct/>
        <w:jc w:val="center"/>
        <w:rPr>
          <w:rFonts w:ascii="Arial" w:hAnsi="Arial" w:cs="Arial"/>
          <w:b/>
        </w:rPr>
      </w:pPr>
      <w:r>
        <w:rPr>
          <w:rFonts w:ascii="Arial" w:hAnsi="Arial" w:cs="Arial"/>
          <w:b/>
        </w:rPr>
        <w:t>投标材料设备品牌</w:t>
      </w:r>
    </w:p>
    <w:p>
      <w:pPr>
        <w:wordWrap w:val="0"/>
        <w:topLinePunct/>
        <w:jc w:val="center"/>
        <w:rPr>
          <w:rFonts w:ascii="Arial" w:hAnsi="Arial" w:cs="Arial"/>
          <w:bCs/>
        </w:rPr>
      </w:pPr>
      <w:r>
        <w:rPr>
          <w:rFonts w:hint="eastAsia" w:hAnsi="Courier New"/>
          <w:szCs w:val="21"/>
        </w:rPr>
        <w:t xml:space="preserve"> </w:t>
      </w:r>
    </w:p>
    <w:tbl>
      <w:tblPr>
        <w:tblStyle w:val="25"/>
        <w:tblW w:w="48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898"/>
        <w:gridCol w:w="3080"/>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5" w:type="pct"/>
            <w:vAlign w:val="center"/>
          </w:tcPr>
          <w:p>
            <w:pPr>
              <w:widowControl/>
              <w:adjustRightInd/>
              <w:spacing w:line="240" w:lineRule="auto"/>
              <w:jc w:val="center"/>
              <w:textAlignment w:val="auto"/>
              <w:rPr>
                <w:rFonts w:hint="eastAsia"/>
                <w:sz w:val="18"/>
                <w:szCs w:val="18"/>
              </w:rPr>
            </w:pPr>
            <w:r>
              <w:rPr>
                <w:rFonts w:hint="eastAsia"/>
                <w:sz w:val="18"/>
                <w:szCs w:val="18"/>
              </w:rPr>
              <w:t>序号</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设备名称</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推荐品牌</w:t>
            </w:r>
          </w:p>
        </w:tc>
        <w:tc>
          <w:tcPr>
            <w:tcW w:w="1378" w:type="pct"/>
            <w:vAlign w:val="center"/>
          </w:tcPr>
          <w:p>
            <w:pPr>
              <w:widowControl/>
              <w:adjustRightInd/>
              <w:spacing w:line="240" w:lineRule="auto"/>
              <w:jc w:val="center"/>
              <w:textAlignment w:val="auto"/>
              <w:rPr>
                <w:rFonts w:hint="eastAsia"/>
                <w:sz w:val="18"/>
                <w:szCs w:val="18"/>
              </w:rPr>
            </w:pPr>
            <w:r>
              <w:rPr>
                <w:rFonts w:hint="eastAsia"/>
                <w:sz w:val="18"/>
                <w:szCs w:val="18"/>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1</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人脸门禁一体机</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捷顺、立方、富士或相当于</w:t>
            </w: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2</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开关电源</w:t>
            </w:r>
          </w:p>
        </w:tc>
        <w:tc>
          <w:tcPr>
            <w:tcW w:w="1641" w:type="pct"/>
            <w:vAlign w:val="center"/>
          </w:tcPr>
          <w:p>
            <w:pPr>
              <w:widowControl/>
              <w:adjustRightInd/>
              <w:spacing w:line="240" w:lineRule="auto"/>
              <w:jc w:val="center"/>
              <w:textAlignment w:val="auto"/>
              <w:rPr>
                <w:rFonts w:hint="eastAsia"/>
                <w:sz w:val="18"/>
                <w:szCs w:val="18"/>
              </w:rPr>
            </w:pP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3</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开门按钮</w:t>
            </w:r>
          </w:p>
        </w:tc>
        <w:tc>
          <w:tcPr>
            <w:tcW w:w="1641" w:type="pct"/>
            <w:vAlign w:val="center"/>
          </w:tcPr>
          <w:p>
            <w:pPr>
              <w:widowControl/>
              <w:adjustRightInd/>
              <w:spacing w:line="240" w:lineRule="auto"/>
              <w:jc w:val="center"/>
              <w:textAlignment w:val="auto"/>
              <w:rPr>
                <w:rFonts w:hint="eastAsia"/>
                <w:sz w:val="18"/>
                <w:szCs w:val="18"/>
              </w:rPr>
            </w:pP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4</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电动闭门器</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皇冠、富尔达、多玛</w:t>
            </w: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5</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双门磁力锁</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捷顺、立方、富士或相当于</w:t>
            </w: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6</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支架</w:t>
            </w:r>
          </w:p>
        </w:tc>
        <w:tc>
          <w:tcPr>
            <w:tcW w:w="1641" w:type="pct"/>
            <w:vAlign w:val="center"/>
          </w:tcPr>
          <w:p>
            <w:pPr>
              <w:widowControl/>
              <w:adjustRightInd/>
              <w:spacing w:line="240" w:lineRule="auto"/>
              <w:jc w:val="center"/>
              <w:textAlignment w:val="auto"/>
              <w:rPr>
                <w:rFonts w:hint="eastAsia"/>
                <w:sz w:val="18"/>
                <w:szCs w:val="18"/>
              </w:rPr>
            </w:pP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7</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感应开关</w:t>
            </w:r>
          </w:p>
        </w:tc>
        <w:tc>
          <w:tcPr>
            <w:tcW w:w="1641" w:type="pct"/>
            <w:vAlign w:val="center"/>
          </w:tcPr>
          <w:p>
            <w:pPr>
              <w:widowControl/>
              <w:adjustRightInd/>
              <w:spacing w:line="240" w:lineRule="auto"/>
              <w:jc w:val="center"/>
              <w:textAlignment w:val="auto"/>
              <w:rPr>
                <w:rFonts w:hint="eastAsia"/>
                <w:sz w:val="18"/>
                <w:szCs w:val="18"/>
              </w:rPr>
            </w:pP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8</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8口交换机</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华为、锐捷、H3C</w:t>
            </w: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tcPr>
          <w:p>
            <w:pPr>
              <w:widowControl/>
              <w:adjustRightInd/>
              <w:spacing w:line="240" w:lineRule="auto"/>
              <w:jc w:val="center"/>
              <w:textAlignment w:val="auto"/>
              <w:rPr>
                <w:rFonts w:hint="eastAsia"/>
                <w:sz w:val="18"/>
                <w:szCs w:val="18"/>
              </w:rPr>
            </w:pPr>
            <w:r>
              <w:rPr>
                <w:rFonts w:hint="eastAsia"/>
                <w:sz w:val="18"/>
                <w:szCs w:val="18"/>
              </w:rPr>
              <w:t>9</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自动地弹簧</w:t>
            </w:r>
          </w:p>
        </w:tc>
        <w:tc>
          <w:tcPr>
            <w:tcW w:w="1641" w:type="pct"/>
            <w:vAlign w:val="center"/>
          </w:tcPr>
          <w:p>
            <w:pPr>
              <w:widowControl/>
              <w:adjustRightInd/>
              <w:spacing w:line="240" w:lineRule="auto"/>
              <w:jc w:val="center"/>
              <w:textAlignment w:val="auto"/>
              <w:rPr>
                <w:rFonts w:hint="eastAsia"/>
                <w:sz w:val="18"/>
                <w:szCs w:val="18"/>
              </w:rPr>
            </w:pP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vAlign w:val="center"/>
          </w:tcPr>
          <w:p>
            <w:pPr>
              <w:widowControl/>
              <w:adjustRightInd/>
              <w:spacing w:line="240" w:lineRule="auto"/>
              <w:ind w:firstLine="180" w:firstLineChars="100"/>
              <w:textAlignment w:val="auto"/>
              <w:rPr>
                <w:rFonts w:hint="eastAsia"/>
                <w:color w:val="000000"/>
                <w:sz w:val="18"/>
                <w:szCs w:val="18"/>
              </w:rPr>
            </w:pPr>
            <w:r>
              <w:rPr>
                <w:rFonts w:hint="eastAsia"/>
                <w:color w:val="000000"/>
                <w:sz w:val="18"/>
                <w:szCs w:val="18"/>
              </w:rPr>
              <w:t>10</w:t>
            </w:r>
          </w:p>
        </w:tc>
        <w:tc>
          <w:tcPr>
            <w:tcW w:w="1544" w:type="pct"/>
            <w:vAlign w:val="center"/>
          </w:tcPr>
          <w:p>
            <w:pPr>
              <w:widowControl/>
              <w:adjustRightInd/>
              <w:spacing w:line="240" w:lineRule="auto"/>
              <w:ind w:firstLine="900" w:firstLineChars="500"/>
              <w:textAlignment w:val="auto"/>
              <w:rPr>
                <w:rFonts w:hint="eastAsia"/>
                <w:sz w:val="18"/>
                <w:szCs w:val="18"/>
              </w:rPr>
            </w:pPr>
            <w:r>
              <w:rPr>
                <w:rFonts w:hint="eastAsia"/>
                <w:color w:val="000000"/>
                <w:sz w:val="18"/>
                <w:szCs w:val="18"/>
              </w:rPr>
              <w:t>钢制防火门</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万嘉、盼盼、步阳或相当于</w:t>
            </w:r>
          </w:p>
        </w:tc>
        <w:tc>
          <w:tcPr>
            <w:tcW w:w="1378" w:type="pct"/>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vAlign w:val="center"/>
          </w:tcPr>
          <w:p>
            <w:pPr>
              <w:widowControl/>
              <w:adjustRightInd/>
              <w:spacing w:line="240" w:lineRule="auto"/>
              <w:jc w:val="center"/>
              <w:textAlignment w:val="auto"/>
              <w:rPr>
                <w:rFonts w:hint="eastAsia"/>
                <w:sz w:val="18"/>
                <w:szCs w:val="18"/>
              </w:rPr>
            </w:pPr>
            <w:r>
              <w:rPr>
                <w:rFonts w:hint="eastAsia"/>
                <w:sz w:val="18"/>
                <w:szCs w:val="18"/>
              </w:rPr>
              <w:t>11</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通道人脸组件</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捷顺、立方、富士或相当于</w:t>
            </w: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vAlign w:val="center"/>
          </w:tcPr>
          <w:p>
            <w:pPr>
              <w:widowControl/>
              <w:adjustRightInd/>
              <w:spacing w:line="240" w:lineRule="auto"/>
              <w:jc w:val="center"/>
              <w:textAlignment w:val="auto"/>
              <w:rPr>
                <w:rFonts w:hint="eastAsia"/>
                <w:sz w:val="18"/>
                <w:szCs w:val="18"/>
              </w:rPr>
            </w:pPr>
            <w:r>
              <w:rPr>
                <w:rFonts w:hint="eastAsia"/>
                <w:sz w:val="18"/>
                <w:szCs w:val="18"/>
              </w:rPr>
              <w:t>12</w:t>
            </w:r>
          </w:p>
        </w:tc>
        <w:tc>
          <w:tcPr>
            <w:tcW w:w="1544" w:type="pct"/>
          </w:tcPr>
          <w:p>
            <w:pPr>
              <w:widowControl/>
              <w:adjustRightInd/>
              <w:spacing w:line="240" w:lineRule="auto"/>
              <w:jc w:val="center"/>
              <w:textAlignment w:val="auto"/>
              <w:rPr>
                <w:rFonts w:hint="eastAsia"/>
                <w:sz w:val="18"/>
                <w:szCs w:val="18"/>
              </w:rPr>
            </w:pPr>
            <w:r>
              <w:rPr>
                <w:rFonts w:hint="eastAsia"/>
                <w:sz w:val="18"/>
                <w:szCs w:val="18"/>
              </w:rPr>
              <w:t>闸机：人员通道（单机芯左边道、双机芯中间道、单机芯右边道）</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捷顺、立方、富士或相当于</w:t>
            </w: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vAlign w:val="center"/>
          </w:tcPr>
          <w:p>
            <w:pPr>
              <w:widowControl/>
              <w:adjustRightInd/>
              <w:spacing w:line="240" w:lineRule="auto"/>
              <w:jc w:val="center"/>
              <w:textAlignment w:val="auto"/>
              <w:rPr>
                <w:rFonts w:hint="eastAsia"/>
                <w:sz w:val="18"/>
                <w:szCs w:val="18"/>
              </w:rPr>
            </w:pPr>
            <w:r>
              <w:rPr>
                <w:rFonts w:hint="eastAsia"/>
                <w:sz w:val="18"/>
                <w:szCs w:val="18"/>
              </w:rPr>
              <w:t>13</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门禁管理系统平台</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捷顺、立方、富士或相当于</w:t>
            </w: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vAlign w:val="center"/>
          </w:tcPr>
          <w:p>
            <w:pPr>
              <w:widowControl/>
              <w:adjustRightInd/>
              <w:spacing w:line="240" w:lineRule="auto"/>
              <w:jc w:val="center"/>
              <w:textAlignment w:val="auto"/>
              <w:rPr>
                <w:rFonts w:hint="eastAsia"/>
                <w:sz w:val="18"/>
                <w:szCs w:val="18"/>
              </w:rPr>
            </w:pPr>
            <w:r>
              <w:rPr>
                <w:rFonts w:hint="eastAsia"/>
                <w:sz w:val="18"/>
                <w:szCs w:val="18"/>
              </w:rPr>
              <w:t>14</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管线</w:t>
            </w:r>
          </w:p>
        </w:tc>
        <w:tc>
          <w:tcPr>
            <w:tcW w:w="1641" w:type="pct"/>
          </w:tcPr>
          <w:p>
            <w:pPr>
              <w:widowControl/>
              <w:adjustRightInd/>
              <w:spacing w:line="240" w:lineRule="auto"/>
              <w:jc w:val="center"/>
              <w:textAlignment w:val="auto"/>
              <w:rPr>
                <w:rFonts w:hint="eastAsia"/>
                <w:sz w:val="18"/>
                <w:szCs w:val="18"/>
              </w:rPr>
            </w:pP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435" w:type="pct"/>
            <w:vAlign w:val="center"/>
          </w:tcPr>
          <w:p>
            <w:pPr>
              <w:widowControl/>
              <w:adjustRightInd/>
              <w:spacing w:line="240" w:lineRule="auto"/>
              <w:jc w:val="center"/>
              <w:textAlignment w:val="auto"/>
              <w:rPr>
                <w:rFonts w:hint="eastAsia"/>
                <w:sz w:val="18"/>
                <w:szCs w:val="18"/>
              </w:rPr>
            </w:pPr>
            <w:r>
              <w:rPr>
                <w:rFonts w:hint="eastAsia"/>
                <w:sz w:val="18"/>
                <w:szCs w:val="18"/>
              </w:rPr>
              <w:t>15</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电动装置</w:t>
            </w:r>
          </w:p>
        </w:tc>
        <w:tc>
          <w:tcPr>
            <w:tcW w:w="1641" w:type="pct"/>
            <w:vAlign w:val="center"/>
          </w:tcPr>
          <w:p>
            <w:pPr>
              <w:widowControl/>
              <w:adjustRightInd/>
              <w:spacing w:line="240" w:lineRule="auto"/>
              <w:jc w:val="center"/>
              <w:textAlignment w:val="auto"/>
              <w:rPr>
                <w:rFonts w:hint="eastAsia"/>
                <w:sz w:val="18"/>
                <w:szCs w:val="18"/>
              </w:rPr>
            </w:pPr>
          </w:p>
        </w:tc>
        <w:tc>
          <w:tcPr>
            <w:tcW w:w="1378" w:type="pct"/>
            <w:vAlign w:val="center"/>
          </w:tcPr>
          <w:p>
            <w:pPr>
              <w:widowControl/>
              <w:adjustRightInd/>
              <w:spacing w:line="240" w:lineRule="auto"/>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35" w:type="pct"/>
            <w:vAlign w:val="center"/>
          </w:tcPr>
          <w:p>
            <w:pPr>
              <w:widowControl/>
              <w:adjustRightInd/>
              <w:spacing w:line="240" w:lineRule="auto"/>
              <w:jc w:val="center"/>
              <w:textAlignment w:val="auto"/>
              <w:rPr>
                <w:rFonts w:hint="eastAsia"/>
                <w:sz w:val="18"/>
                <w:szCs w:val="18"/>
              </w:rPr>
            </w:pPr>
            <w:r>
              <w:rPr>
                <w:rFonts w:hint="eastAsia"/>
                <w:sz w:val="18"/>
                <w:szCs w:val="18"/>
              </w:rPr>
              <w:t>16</w:t>
            </w:r>
          </w:p>
        </w:tc>
        <w:tc>
          <w:tcPr>
            <w:tcW w:w="1544" w:type="pct"/>
            <w:vAlign w:val="center"/>
          </w:tcPr>
          <w:p>
            <w:pPr>
              <w:widowControl/>
              <w:adjustRightInd/>
              <w:spacing w:line="240" w:lineRule="auto"/>
              <w:jc w:val="center"/>
              <w:textAlignment w:val="auto"/>
              <w:rPr>
                <w:rFonts w:hint="eastAsia"/>
                <w:sz w:val="18"/>
                <w:szCs w:val="18"/>
              </w:rPr>
            </w:pPr>
            <w:r>
              <w:rPr>
                <w:rFonts w:hint="eastAsia"/>
                <w:sz w:val="18"/>
                <w:szCs w:val="18"/>
              </w:rPr>
              <w:t>服务器</w:t>
            </w:r>
          </w:p>
        </w:tc>
        <w:tc>
          <w:tcPr>
            <w:tcW w:w="1641" w:type="pct"/>
            <w:vAlign w:val="center"/>
          </w:tcPr>
          <w:p>
            <w:pPr>
              <w:widowControl/>
              <w:adjustRightInd/>
              <w:spacing w:line="240" w:lineRule="auto"/>
              <w:jc w:val="center"/>
              <w:textAlignment w:val="auto"/>
              <w:rPr>
                <w:rFonts w:hint="eastAsia"/>
                <w:sz w:val="18"/>
                <w:szCs w:val="18"/>
              </w:rPr>
            </w:pPr>
            <w:r>
              <w:rPr>
                <w:rFonts w:hint="eastAsia"/>
                <w:sz w:val="18"/>
                <w:szCs w:val="18"/>
              </w:rPr>
              <w:t>联想、浪潮、华为或相当于</w:t>
            </w:r>
          </w:p>
        </w:tc>
        <w:tc>
          <w:tcPr>
            <w:tcW w:w="1378" w:type="pct"/>
            <w:vAlign w:val="center"/>
          </w:tcPr>
          <w:p>
            <w:pPr>
              <w:widowControl/>
              <w:adjustRightInd/>
              <w:spacing w:line="240" w:lineRule="auto"/>
              <w:jc w:val="center"/>
              <w:textAlignment w:val="auto"/>
              <w:rPr>
                <w:rFonts w:hint="eastAsia"/>
                <w:sz w:val="18"/>
                <w:szCs w:val="18"/>
              </w:rPr>
            </w:pPr>
          </w:p>
        </w:tc>
      </w:tr>
    </w:tbl>
    <w:p>
      <w:pPr>
        <w:pStyle w:val="14"/>
        <w:widowControl/>
        <w:spacing w:before="156" w:beforeLines="50" w:after="156" w:afterLines="50" w:line="440" w:lineRule="atLeast"/>
        <w:jc w:val="left"/>
        <w:outlineLvl w:val="0"/>
      </w:pPr>
      <w:r>
        <w:rPr>
          <w:rFonts w:hint="eastAsia"/>
        </w:rPr>
        <w:t xml:space="preserve">投标人：（盖章）               </w:t>
      </w:r>
    </w:p>
    <w:p>
      <w:pPr>
        <w:pStyle w:val="14"/>
        <w:widowControl/>
        <w:spacing w:before="156" w:beforeLines="50" w:after="156" w:afterLines="50" w:line="440" w:lineRule="atLeast"/>
        <w:jc w:val="left"/>
        <w:outlineLvl w:val="0"/>
      </w:pPr>
      <w:r>
        <w:rPr>
          <w:rFonts w:hint="eastAsia"/>
        </w:rPr>
        <w:t>法定代表人或其委托代理人：（签字或盖章）</w:t>
      </w:r>
    </w:p>
    <w:p>
      <w:pPr>
        <w:pStyle w:val="14"/>
        <w:widowControl/>
        <w:spacing w:before="156" w:beforeLines="50" w:after="156" w:afterLines="50" w:line="440" w:lineRule="atLeast"/>
        <w:jc w:val="left"/>
        <w:outlineLvl w:val="0"/>
        <w:rPr>
          <w:b/>
        </w:rPr>
      </w:pPr>
      <w:r>
        <w:rPr>
          <w:rFonts w:hint="eastAsia"/>
        </w:rPr>
        <w:t>日期：  年    月     日</w:t>
      </w:r>
    </w:p>
    <w:p>
      <w:pPr>
        <w:widowControl/>
        <w:adjustRightInd/>
        <w:spacing w:line="240" w:lineRule="auto"/>
        <w:jc w:val="left"/>
        <w:textAlignment w:val="auto"/>
        <w:rPr>
          <w:rFonts w:hAnsi="Courier New"/>
          <w:b/>
          <w:bCs/>
          <w:szCs w:val="21"/>
        </w:rPr>
      </w:pPr>
      <w:r>
        <w:rPr>
          <w:b/>
          <w:bCs/>
        </w:rPr>
        <w:br w:type="page"/>
      </w:r>
    </w:p>
    <w:p>
      <w:pPr>
        <w:pStyle w:val="14"/>
        <w:snapToGrid w:val="0"/>
        <w:spacing w:before="156" w:beforeLines="50" w:after="156" w:afterLines="50" w:line="440" w:lineRule="atLeast"/>
        <w:jc w:val="left"/>
        <w:outlineLvl w:val="0"/>
      </w:pPr>
      <w:r>
        <w:rPr>
          <w:rFonts w:hint="eastAsia"/>
          <w:b/>
          <w:bCs/>
        </w:rPr>
        <w:t>4、</w:t>
      </w:r>
      <w:r>
        <w:rPr>
          <w:rFonts w:hint="eastAsia" w:cs="宋体"/>
        </w:rPr>
        <w:t>根据投标人综合实力（营业收入、资质等级、</w:t>
      </w:r>
      <w:r>
        <w:rPr>
          <w:rFonts w:hint="eastAsia"/>
        </w:rPr>
        <w:t>行业荣誉（如“守合同重信用”企业等）</w:t>
      </w:r>
      <w:r>
        <w:rPr>
          <w:rFonts w:hint="eastAsia" w:cs="宋体"/>
        </w:rPr>
        <w:t>），综合履约能力等酌情评分。</w:t>
      </w:r>
    </w:p>
    <w:p>
      <w:pPr>
        <w:pStyle w:val="14"/>
        <w:widowControl/>
        <w:snapToGrid w:val="0"/>
        <w:spacing w:before="156" w:beforeLines="50" w:after="156" w:afterLines="50" w:line="440" w:lineRule="atLeast"/>
        <w:outlineLvl w:val="0"/>
        <w:rPr>
          <w:b/>
          <w:bCs/>
        </w:rPr>
      </w:pPr>
    </w:p>
    <w:p>
      <w:pPr>
        <w:pStyle w:val="14"/>
        <w:snapToGrid w:val="0"/>
        <w:spacing w:before="156" w:beforeLines="50" w:after="156" w:afterLines="50" w:line="440" w:lineRule="atLeast"/>
        <w:jc w:val="left"/>
        <w:outlineLvl w:val="0"/>
      </w:pPr>
      <w:r>
        <w:rPr>
          <w:rFonts w:hint="eastAsia"/>
        </w:rPr>
        <w:t xml:space="preserve"> </w:t>
      </w:r>
    </w:p>
    <w:p>
      <w:pPr>
        <w:pStyle w:val="14"/>
        <w:snapToGrid w:val="0"/>
        <w:spacing w:before="156" w:beforeLines="50" w:after="156" w:afterLines="50" w:line="440" w:lineRule="atLeast"/>
        <w:jc w:val="left"/>
        <w:outlineLvl w:val="0"/>
        <w:rPr>
          <w:b/>
          <w:bCs/>
        </w:rPr>
      </w:pPr>
      <w:r>
        <w:rPr>
          <w:rFonts w:hint="eastAsia"/>
          <w:b/>
          <w:bCs/>
        </w:rPr>
        <w:t xml:space="preserve"> </w:t>
      </w:r>
    </w:p>
    <w:p>
      <w:pPr>
        <w:pStyle w:val="14"/>
        <w:widowControl/>
        <w:snapToGrid w:val="0"/>
        <w:spacing w:before="156" w:beforeLines="50" w:after="156" w:afterLines="50" w:line="440" w:lineRule="atLeast"/>
        <w:jc w:val="left"/>
        <w:outlineLvl w:val="0"/>
        <w:rPr>
          <w:b/>
          <w:bCs/>
        </w:rPr>
      </w:pPr>
      <w:r>
        <w:rPr>
          <w:rFonts w:hint="eastAsia"/>
          <w:b/>
          <w:bCs/>
        </w:rPr>
        <w:t xml:space="preserve"> </w:t>
      </w:r>
    </w:p>
    <w:p>
      <w:pPr>
        <w:pStyle w:val="14"/>
        <w:widowControl/>
        <w:snapToGrid w:val="0"/>
        <w:spacing w:before="156" w:beforeLines="50" w:after="156" w:afterLines="50" w:line="440" w:lineRule="atLeast"/>
        <w:jc w:val="left"/>
        <w:outlineLvl w:val="0"/>
        <w:rPr>
          <w:b/>
          <w:bCs/>
        </w:rPr>
      </w:pPr>
      <w:r>
        <w:rPr>
          <w:rFonts w:hint="eastAsia"/>
          <w:b/>
          <w:bCs/>
        </w:rPr>
        <w:t xml:space="preserve"> </w:t>
      </w:r>
    </w:p>
    <w:p>
      <w:pPr>
        <w:pStyle w:val="14"/>
        <w:widowControl/>
        <w:snapToGrid w:val="0"/>
        <w:spacing w:before="156" w:beforeLines="50" w:after="156" w:afterLines="50" w:line="440" w:lineRule="atLeast"/>
        <w:jc w:val="left"/>
        <w:outlineLvl w:val="0"/>
        <w:rPr>
          <w:b/>
          <w:bCs/>
        </w:rPr>
      </w:pPr>
      <w:r>
        <w:rPr>
          <w:rFonts w:hint="eastAsia"/>
          <w:b/>
          <w:bCs/>
        </w:rPr>
        <w:t xml:space="preserve"> </w:t>
      </w:r>
    </w:p>
    <w:p>
      <w:pPr>
        <w:pStyle w:val="14"/>
        <w:widowControl/>
        <w:snapToGrid w:val="0"/>
        <w:spacing w:before="156" w:beforeLines="50" w:after="156" w:afterLines="50" w:line="440" w:lineRule="atLeast"/>
        <w:jc w:val="left"/>
        <w:outlineLvl w:val="0"/>
      </w:pPr>
      <w:r>
        <w:rPr>
          <w:rFonts w:hint="eastAsia"/>
          <w:b/>
          <w:bCs/>
        </w:rPr>
        <w:t xml:space="preserve"> </w:t>
      </w:r>
    </w:p>
    <w:p>
      <w:pPr>
        <w:widowControl/>
        <w:adjustRightInd/>
        <w:spacing w:line="240" w:lineRule="auto"/>
        <w:jc w:val="left"/>
        <w:textAlignment w:val="auto"/>
        <w:rPr>
          <w:rFonts w:hAnsi="Courier New"/>
          <w:b/>
          <w:szCs w:val="21"/>
        </w:rPr>
      </w:pPr>
      <w:r>
        <w:rPr>
          <w:b/>
        </w:rPr>
        <w:br w:type="page"/>
      </w:r>
    </w:p>
    <w:p>
      <w:pPr>
        <w:pStyle w:val="14"/>
        <w:widowControl/>
        <w:adjustRightInd/>
        <w:snapToGrid w:val="0"/>
        <w:spacing w:before="156" w:beforeLines="50" w:after="156" w:afterLines="50" w:line="440" w:lineRule="atLeast"/>
        <w:jc w:val="left"/>
        <w:textAlignment w:val="auto"/>
        <w:outlineLvl w:val="0"/>
      </w:pPr>
      <w:r>
        <w:rPr>
          <w:rFonts w:hint="eastAsia"/>
          <w:b/>
        </w:rPr>
        <w:t>5.</w:t>
      </w:r>
      <w:r>
        <w:rPr>
          <w:rFonts w:hint="eastAsia"/>
        </w:rPr>
        <w:t xml:space="preserve"> 根据投标人提供的现场工作计划安排及施工方案</w:t>
      </w:r>
    </w:p>
    <w:p>
      <w:pPr>
        <w:pStyle w:val="14"/>
        <w:widowControl/>
        <w:snapToGrid w:val="0"/>
        <w:spacing w:before="156" w:beforeLines="50" w:after="156" w:afterLines="50" w:line="440" w:lineRule="atLeast"/>
        <w:outlineLvl w:val="0"/>
        <w:rPr>
          <w:b/>
          <w:bCs/>
        </w:rPr>
      </w:pPr>
    </w:p>
    <w:p>
      <w:pPr>
        <w:widowControl/>
        <w:adjustRightInd/>
        <w:spacing w:line="240" w:lineRule="auto"/>
        <w:jc w:val="left"/>
        <w:textAlignment w:val="auto"/>
        <w:rPr>
          <w:rFonts w:hAnsi="Courier New"/>
          <w:b/>
          <w:bCs/>
          <w:szCs w:val="21"/>
        </w:rPr>
      </w:pPr>
      <w:r>
        <w:rPr>
          <w:b/>
          <w:bCs/>
        </w:rPr>
        <w:br w:type="page"/>
      </w:r>
    </w:p>
    <w:p>
      <w:pPr>
        <w:widowControl/>
        <w:adjustRightInd/>
        <w:spacing w:line="240" w:lineRule="auto"/>
        <w:jc w:val="left"/>
        <w:textAlignment w:val="auto"/>
        <w:rPr>
          <w:rFonts w:hint="eastAsia"/>
          <w:bCs/>
          <w:szCs w:val="21"/>
        </w:rPr>
      </w:pPr>
      <w:r>
        <w:rPr>
          <w:rFonts w:hint="eastAsia"/>
          <w:b/>
          <w:bCs/>
        </w:rPr>
        <w:t>6.</w:t>
      </w:r>
      <w:r>
        <w:rPr>
          <w:bCs/>
          <w:szCs w:val="21"/>
        </w:rPr>
        <w:t xml:space="preserve"> </w:t>
      </w:r>
      <w:r>
        <w:rPr>
          <w:rFonts w:hint="eastAsia"/>
          <w:bCs/>
          <w:szCs w:val="21"/>
        </w:rPr>
        <w:t>标“</w:t>
      </w:r>
      <w:r>
        <w:rPr>
          <w:rFonts w:cs="宋体"/>
          <w:color w:val="000000"/>
          <w:kern w:val="0"/>
          <w:sz w:val="18"/>
          <w:szCs w:val="18"/>
        </w:rPr>
        <w:t>▲</w:t>
      </w:r>
      <w:r>
        <w:rPr>
          <w:rFonts w:hint="eastAsia"/>
          <w:bCs/>
          <w:szCs w:val="21"/>
        </w:rPr>
        <w:t>”产品参数(要求提供产品参数证明并加盖原厂公章，未提供不得分)</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48"/>
        <w:gridCol w:w="2032"/>
        <w:gridCol w:w="1743"/>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6" w:type="pct"/>
          </w:tcPr>
          <w:p>
            <w:pPr>
              <w:widowControl/>
              <w:adjustRightInd/>
              <w:spacing w:line="240" w:lineRule="auto"/>
              <w:jc w:val="center"/>
              <w:textAlignment w:val="auto"/>
              <w:rPr>
                <w:rFonts w:hint="eastAsia" w:cs="宋体"/>
                <w:bCs/>
                <w:szCs w:val="21"/>
              </w:rPr>
            </w:pPr>
            <w:bookmarkStart w:id="154" w:name="_Hlk220921757"/>
            <w:r>
              <w:rPr>
                <w:rFonts w:hint="eastAsia" w:cs="宋体"/>
                <w:bCs/>
                <w:szCs w:val="21"/>
              </w:rPr>
              <w:t>序号</w:t>
            </w:r>
          </w:p>
        </w:tc>
        <w:tc>
          <w:tcPr>
            <w:tcW w:w="1583" w:type="pct"/>
          </w:tcPr>
          <w:p>
            <w:pPr>
              <w:widowControl/>
              <w:adjustRightInd/>
              <w:spacing w:line="240" w:lineRule="auto"/>
              <w:jc w:val="center"/>
              <w:textAlignment w:val="auto"/>
              <w:rPr>
                <w:rFonts w:hint="eastAsia" w:cs="宋体"/>
                <w:bCs/>
                <w:szCs w:val="21"/>
              </w:rPr>
            </w:pPr>
            <w:r>
              <w:rPr>
                <w:rFonts w:hint="eastAsia" w:cs="宋体"/>
                <w:bCs/>
                <w:szCs w:val="21"/>
              </w:rPr>
              <w:t>所投产品</w:t>
            </w:r>
          </w:p>
        </w:tc>
        <w:tc>
          <w:tcPr>
            <w:tcW w:w="1055" w:type="pct"/>
          </w:tcPr>
          <w:p>
            <w:pPr>
              <w:widowControl/>
              <w:adjustRightInd/>
              <w:spacing w:line="240" w:lineRule="auto"/>
              <w:jc w:val="center"/>
              <w:textAlignment w:val="auto"/>
              <w:rPr>
                <w:rFonts w:hint="eastAsia" w:cs="宋体"/>
                <w:bCs/>
                <w:szCs w:val="21"/>
              </w:rPr>
            </w:pPr>
            <w:r>
              <w:rPr>
                <w:rFonts w:hint="eastAsia" w:cs="宋体"/>
                <w:bCs/>
                <w:szCs w:val="21"/>
              </w:rPr>
              <w:t>参数</w:t>
            </w:r>
          </w:p>
        </w:tc>
        <w:tc>
          <w:tcPr>
            <w:tcW w:w="905" w:type="pct"/>
          </w:tcPr>
          <w:p>
            <w:pPr>
              <w:widowControl/>
              <w:adjustRightInd/>
              <w:spacing w:line="240" w:lineRule="auto"/>
              <w:jc w:val="center"/>
              <w:textAlignment w:val="auto"/>
              <w:rPr>
                <w:rFonts w:hint="eastAsia" w:cs="宋体"/>
                <w:bCs/>
                <w:szCs w:val="21"/>
              </w:rPr>
            </w:pPr>
            <w:r>
              <w:rPr>
                <w:rFonts w:hint="eastAsia" w:cs="宋体"/>
                <w:bCs/>
                <w:szCs w:val="21"/>
              </w:rPr>
              <w:t>型号</w:t>
            </w:r>
          </w:p>
        </w:tc>
        <w:tc>
          <w:tcPr>
            <w:tcW w:w="781" w:type="pct"/>
          </w:tcPr>
          <w:p>
            <w:pPr>
              <w:widowControl/>
              <w:adjustRightInd/>
              <w:spacing w:line="240" w:lineRule="auto"/>
              <w:jc w:val="center"/>
              <w:textAlignment w:val="auto"/>
              <w:rPr>
                <w:rFonts w:hint="eastAsia" w:cs="宋体"/>
                <w:bCs/>
                <w:szCs w:val="21"/>
              </w:rPr>
            </w:pPr>
            <w:r>
              <w:rPr>
                <w:rFonts w:hint="eastAsia" w:cs="宋体"/>
                <w:bCs/>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pct"/>
          </w:tcPr>
          <w:p>
            <w:pPr>
              <w:widowControl/>
              <w:adjustRightInd/>
              <w:spacing w:line="240" w:lineRule="auto"/>
              <w:jc w:val="center"/>
              <w:textAlignment w:val="auto"/>
              <w:rPr>
                <w:rFonts w:hint="eastAsia" w:cs="宋体"/>
                <w:bCs/>
                <w:szCs w:val="21"/>
              </w:rPr>
            </w:pPr>
            <w:r>
              <w:rPr>
                <w:rFonts w:hint="eastAsia" w:cs="宋体"/>
                <w:bCs/>
                <w:szCs w:val="21"/>
              </w:rPr>
              <w:t>1</w:t>
            </w: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676" w:type="pct"/>
          </w:tcPr>
          <w:p>
            <w:pPr>
              <w:widowControl/>
              <w:adjustRightInd/>
              <w:spacing w:line="240" w:lineRule="auto"/>
              <w:jc w:val="center"/>
              <w:textAlignment w:val="auto"/>
              <w:rPr>
                <w:rFonts w:hint="eastAsia" w:cs="宋体"/>
                <w:bCs/>
                <w:szCs w:val="21"/>
              </w:rPr>
            </w:pP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676" w:type="pct"/>
          </w:tcPr>
          <w:p>
            <w:pPr>
              <w:widowControl/>
              <w:adjustRightInd/>
              <w:spacing w:line="240" w:lineRule="auto"/>
              <w:jc w:val="center"/>
              <w:textAlignment w:val="auto"/>
              <w:rPr>
                <w:rFonts w:hint="eastAsia" w:cs="宋体"/>
                <w:bCs/>
                <w:szCs w:val="21"/>
              </w:rPr>
            </w:pP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6" w:type="pct"/>
          </w:tcPr>
          <w:p>
            <w:pPr>
              <w:widowControl/>
              <w:adjustRightInd/>
              <w:spacing w:line="240" w:lineRule="auto"/>
              <w:jc w:val="center"/>
              <w:textAlignment w:val="auto"/>
              <w:rPr>
                <w:rFonts w:hint="eastAsia" w:cs="宋体"/>
                <w:bCs/>
                <w:szCs w:val="21"/>
              </w:rPr>
            </w:pP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676" w:type="pct"/>
          </w:tcPr>
          <w:p>
            <w:pPr>
              <w:widowControl/>
              <w:adjustRightInd/>
              <w:spacing w:line="240" w:lineRule="auto"/>
              <w:jc w:val="center"/>
              <w:textAlignment w:val="auto"/>
              <w:rPr>
                <w:rFonts w:hint="eastAsia" w:cs="宋体"/>
                <w:bCs/>
                <w:szCs w:val="21"/>
              </w:rPr>
            </w:pP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6" w:type="pct"/>
          </w:tcPr>
          <w:p>
            <w:pPr>
              <w:widowControl/>
              <w:adjustRightInd/>
              <w:spacing w:line="240" w:lineRule="auto"/>
              <w:jc w:val="center"/>
              <w:textAlignment w:val="auto"/>
              <w:rPr>
                <w:rFonts w:hint="eastAsia" w:cs="宋体"/>
                <w:bCs/>
                <w:szCs w:val="21"/>
              </w:rPr>
            </w:pP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6" w:type="pct"/>
          </w:tcPr>
          <w:p>
            <w:pPr>
              <w:widowControl/>
              <w:adjustRightInd/>
              <w:spacing w:line="240" w:lineRule="auto"/>
              <w:jc w:val="center"/>
              <w:textAlignment w:val="auto"/>
              <w:rPr>
                <w:rFonts w:hint="eastAsia" w:cs="宋体"/>
                <w:bCs/>
                <w:szCs w:val="21"/>
              </w:rPr>
            </w:pP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pct"/>
          </w:tcPr>
          <w:p>
            <w:pPr>
              <w:widowControl/>
              <w:adjustRightInd/>
              <w:spacing w:line="240" w:lineRule="auto"/>
              <w:jc w:val="center"/>
              <w:textAlignment w:val="auto"/>
              <w:rPr>
                <w:rFonts w:hint="eastAsia" w:cs="宋体"/>
                <w:bCs/>
                <w:szCs w:val="21"/>
              </w:rPr>
            </w:pP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6" w:type="pct"/>
          </w:tcPr>
          <w:p>
            <w:pPr>
              <w:widowControl/>
              <w:adjustRightInd/>
              <w:spacing w:line="240" w:lineRule="auto"/>
              <w:jc w:val="center"/>
              <w:textAlignment w:val="auto"/>
              <w:rPr>
                <w:rFonts w:hint="eastAsia" w:cs="宋体"/>
                <w:bCs/>
                <w:szCs w:val="21"/>
              </w:rPr>
            </w:pPr>
            <w:r>
              <w:rPr>
                <w:rFonts w:cs="宋体"/>
                <w:bCs/>
                <w:szCs w:val="21"/>
              </w:rPr>
              <w:t>……………</w:t>
            </w:r>
          </w:p>
        </w:tc>
        <w:tc>
          <w:tcPr>
            <w:tcW w:w="1583" w:type="pct"/>
          </w:tcPr>
          <w:p>
            <w:pPr>
              <w:widowControl/>
              <w:adjustRightInd/>
              <w:spacing w:line="240" w:lineRule="auto"/>
              <w:jc w:val="left"/>
              <w:textAlignment w:val="auto"/>
              <w:rPr>
                <w:rFonts w:hint="eastAsia" w:cs="宋体"/>
                <w:bCs/>
                <w:szCs w:val="21"/>
              </w:rPr>
            </w:pPr>
          </w:p>
        </w:tc>
        <w:tc>
          <w:tcPr>
            <w:tcW w:w="1055" w:type="pct"/>
          </w:tcPr>
          <w:p>
            <w:pPr>
              <w:widowControl/>
              <w:adjustRightInd/>
              <w:spacing w:line="240" w:lineRule="auto"/>
              <w:jc w:val="left"/>
              <w:textAlignment w:val="auto"/>
              <w:rPr>
                <w:rFonts w:hint="eastAsia" w:cs="宋体"/>
                <w:bCs/>
                <w:szCs w:val="21"/>
              </w:rPr>
            </w:pPr>
          </w:p>
        </w:tc>
        <w:tc>
          <w:tcPr>
            <w:tcW w:w="905" w:type="pct"/>
          </w:tcPr>
          <w:p>
            <w:pPr>
              <w:widowControl/>
              <w:adjustRightInd/>
              <w:spacing w:line="240" w:lineRule="auto"/>
              <w:jc w:val="left"/>
              <w:textAlignment w:val="auto"/>
              <w:rPr>
                <w:rFonts w:hint="eastAsia" w:cs="宋体"/>
                <w:bCs/>
                <w:szCs w:val="21"/>
              </w:rPr>
            </w:pPr>
          </w:p>
        </w:tc>
        <w:tc>
          <w:tcPr>
            <w:tcW w:w="781" w:type="pct"/>
          </w:tcPr>
          <w:p>
            <w:pPr>
              <w:widowControl/>
              <w:adjustRightInd/>
              <w:spacing w:line="240" w:lineRule="auto"/>
              <w:jc w:val="left"/>
              <w:textAlignment w:val="auto"/>
              <w:rPr>
                <w:rFonts w:hint="eastAsia" w:cs="宋体"/>
                <w:bCs/>
                <w:szCs w:val="21"/>
              </w:rPr>
            </w:pPr>
          </w:p>
        </w:tc>
      </w:tr>
      <w:bookmarkEnd w:id="154"/>
    </w:tbl>
    <w:p>
      <w:pPr>
        <w:widowControl/>
        <w:adjustRightInd/>
        <w:spacing w:line="240" w:lineRule="auto"/>
        <w:jc w:val="left"/>
        <w:textAlignment w:val="auto"/>
        <w:rPr>
          <w:rFonts w:hint="eastAsia" w:cs="宋体"/>
          <w:bCs/>
          <w:szCs w:val="21"/>
        </w:rPr>
      </w:pPr>
    </w:p>
    <w:p>
      <w:pPr>
        <w:widowControl/>
        <w:adjustRightInd/>
        <w:spacing w:line="240" w:lineRule="auto"/>
        <w:jc w:val="left"/>
        <w:textAlignment w:val="auto"/>
        <w:rPr>
          <w:rFonts w:hint="eastAsia" w:cs="宋体"/>
          <w:bCs/>
          <w:szCs w:val="21"/>
        </w:rPr>
      </w:pPr>
      <w:r>
        <w:rPr>
          <w:rFonts w:hint="eastAsia" w:cs="宋体"/>
          <w:bCs/>
          <w:szCs w:val="21"/>
        </w:rPr>
        <w:t>(投标人可修改格式)</w:t>
      </w:r>
    </w:p>
    <w:p>
      <w:pPr>
        <w:widowControl/>
        <w:adjustRightInd/>
        <w:spacing w:line="240" w:lineRule="auto"/>
        <w:jc w:val="left"/>
        <w:textAlignment w:val="auto"/>
        <w:rPr>
          <w:rFonts w:hint="eastAsia" w:cs="宋体"/>
          <w:bCs/>
          <w:szCs w:val="21"/>
        </w:rPr>
      </w:pPr>
      <w:r>
        <w:rPr>
          <w:rFonts w:hint="eastAsia" w:cs="宋体"/>
          <w:bCs/>
          <w:szCs w:val="21"/>
        </w:rPr>
        <w:br w:type="page"/>
      </w:r>
    </w:p>
    <w:p>
      <w:pPr>
        <w:widowControl/>
        <w:adjustRightInd/>
        <w:spacing w:line="240" w:lineRule="auto"/>
        <w:jc w:val="left"/>
        <w:textAlignment w:val="auto"/>
        <w:rPr>
          <w:rFonts w:hint="eastAsia" w:cs="宋体"/>
          <w:szCs w:val="21"/>
        </w:rPr>
      </w:pPr>
      <w:r>
        <w:rPr>
          <w:rFonts w:hint="eastAsia"/>
          <w:b/>
          <w:bCs/>
        </w:rPr>
        <w:t>7、</w:t>
      </w:r>
      <w:r>
        <w:rPr>
          <w:rFonts w:hint="eastAsia" w:cs="宋体"/>
          <w:szCs w:val="21"/>
        </w:rPr>
        <w:t>类似业绩：投标人自2022年1月1日以来（以合同签订时间为准），完成过类似项目业绩（合同金额5万以上需包含门禁类产品安装或门禁智能化改造同类产品），每提供一个得1分，满分3分。未提供不得分</w:t>
      </w:r>
    </w:p>
    <w:p>
      <w:pPr>
        <w:widowControl/>
        <w:adjustRightInd/>
        <w:spacing w:line="240" w:lineRule="auto"/>
        <w:jc w:val="left"/>
        <w:textAlignment w:val="auto"/>
        <w:rPr>
          <w:rFonts w:hAnsi="Courier New"/>
          <w:b/>
          <w:bCs/>
          <w:szCs w:val="21"/>
        </w:rPr>
      </w:pPr>
      <w:r>
        <w:rPr>
          <w:rFonts w:hint="eastAsia" w:cs="宋体"/>
          <w:szCs w:val="21"/>
        </w:rPr>
        <w:t>注：（以合同签订时间为准，需提供合同扫描件）；</w:t>
      </w:r>
      <w:r>
        <w:rPr>
          <w:b/>
          <w:bCs/>
        </w:rPr>
        <w:br w:type="page"/>
      </w:r>
    </w:p>
    <w:p>
      <w:pPr>
        <w:pStyle w:val="14"/>
        <w:widowControl/>
        <w:snapToGrid w:val="0"/>
        <w:spacing w:before="156" w:beforeLines="50" w:after="156" w:afterLines="50" w:line="440" w:lineRule="atLeast"/>
        <w:outlineLvl w:val="0"/>
        <w:rPr>
          <w:b/>
          <w:bCs/>
        </w:rPr>
      </w:pPr>
      <w:r>
        <w:rPr>
          <w:rFonts w:hint="eastAsia"/>
          <w:b/>
          <w:bCs/>
        </w:rPr>
        <w:t>8、项目管理机构</w:t>
      </w:r>
    </w:p>
    <w:p>
      <w:pPr>
        <w:pStyle w:val="14"/>
        <w:widowControl/>
        <w:snapToGrid w:val="0"/>
        <w:spacing w:before="156" w:beforeLines="50" w:after="156" w:afterLines="50" w:line="440" w:lineRule="atLeast"/>
        <w:jc w:val="center"/>
        <w:outlineLvl w:val="0"/>
        <w:rPr>
          <w:b/>
          <w:bCs/>
        </w:rPr>
      </w:pPr>
      <w:r>
        <w:rPr>
          <w:rFonts w:hint="eastAsia"/>
          <w:b/>
          <w:bCs/>
        </w:rPr>
        <w:t>拟派往本招标项目的管理机构人员组成表</w:t>
      </w:r>
    </w:p>
    <w:tbl>
      <w:tblPr>
        <w:tblStyle w:val="25"/>
        <w:tblW w:w="102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3"/>
        <w:gridCol w:w="708"/>
        <w:gridCol w:w="904"/>
        <w:gridCol w:w="877"/>
        <w:gridCol w:w="877"/>
        <w:gridCol w:w="877"/>
        <w:gridCol w:w="878"/>
        <w:gridCol w:w="2028"/>
        <w:gridCol w:w="17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313" w:type="dxa"/>
            <w:vMerge w:val="restart"/>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职务</w:t>
            </w:r>
          </w:p>
        </w:tc>
        <w:tc>
          <w:tcPr>
            <w:tcW w:w="708" w:type="dxa"/>
            <w:vMerge w:val="restart"/>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姓名</w:t>
            </w:r>
          </w:p>
        </w:tc>
        <w:tc>
          <w:tcPr>
            <w:tcW w:w="904" w:type="dxa"/>
            <w:vMerge w:val="restart"/>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职称</w:t>
            </w:r>
          </w:p>
        </w:tc>
        <w:tc>
          <w:tcPr>
            <w:tcW w:w="5537" w:type="dxa"/>
            <w:gridSpan w:val="5"/>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执业或职业资格证明</w:t>
            </w:r>
          </w:p>
        </w:tc>
        <w:tc>
          <w:tcPr>
            <w:tcW w:w="1749" w:type="dxa"/>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10211" w:type="dxa"/>
            <w:vMerge w:val="continue"/>
            <w:tcBorders>
              <w:top w:val="single" w:color="auto" w:sz="4" w:space="0"/>
              <w:left w:val="single" w:color="auto" w:sz="4" w:space="0"/>
              <w:bottom w:val="single" w:color="auto" w:sz="4" w:space="0"/>
              <w:right w:val="single" w:color="auto" w:sz="4" w:space="0"/>
            </w:tcBorders>
            <w:vAlign w:val="center"/>
          </w:tcPr>
          <w:p>
            <w:pPr>
              <w:pStyle w:val="14"/>
              <w:snapToGrid w:val="0"/>
              <w:spacing w:before="156" w:beforeLines="50" w:after="156" w:afterLines="50" w:line="440" w:lineRule="atLeast"/>
              <w:outlineLvl w:val="0"/>
            </w:pPr>
          </w:p>
        </w:tc>
        <w:tc>
          <w:tcPr>
            <w:tcW w:w="708" w:type="dxa"/>
            <w:vMerge w:val="continue"/>
            <w:tcBorders>
              <w:top w:val="single" w:color="auto" w:sz="4" w:space="0"/>
              <w:left w:val="nil"/>
              <w:bottom w:val="single" w:color="auto" w:sz="4" w:space="0"/>
              <w:right w:val="single" w:color="auto" w:sz="4" w:space="0"/>
            </w:tcBorders>
            <w:vAlign w:val="center"/>
          </w:tcPr>
          <w:p>
            <w:pPr>
              <w:pStyle w:val="14"/>
              <w:snapToGrid w:val="0"/>
              <w:spacing w:before="156" w:beforeLines="50" w:after="156" w:afterLines="50" w:line="440" w:lineRule="atLeast"/>
              <w:outlineLvl w:val="0"/>
            </w:pPr>
          </w:p>
        </w:tc>
        <w:tc>
          <w:tcPr>
            <w:tcW w:w="904" w:type="dxa"/>
            <w:vMerge w:val="continue"/>
            <w:tcBorders>
              <w:top w:val="single" w:color="auto" w:sz="4" w:space="0"/>
              <w:left w:val="nil"/>
              <w:bottom w:val="single" w:color="auto" w:sz="4" w:space="0"/>
              <w:right w:val="single" w:color="auto" w:sz="4" w:space="0"/>
            </w:tcBorders>
            <w:vAlign w:val="center"/>
          </w:tcPr>
          <w:p>
            <w:pPr>
              <w:pStyle w:val="14"/>
              <w:snapToGrid w:val="0"/>
              <w:spacing w:before="156" w:beforeLines="50" w:after="156" w:afterLines="50" w:line="440" w:lineRule="atLeast"/>
              <w:outlineLvl w:val="0"/>
            </w:pPr>
          </w:p>
        </w:tc>
        <w:tc>
          <w:tcPr>
            <w:tcW w:w="877" w:type="dxa"/>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证书</w:t>
            </w:r>
          </w:p>
          <w:p>
            <w:pPr>
              <w:pStyle w:val="14"/>
              <w:widowControl/>
              <w:snapToGrid w:val="0"/>
              <w:spacing w:before="156" w:beforeLines="50" w:after="156" w:afterLines="50" w:line="440" w:lineRule="atLeast"/>
              <w:jc w:val="left"/>
              <w:outlineLvl w:val="0"/>
            </w:pPr>
            <w:r>
              <w:rPr>
                <w:rFonts w:hint="eastAsia"/>
              </w:rPr>
              <w:t>名称</w:t>
            </w:r>
          </w:p>
        </w:tc>
        <w:tc>
          <w:tcPr>
            <w:tcW w:w="877" w:type="dxa"/>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级别</w:t>
            </w:r>
          </w:p>
        </w:tc>
        <w:tc>
          <w:tcPr>
            <w:tcW w:w="877" w:type="dxa"/>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证号</w:t>
            </w:r>
          </w:p>
        </w:tc>
        <w:tc>
          <w:tcPr>
            <w:tcW w:w="878" w:type="dxa"/>
            <w:tcBorders>
              <w:top w:val="single" w:color="auto" w:sz="4" w:space="0"/>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专业</w:t>
            </w:r>
          </w:p>
        </w:tc>
        <w:tc>
          <w:tcPr>
            <w:tcW w:w="2028" w:type="dxa"/>
            <w:tcBorders>
              <w:top w:val="nil"/>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rPr>
              <w:t>社保</w:t>
            </w:r>
          </w:p>
        </w:tc>
        <w:tc>
          <w:tcPr>
            <w:tcW w:w="1749" w:type="dxa"/>
            <w:tcBorders>
              <w:top w:val="nil"/>
              <w:left w:val="nil"/>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rPr>
                <w:b/>
                <w:bCs/>
              </w:rPr>
            </w:pPr>
            <w:r>
              <w:rPr>
                <w:rFonts w:hint="eastAsia"/>
              </w:rPr>
              <w:t>项目经理</w:t>
            </w: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b/>
              </w:rPr>
              <w:t>……</w:t>
            </w: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pPr>
            <w:r>
              <w:rPr>
                <w:rFonts w:hint="eastAsia"/>
                <w:b/>
              </w:rPr>
              <w:t>……</w:t>
            </w: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rPr>
                <w:b/>
              </w:rPr>
            </w:pPr>
            <w:r>
              <w:rPr>
                <w:rFonts w:hint="eastAsia"/>
                <w:b/>
              </w:rPr>
              <w:t>……</w:t>
            </w: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313" w:type="dxa"/>
            <w:tcBorders>
              <w:top w:val="single" w:color="auto" w:sz="4" w:space="0"/>
              <w:left w:val="single" w:color="auto" w:sz="4" w:space="0"/>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70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904"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7"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87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2028"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c>
          <w:tcPr>
            <w:tcW w:w="1749" w:type="dxa"/>
            <w:tcBorders>
              <w:top w:val="single" w:color="auto" w:sz="4" w:space="0"/>
              <w:left w:val="nil"/>
              <w:bottom w:val="single" w:color="auto" w:sz="4" w:space="0"/>
              <w:right w:val="single" w:color="auto" w:sz="4" w:space="0"/>
            </w:tcBorders>
          </w:tcPr>
          <w:p>
            <w:pPr>
              <w:pStyle w:val="14"/>
              <w:widowControl/>
              <w:snapToGrid w:val="0"/>
              <w:spacing w:before="156" w:beforeLines="50" w:after="156" w:afterLines="50" w:line="440" w:lineRule="atLeast"/>
              <w:jc w:val="left"/>
              <w:outlineLvl w:val="0"/>
              <w:rPr>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10211" w:type="dxa"/>
            <w:gridSpan w:val="9"/>
            <w:tcBorders>
              <w:top w:val="single" w:color="auto" w:sz="4" w:space="0"/>
              <w:left w:val="single" w:color="auto" w:sz="4" w:space="0"/>
              <w:bottom w:val="single" w:color="auto" w:sz="4" w:space="0"/>
              <w:right w:val="single" w:color="auto" w:sz="4" w:space="0"/>
            </w:tcBorders>
            <w:vAlign w:val="center"/>
          </w:tcPr>
          <w:p>
            <w:pPr>
              <w:pStyle w:val="14"/>
              <w:widowControl/>
              <w:snapToGrid w:val="0"/>
              <w:spacing w:before="156" w:beforeLines="50" w:after="156" w:afterLines="50" w:line="440" w:lineRule="atLeast"/>
              <w:jc w:val="left"/>
              <w:outlineLvl w:val="0"/>
              <w:rPr>
                <w:b/>
                <w:bCs/>
              </w:rPr>
            </w:pPr>
            <w:r>
              <w:rPr>
                <w:rFonts w:hint="eastAsia"/>
                <w:b/>
                <w:bCs/>
              </w:rPr>
              <w:t>一旦我方中标，将实行项目经理负责制，并配备上述项目管理机构。我方保证上述填报内容真实，若不真实，愿按有关规定接受处理。项目管理班子机构设置、职责分工等情况另附资料说明。</w:t>
            </w:r>
          </w:p>
        </w:tc>
      </w:tr>
    </w:tbl>
    <w:p>
      <w:pPr>
        <w:pStyle w:val="14"/>
        <w:snapToGrid w:val="0"/>
        <w:spacing w:before="156" w:beforeLines="50" w:after="156" w:afterLines="50" w:line="440" w:lineRule="atLeast"/>
        <w:outlineLvl w:val="0"/>
      </w:pPr>
      <w:r>
        <w:rPr>
          <w:rFonts w:hint="eastAsia"/>
          <w:b/>
          <w:bCs/>
        </w:rPr>
        <w:t>注：表后附项目相关人员证书、社保证明复印件。</w:t>
      </w:r>
    </w:p>
    <w:p>
      <w:pPr>
        <w:pStyle w:val="14"/>
        <w:spacing w:before="156" w:beforeLines="50" w:after="156" w:afterLines="50" w:line="440" w:lineRule="atLeast"/>
        <w:outlineLvl w:val="0"/>
        <w:rPr>
          <w:b/>
          <w:bCs/>
        </w:rPr>
      </w:pPr>
      <w:r>
        <w:rPr>
          <w:rFonts w:hint="eastAsia"/>
          <w:b/>
          <w:bCs/>
        </w:rPr>
        <w:br w:type="page"/>
      </w:r>
      <w:r>
        <w:rPr>
          <w:rFonts w:hint="eastAsia"/>
          <w:b/>
          <w:bCs/>
        </w:rPr>
        <w:t>9.商务技术标评审所涉及的资料。</w:t>
      </w:r>
    </w:p>
    <w:p>
      <w:pPr>
        <w:pStyle w:val="14"/>
        <w:widowControl/>
        <w:snapToGrid w:val="0"/>
        <w:spacing w:before="156" w:beforeLines="50" w:after="156" w:afterLines="50" w:line="440" w:lineRule="atLeast"/>
        <w:jc w:val="left"/>
        <w:outlineLvl w:val="0"/>
      </w:pPr>
    </w:p>
    <w:p>
      <w:pPr>
        <w:rPr>
          <w:rFonts w:hint="eastAsia"/>
        </w:rPr>
      </w:pPr>
    </w:p>
    <w:p>
      <w:pPr>
        <w:rPr>
          <w:rFonts w:hint="eastAsia"/>
        </w:rPr>
      </w:pPr>
    </w:p>
    <w:sectPr>
      <w:footerReference r:id="rId6" w:type="default"/>
      <w:pgSz w:w="11906" w:h="16838"/>
      <w:pgMar w:top="1134" w:right="1247" w:bottom="1134" w:left="124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03" w:usb1="288F0000" w:usb2="00000006" w:usb3="00000000" w:csb0="00040001" w:csb1="00000000"/>
  </w:font>
  <w:font w:name="ËÎÌå">
    <w:altName w:val="Times New Roman"/>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607276"/>
    </w:sdtPr>
    <w:sdtContent>
      <w:p>
        <w:pPr>
          <w:pStyle w:val="18"/>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6060" cy="228600"/>
              <wp:effectExtent l="0" t="0" r="2540" b="0"/>
              <wp:wrapNone/>
              <wp:docPr id="19408278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6060" cy="228600"/>
                      </a:xfrm>
                      <a:prstGeom prst="rect">
                        <a:avLst/>
                      </a:prstGeom>
                      <a:noFill/>
                      <a:ln>
                        <a:noFill/>
                      </a:ln>
                    </wps:spPr>
                    <wps:txbx>
                      <w:txbxContent>
                        <w:p>
                          <w:pPr>
                            <w:pStyle w:val="18"/>
                            <w:rPr>
                              <w:rFonts w:hint="eastAsia"/>
                            </w:rPr>
                          </w:pPr>
                          <w:r>
                            <w:fldChar w:fldCharType="begin"/>
                          </w:r>
                          <w:r>
                            <w:rPr>
                              <w:rStyle w:val="29"/>
                            </w:rPr>
                            <w:instrText xml:space="preserve"> PAGE </w:instrText>
                          </w:r>
                          <w:r>
                            <w:fldChar w:fldCharType="separate"/>
                          </w:r>
                          <w:r>
                            <w:rPr>
                              <w:rStyle w:val="29"/>
                            </w:rPr>
                            <w:t>115</w:t>
                          </w:r>
                          <w:r>
                            <w:fldChar w:fldCharType="end"/>
                          </w:r>
                        </w:p>
                      </w:txbxContent>
                    </wps:txbx>
                    <wps:bodyPr rot="0" vert="horz" wrap="square" lIns="0" tIns="0" rIns="0" bIns="0" anchor="t" anchorCtr="0" upright="1">
                      <a:spAutoFit/>
                    </wps:bodyPr>
                  </wps:wsp>
                </a:graphicData>
              </a:graphic>
            </wp:anchor>
          </w:drawing>
        </mc:Choice>
        <mc:Fallback>
          <w:pict>
            <v:shape id="文本框 2" o:spid="_x0000_s1026" o:spt="202" type="#_x0000_t202" style="position:absolute;left:0pt;margin-top:0pt;height:18pt;width:17.8pt;mso-position-horizontal:center;mso-position-horizontal-relative:margin;z-index:251660288;mso-width-relative:page;mso-height-relative:page;" filled="f" stroked="f" coordsize="21600,21600" o:gfxdata="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ei2ErRAAAAAwEAAA8AAAAAAAAAAQAgAAAA&#10;IgAAAGRycy9kb3ducmV2LnhtbFBLAQIUABQAAAAIAIdO4kBb/6AREgIAAA0EAAAOAAAAAAAAAAEA&#10;IAAAACABAABkcnMvZTJvRG9jLnhtbFBLBQYAAAAABgAGAFkBAACkBQAAAAA=&#10;">
              <v:fill on="f" focussize="0,0"/>
              <v:stroke on="f"/>
              <v:imagedata o:title=""/>
              <o:lock v:ext="edit" aspectratio="f"/>
              <v:textbox inset="0mm,0mm,0mm,0mm" style="mso-fit-shape-to-text:t;">
                <w:txbxContent>
                  <w:p>
                    <w:pPr>
                      <w:pStyle w:val="18"/>
                      <w:rPr>
                        <w:rFonts w:hint="eastAsia"/>
                      </w:rPr>
                    </w:pPr>
                    <w:r>
                      <w:fldChar w:fldCharType="begin"/>
                    </w:r>
                    <w:r>
                      <w:rPr>
                        <w:rStyle w:val="29"/>
                      </w:rPr>
                      <w:instrText xml:space="preserve"> PAGE </w:instrText>
                    </w:r>
                    <w:r>
                      <w:fldChar w:fldCharType="separate"/>
                    </w:r>
                    <w:r>
                      <w:rPr>
                        <w:rStyle w:val="29"/>
                      </w:rPr>
                      <w:t>115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6448B"/>
    <w:multiLevelType w:val="singleLevel"/>
    <w:tmpl w:val="E756448B"/>
    <w:lvl w:ilvl="0" w:tentative="0">
      <w:start w:val="5"/>
      <w:numFmt w:val="decimal"/>
      <w:suff w:val="nothing"/>
      <w:lvlText w:val="%1、"/>
      <w:lvlJc w:val="left"/>
    </w:lvl>
  </w:abstractNum>
  <w:abstractNum w:abstractNumId="1">
    <w:nsid w:val="228A35BF"/>
    <w:multiLevelType w:val="singleLevel"/>
    <w:tmpl w:val="228A35BF"/>
    <w:lvl w:ilvl="0" w:tentative="0">
      <w:start w:val="1"/>
      <w:numFmt w:val="decimal"/>
      <w:suff w:val="nothing"/>
      <w:lvlText w:val="%1．"/>
      <w:lvlJc w:val="left"/>
    </w:lvl>
  </w:abstractNum>
  <w:abstractNum w:abstractNumId="2">
    <w:nsid w:val="2466D959"/>
    <w:multiLevelType w:val="singleLevel"/>
    <w:tmpl w:val="2466D959"/>
    <w:lvl w:ilvl="0" w:tentative="0">
      <w:start w:val="1"/>
      <w:numFmt w:val="decimal"/>
      <w:suff w:val="nothing"/>
      <w:lvlText w:val="%1、"/>
      <w:lvlJc w:val="left"/>
    </w:lvl>
  </w:abstractNum>
  <w:abstractNum w:abstractNumId="3">
    <w:nsid w:val="3BE57694"/>
    <w:multiLevelType w:val="multilevel"/>
    <w:tmpl w:val="3BE57694"/>
    <w:lvl w:ilvl="0" w:tentative="0">
      <w:start w:val="3"/>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47BA7F89"/>
    <w:multiLevelType w:val="singleLevel"/>
    <w:tmpl w:val="47BA7F89"/>
    <w:lvl w:ilvl="0" w:tentative="0">
      <w:start w:val="11"/>
      <w:numFmt w:val="decimal"/>
      <w:lvlText w:val="%1."/>
      <w:lvlJc w:val="left"/>
      <w:pPr>
        <w:tabs>
          <w:tab w:val="left" w:pos="312"/>
        </w:tabs>
      </w:pPr>
    </w:lvl>
  </w:abstractNum>
  <w:abstractNum w:abstractNumId="5">
    <w:nsid w:val="52FC854A"/>
    <w:multiLevelType w:val="singleLevel"/>
    <w:tmpl w:val="52FC854A"/>
    <w:lvl w:ilvl="0" w:tentative="0">
      <w:start w:val="1"/>
      <w:numFmt w:val="decimal"/>
      <w:suff w:val="nothing"/>
      <w:lvlText w:val="（%1)"/>
      <w:lvlJc w:val="left"/>
    </w:lvl>
  </w:abstractNum>
  <w:abstractNum w:abstractNumId="6">
    <w:nsid w:val="52FC861A"/>
    <w:multiLevelType w:val="singleLevel"/>
    <w:tmpl w:val="52FC861A"/>
    <w:lvl w:ilvl="0" w:tentative="0">
      <w:start w:val="2"/>
      <w:numFmt w:val="decimal"/>
      <w:suff w:val="nothing"/>
      <w:lvlText w:val="%1、"/>
      <w:lvlJc w:val="left"/>
    </w:lvl>
  </w:abstractNum>
  <w:abstractNum w:abstractNumId="7">
    <w:nsid w:val="5AEE29A6"/>
    <w:multiLevelType w:val="multilevel"/>
    <w:tmpl w:val="5AEE29A6"/>
    <w:lvl w:ilvl="0" w:tentative="0">
      <w:start w:val="1"/>
      <w:numFmt w:val="decimal"/>
      <w:lvlText w:val="（%1）"/>
      <w:lvlJc w:val="left"/>
      <w:pPr>
        <w:tabs>
          <w:tab w:val="left" w:pos="426"/>
        </w:tabs>
        <w:ind w:left="256" w:firstLine="284"/>
      </w:pPr>
      <w:rPr>
        <w:rFonts w:hint="eastAsia" w:ascii="宋体" w:hAnsi="宋体" w:eastAsia="宋体"/>
        <w:b w:val="0"/>
        <w:bCs w:val="0"/>
      </w:rPr>
    </w:lvl>
    <w:lvl w:ilvl="1" w:tentative="0">
      <w:start w:val="1"/>
      <w:numFmt w:val="lowerLetter"/>
      <w:lvlText w:val="%2)"/>
      <w:lvlJc w:val="left"/>
      <w:pPr>
        <w:tabs>
          <w:tab w:val="left" w:pos="1526"/>
        </w:tabs>
        <w:ind w:left="1526" w:hanging="420"/>
      </w:pPr>
      <w:rPr>
        <w:rFonts w:hint="default" w:ascii="Times New Roman" w:hAnsi="Times New Roman" w:cs="Times New Roman"/>
      </w:rPr>
    </w:lvl>
    <w:lvl w:ilvl="2" w:tentative="0">
      <w:start w:val="1"/>
      <w:numFmt w:val="lowerRoman"/>
      <w:lvlText w:val="%3."/>
      <w:lvlJc w:val="right"/>
      <w:pPr>
        <w:tabs>
          <w:tab w:val="left" w:pos="1946"/>
        </w:tabs>
        <w:ind w:left="1946" w:hanging="420"/>
      </w:pPr>
      <w:rPr>
        <w:rFonts w:hint="default" w:ascii="Times New Roman" w:hAnsi="Times New Roman" w:cs="Times New Roman"/>
      </w:rPr>
    </w:lvl>
    <w:lvl w:ilvl="3" w:tentative="0">
      <w:start w:val="1"/>
      <w:numFmt w:val="decimal"/>
      <w:lvlText w:val="%4."/>
      <w:lvlJc w:val="left"/>
      <w:pPr>
        <w:tabs>
          <w:tab w:val="left" w:pos="2366"/>
        </w:tabs>
        <w:ind w:left="2366" w:hanging="420"/>
      </w:pPr>
      <w:rPr>
        <w:rFonts w:hint="default" w:ascii="Times New Roman" w:hAnsi="Times New Roman" w:cs="Times New Roman"/>
      </w:rPr>
    </w:lvl>
    <w:lvl w:ilvl="4" w:tentative="0">
      <w:start w:val="1"/>
      <w:numFmt w:val="lowerLetter"/>
      <w:lvlText w:val="%5)"/>
      <w:lvlJc w:val="left"/>
      <w:pPr>
        <w:tabs>
          <w:tab w:val="left" w:pos="2786"/>
        </w:tabs>
        <w:ind w:left="2786" w:hanging="420"/>
      </w:pPr>
      <w:rPr>
        <w:rFonts w:hint="default" w:ascii="Times New Roman" w:hAnsi="Times New Roman" w:cs="Times New Roman"/>
      </w:rPr>
    </w:lvl>
    <w:lvl w:ilvl="5" w:tentative="0">
      <w:start w:val="1"/>
      <w:numFmt w:val="lowerRoman"/>
      <w:lvlText w:val="%6."/>
      <w:lvlJc w:val="right"/>
      <w:pPr>
        <w:tabs>
          <w:tab w:val="left" w:pos="3206"/>
        </w:tabs>
        <w:ind w:left="3206" w:hanging="420"/>
      </w:pPr>
      <w:rPr>
        <w:rFonts w:hint="default" w:ascii="Times New Roman" w:hAnsi="Times New Roman" w:cs="Times New Roman"/>
      </w:rPr>
    </w:lvl>
    <w:lvl w:ilvl="6" w:tentative="0">
      <w:start w:val="1"/>
      <w:numFmt w:val="decimal"/>
      <w:lvlText w:val="%7."/>
      <w:lvlJc w:val="left"/>
      <w:pPr>
        <w:tabs>
          <w:tab w:val="left" w:pos="3626"/>
        </w:tabs>
        <w:ind w:left="3626" w:hanging="420"/>
      </w:pPr>
      <w:rPr>
        <w:rFonts w:hint="default" w:ascii="Times New Roman" w:hAnsi="Times New Roman" w:cs="Times New Roman"/>
      </w:rPr>
    </w:lvl>
    <w:lvl w:ilvl="7" w:tentative="0">
      <w:start w:val="1"/>
      <w:numFmt w:val="lowerLetter"/>
      <w:lvlText w:val="%8)"/>
      <w:lvlJc w:val="left"/>
      <w:pPr>
        <w:tabs>
          <w:tab w:val="left" w:pos="4046"/>
        </w:tabs>
        <w:ind w:left="4046" w:hanging="420"/>
      </w:pPr>
      <w:rPr>
        <w:rFonts w:hint="default" w:ascii="Times New Roman" w:hAnsi="Times New Roman" w:cs="Times New Roman"/>
      </w:rPr>
    </w:lvl>
    <w:lvl w:ilvl="8" w:tentative="0">
      <w:start w:val="1"/>
      <w:numFmt w:val="lowerRoman"/>
      <w:lvlText w:val="%9."/>
      <w:lvlJc w:val="right"/>
      <w:pPr>
        <w:tabs>
          <w:tab w:val="left" w:pos="4466"/>
        </w:tabs>
        <w:ind w:left="4466" w:hanging="420"/>
      </w:pPr>
      <w:rPr>
        <w:rFonts w:hint="default" w:ascii="Times New Roman" w:hAnsi="Times New Roman"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6"/>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mOGZiNjIxOTdkZGNlOTI5NjFiYmY0MmRkMWQ2ZGEifQ=="/>
  </w:docVars>
  <w:rsids>
    <w:rsidRoot w:val="00172A27"/>
    <w:rsid w:val="000004DD"/>
    <w:rsid w:val="00000857"/>
    <w:rsid w:val="00001A26"/>
    <w:rsid w:val="00001B71"/>
    <w:rsid w:val="00001F42"/>
    <w:rsid w:val="00004DE8"/>
    <w:rsid w:val="0000558D"/>
    <w:rsid w:val="000056EB"/>
    <w:rsid w:val="0000664C"/>
    <w:rsid w:val="00007A06"/>
    <w:rsid w:val="00007D24"/>
    <w:rsid w:val="0001158E"/>
    <w:rsid w:val="000118A1"/>
    <w:rsid w:val="00011B99"/>
    <w:rsid w:val="00011F48"/>
    <w:rsid w:val="000125D2"/>
    <w:rsid w:val="00013101"/>
    <w:rsid w:val="000131D9"/>
    <w:rsid w:val="0001373F"/>
    <w:rsid w:val="00014CA2"/>
    <w:rsid w:val="000162B2"/>
    <w:rsid w:val="000167E6"/>
    <w:rsid w:val="00016E00"/>
    <w:rsid w:val="0001767E"/>
    <w:rsid w:val="00020C4D"/>
    <w:rsid w:val="00020D31"/>
    <w:rsid w:val="00022503"/>
    <w:rsid w:val="00022814"/>
    <w:rsid w:val="0002307D"/>
    <w:rsid w:val="000252EC"/>
    <w:rsid w:val="00026E35"/>
    <w:rsid w:val="00027AEE"/>
    <w:rsid w:val="00027CED"/>
    <w:rsid w:val="0003054F"/>
    <w:rsid w:val="00031377"/>
    <w:rsid w:val="000313E5"/>
    <w:rsid w:val="00031768"/>
    <w:rsid w:val="00033D50"/>
    <w:rsid w:val="00034038"/>
    <w:rsid w:val="000348F2"/>
    <w:rsid w:val="000349D0"/>
    <w:rsid w:val="00035DA9"/>
    <w:rsid w:val="00035E7D"/>
    <w:rsid w:val="00036410"/>
    <w:rsid w:val="000369F9"/>
    <w:rsid w:val="000371CA"/>
    <w:rsid w:val="00037EEF"/>
    <w:rsid w:val="0004009E"/>
    <w:rsid w:val="000408F9"/>
    <w:rsid w:val="00041026"/>
    <w:rsid w:val="0004284C"/>
    <w:rsid w:val="000430D6"/>
    <w:rsid w:val="00043FCD"/>
    <w:rsid w:val="000445C1"/>
    <w:rsid w:val="00044763"/>
    <w:rsid w:val="00047B5E"/>
    <w:rsid w:val="000503C7"/>
    <w:rsid w:val="000511F7"/>
    <w:rsid w:val="00051F89"/>
    <w:rsid w:val="00053017"/>
    <w:rsid w:val="00053C9F"/>
    <w:rsid w:val="00054F95"/>
    <w:rsid w:val="0005679C"/>
    <w:rsid w:val="00056A11"/>
    <w:rsid w:val="0006051A"/>
    <w:rsid w:val="00060DF1"/>
    <w:rsid w:val="00062891"/>
    <w:rsid w:val="00064405"/>
    <w:rsid w:val="0006671E"/>
    <w:rsid w:val="0006691C"/>
    <w:rsid w:val="00070D84"/>
    <w:rsid w:val="000750A2"/>
    <w:rsid w:val="00080157"/>
    <w:rsid w:val="00080383"/>
    <w:rsid w:val="00080708"/>
    <w:rsid w:val="00080BC6"/>
    <w:rsid w:val="00081844"/>
    <w:rsid w:val="000823A4"/>
    <w:rsid w:val="00082B82"/>
    <w:rsid w:val="0008388B"/>
    <w:rsid w:val="0008533D"/>
    <w:rsid w:val="00085BEF"/>
    <w:rsid w:val="000863C7"/>
    <w:rsid w:val="000866E3"/>
    <w:rsid w:val="000875DD"/>
    <w:rsid w:val="0008762D"/>
    <w:rsid w:val="0009010A"/>
    <w:rsid w:val="0009070D"/>
    <w:rsid w:val="00092026"/>
    <w:rsid w:val="00092881"/>
    <w:rsid w:val="00094154"/>
    <w:rsid w:val="00094C2A"/>
    <w:rsid w:val="00094F7C"/>
    <w:rsid w:val="00095896"/>
    <w:rsid w:val="0009589B"/>
    <w:rsid w:val="000964EB"/>
    <w:rsid w:val="00097159"/>
    <w:rsid w:val="00097308"/>
    <w:rsid w:val="0009773B"/>
    <w:rsid w:val="00097AC0"/>
    <w:rsid w:val="000A2999"/>
    <w:rsid w:val="000A2D98"/>
    <w:rsid w:val="000A3724"/>
    <w:rsid w:val="000A4B25"/>
    <w:rsid w:val="000A54A7"/>
    <w:rsid w:val="000A5EFD"/>
    <w:rsid w:val="000A639D"/>
    <w:rsid w:val="000A6AB7"/>
    <w:rsid w:val="000A7033"/>
    <w:rsid w:val="000A7430"/>
    <w:rsid w:val="000B09D8"/>
    <w:rsid w:val="000B0A86"/>
    <w:rsid w:val="000B0FAD"/>
    <w:rsid w:val="000B143B"/>
    <w:rsid w:val="000B162B"/>
    <w:rsid w:val="000B2092"/>
    <w:rsid w:val="000B2433"/>
    <w:rsid w:val="000B2A77"/>
    <w:rsid w:val="000B4F98"/>
    <w:rsid w:val="000B6445"/>
    <w:rsid w:val="000B78CC"/>
    <w:rsid w:val="000C1DAC"/>
    <w:rsid w:val="000C2814"/>
    <w:rsid w:val="000C2AEA"/>
    <w:rsid w:val="000C2CB8"/>
    <w:rsid w:val="000C33C3"/>
    <w:rsid w:val="000C3C00"/>
    <w:rsid w:val="000C4232"/>
    <w:rsid w:val="000C452E"/>
    <w:rsid w:val="000C5988"/>
    <w:rsid w:val="000C59E4"/>
    <w:rsid w:val="000D083F"/>
    <w:rsid w:val="000D1E7E"/>
    <w:rsid w:val="000D1F63"/>
    <w:rsid w:val="000D2052"/>
    <w:rsid w:val="000D256F"/>
    <w:rsid w:val="000D31FC"/>
    <w:rsid w:val="000D4871"/>
    <w:rsid w:val="000D5815"/>
    <w:rsid w:val="000D5B5E"/>
    <w:rsid w:val="000D672A"/>
    <w:rsid w:val="000D690A"/>
    <w:rsid w:val="000D78CA"/>
    <w:rsid w:val="000D7A35"/>
    <w:rsid w:val="000E0C2C"/>
    <w:rsid w:val="000E0F1A"/>
    <w:rsid w:val="000E2295"/>
    <w:rsid w:val="000E2C0A"/>
    <w:rsid w:val="000E3F43"/>
    <w:rsid w:val="000E51B8"/>
    <w:rsid w:val="000E6330"/>
    <w:rsid w:val="000E65C6"/>
    <w:rsid w:val="000E6CEE"/>
    <w:rsid w:val="000E6FE8"/>
    <w:rsid w:val="000F0AFF"/>
    <w:rsid w:val="000F0C4B"/>
    <w:rsid w:val="000F13CE"/>
    <w:rsid w:val="000F1A6A"/>
    <w:rsid w:val="000F3BCB"/>
    <w:rsid w:val="000F3DB8"/>
    <w:rsid w:val="000F4EBF"/>
    <w:rsid w:val="000F56D4"/>
    <w:rsid w:val="000F590E"/>
    <w:rsid w:val="000F6697"/>
    <w:rsid w:val="000F70B5"/>
    <w:rsid w:val="000F7B1A"/>
    <w:rsid w:val="00101347"/>
    <w:rsid w:val="00101A04"/>
    <w:rsid w:val="00102A98"/>
    <w:rsid w:val="0010338E"/>
    <w:rsid w:val="0010349A"/>
    <w:rsid w:val="00104FF7"/>
    <w:rsid w:val="0010675D"/>
    <w:rsid w:val="001077A4"/>
    <w:rsid w:val="00110C93"/>
    <w:rsid w:val="00111B76"/>
    <w:rsid w:val="00111F1F"/>
    <w:rsid w:val="0011248E"/>
    <w:rsid w:val="00113F09"/>
    <w:rsid w:val="0011423F"/>
    <w:rsid w:val="001152DC"/>
    <w:rsid w:val="00120BA5"/>
    <w:rsid w:val="00120C69"/>
    <w:rsid w:val="00121A03"/>
    <w:rsid w:val="00122811"/>
    <w:rsid w:val="00122B46"/>
    <w:rsid w:val="00122F5E"/>
    <w:rsid w:val="0012417A"/>
    <w:rsid w:val="00125997"/>
    <w:rsid w:val="00125D51"/>
    <w:rsid w:val="00126C4E"/>
    <w:rsid w:val="00127F27"/>
    <w:rsid w:val="001305B5"/>
    <w:rsid w:val="00130D1B"/>
    <w:rsid w:val="00131184"/>
    <w:rsid w:val="001315E8"/>
    <w:rsid w:val="0013301F"/>
    <w:rsid w:val="001333A0"/>
    <w:rsid w:val="00135E11"/>
    <w:rsid w:val="00140887"/>
    <w:rsid w:val="00140A71"/>
    <w:rsid w:val="00140B15"/>
    <w:rsid w:val="001413C0"/>
    <w:rsid w:val="001418B5"/>
    <w:rsid w:val="00141C43"/>
    <w:rsid w:val="00142349"/>
    <w:rsid w:val="00143595"/>
    <w:rsid w:val="00144443"/>
    <w:rsid w:val="0014688B"/>
    <w:rsid w:val="00146979"/>
    <w:rsid w:val="00150522"/>
    <w:rsid w:val="00150A0C"/>
    <w:rsid w:val="001510CF"/>
    <w:rsid w:val="0015142C"/>
    <w:rsid w:val="00152510"/>
    <w:rsid w:val="001531E6"/>
    <w:rsid w:val="0015407F"/>
    <w:rsid w:val="00155A8E"/>
    <w:rsid w:val="00155C65"/>
    <w:rsid w:val="00156C2B"/>
    <w:rsid w:val="00157895"/>
    <w:rsid w:val="0016090E"/>
    <w:rsid w:val="00160AB2"/>
    <w:rsid w:val="00160C59"/>
    <w:rsid w:val="00162F97"/>
    <w:rsid w:val="00164054"/>
    <w:rsid w:val="00164ABD"/>
    <w:rsid w:val="001652AB"/>
    <w:rsid w:val="00166325"/>
    <w:rsid w:val="00166BA8"/>
    <w:rsid w:val="00170680"/>
    <w:rsid w:val="00170FD7"/>
    <w:rsid w:val="0017137F"/>
    <w:rsid w:val="00172A27"/>
    <w:rsid w:val="00180427"/>
    <w:rsid w:val="001852BE"/>
    <w:rsid w:val="00186847"/>
    <w:rsid w:val="00186AC7"/>
    <w:rsid w:val="00187B03"/>
    <w:rsid w:val="00190832"/>
    <w:rsid w:val="00190D2A"/>
    <w:rsid w:val="00192174"/>
    <w:rsid w:val="00192D71"/>
    <w:rsid w:val="00193732"/>
    <w:rsid w:val="0019383B"/>
    <w:rsid w:val="00194926"/>
    <w:rsid w:val="00195FF7"/>
    <w:rsid w:val="00196352"/>
    <w:rsid w:val="00196D07"/>
    <w:rsid w:val="001970BA"/>
    <w:rsid w:val="00197FF6"/>
    <w:rsid w:val="001A0104"/>
    <w:rsid w:val="001A20AE"/>
    <w:rsid w:val="001A2735"/>
    <w:rsid w:val="001A310D"/>
    <w:rsid w:val="001A54AE"/>
    <w:rsid w:val="001A58FE"/>
    <w:rsid w:val="001A6778"/>
    <w:rsid w:val="001B2958"/>
    <w:rsid w:val="001B330C"/>
    <w:rsid w:val="001B39A1"/>
    <w:rsid w:val="001B4F05"/>
    <w:rsid w:val="001B50E6"/>
    <w:rsid w:val="001B57A1"/>
    <w:rsid w:val="001B5BEF"/>
    <w:rsid w:val="001B6600"/>
    <w:rsid w:val="001C03AD"/>
    <w:rsid w:val="001C1443"/>
    <w:rsid w:val="001C2941"/>
    <w:rsid w:val="001C302B"/>
    <w:rsid w:val="001C4E9E"/>
    <w:rsid w:val="001C5380"/>
    <w:rsid w:val="001C5603"/>
    <w:rsid w:val="001C6522"/>
    <w:rsid w:val="001C680B"/>
    <w:rsid w:val="001C72AE"/>
    <w:rsid w:val="001D0820"/>
    <w:rsid w:val="001D3885"/>
    <w:rsid w:val="001D4B35"/>
    <w:rsid w:val="001D54A6"/>
    <w:rsid w:val="001D55F3"/>
    <w:rsid w:val="001D5DA9"/>
    <w:rsid w:val="001D77B3"/>
    <w:rsid w:val="001E0630"/>
    <w:rsid w:val="001E1783"/>
    <w:rsid w:val="001E1812"/>
    <w:rsid w:val="001E19B4"/>
    <w:rsid w:val="001E1C32"/>
    <w:rsid w:val="001E2549"/>
    <w:rsid w:val="001E2CD9"/>
    <w:rsid w:val="001E3548"/>
    <w:rsid w:val="001E44FA"/>
    <w:rsid w:val="001E494B"/>
    <w:rsid w:val="001E5217"/>
    <w:rsid w:val="001E5A9F"/>
    <w:rsid w:val="001F0750"/>
    <w:rsid w:val="001F09F3"/>
    <w:rsid w:val="001F0D6B"/>
    <w:rsid w:val="001F0E48"/>
    <w:rsid w:val="001F2E94"/>
    <w:rsid w:val="001F43AA"/>
    <w:rsid w:val="001F440C"/>
    <w:rsid w:val="001F52B4"/>
    <w:rsid w:val="001F6423"/>
    <w:rsid w:val="001F67BB"/>
    <w:rsid w:val="001F7964"/>
    <w:rsid w:val="001F7A09"/>
    <w:rsid w:val="00200EFA"/>
    <w:rsid w:val="00201386"/>
    <w:rsid w:val="002020CD"/>
    <w:rsid w:val="00202D88"/>
    <w:rsid w:val="00203882"/>
    <w:rsid w:val="002046AD"/>
    <w:rsid w:val="00205991"/>
    <w:rsid w:val="00207402"/>
    <w:rsid w:val="0020753A"/>
    <w:rsid w:val="002103BC"/>
    <w:rsid w:val="002106F7"/>
    <w:rsid w:val="002124A2"/>
    <w:rsid w:val="00212C95"/>
    <w:rsid w:val="0021336F"/>
    <w:rsid w:val="00213C00"/>
    <w:rsid w:val="00214472"/>
    <w:rsid w:val="0021462D"/>
    <w:rsid w:val="00214B1B"/>
    <w:rsid w:val="00215D0F"/>
    <w:rsid w:val="0021709A"/>
    <w:rsid w:val="0021791E"/>
    <w:rsid w:val="00217B29"/>
    <w:rsid w:val="0022253B"/>
    <w:rsid w:val="00222BB0"/>
    <w:rsid w:val="00223713"/>
    <w:rsid w:val="002250DA"/>
    <w:rsid w:val="002257E9"/>
    <w:rsid w:val="002270F6"/>
    <w:rsid w:val="00227A9B"/>
    <w:rsid w:val="00230835"/>
    <w:rsid w:val="002325BD"/>
    <w:rsid w:val="0023310B"/>
    <w:rsid w:val="002347FD"/>
    <w:rsid w:val="00234BD7"/>
    <w:rsid w:val="0023620A"/>
    <w:rsid w:val="00236FAE"/>
    <w:rsid w:val="00237A38"/>
    <w:rsid w:val="002402FE"/>
    <w:rsid w:val="002407B8"/>
    <w:rsid w:val="00242241"/>
    <w:rsid w:val="002427C2"/>
    <w:rsid w:val="00242A4E"/>
    <w:rsid w:val="00244435"/>
    <w:rsid w:val="0024487E"/>
    <w:rsid w:val="00244BAA"/>
    <w:rsid w:val="00246E28"/>
    <w:rsid w:val="002471F5"/>
    <w:rsid w:val="00250200"/>
    <w:rsid w:val="00250517"/>
    <w:rsid w:val="00252BE7"/>
    <w:rsid w:val="00252E7E"/>
    <w:rsid w:val="00252FF2"/>
    <w:rsid w:val="0025341C"/>
    <w:rsid w:val="00253DFF"/>
    <w:rsid w:val="002565F4"/>
    <w:rsid w:val="002565FE"/>
    <w:rsid w:val="00257FCE"/>
    <w:rsid w:val="00260214"/>
    <w:rsid w:val="002605D6"/>
    <w:rsid w:val="002616F5"/>
    <w:rsid w:val="00261DC3"/>
    <w:rsid w:val="002648E3"/>
    <w:rsid w:val="00265090"/>
    <w:rsid w:val="00266B59"/>
    <w:rsid w:val="00266ECB"/>
    <w:rsid w:val="002679F4"/>
    <w:rsid w:val="00267EDA"/>
    <w:rsid w:val="00270489"/>
    <w:rsid w:val="00273762"/>
    <w:rsid w:val="002743FD"/>
    <w:rsid w:val="00275086"/>
    <w:rsid w:val="00276331"/>
    <w:rsid w:val="00276D71"/>
    <w:rsid w:val="002772A8"/>
    <w:rsid w:val="0027784F"/>
    <w:rsid w:val="00277EE8"/>
    <w:rsid w:val="00277F17"/>
    <w:rsid w:val="002809F1"/>
    <w:rsid w:val="00282F4E"/>
    <w:rsid w:val="00283949"/>
    <w:rsid w:val="0028439A"/>
    <w:rsid w:val="00285AA5"/>
    <w:rsid w:val="00285C92"/>
    <w:rsid w:val="00287696"/>
    <w:rsid w:val="00287EBB"/>
    <w:rsid w:val="002900F3"/>
    <w:rsid w:val="00290206"/>
    <w:rsid w:val="002903B4"/>
    <w:rsid w:val="00290EF8"/>
    <w:rsid w:val="0029115C"/>
    <w:rsid w:val="00291EA5"/>
    <w:rsid w:val="00291EE1"/>
    <w:rsid w:val="0029308E"/>
    <w:rsid w:val="002930AD"/>
    <w:rsid w:val="0029312B"/>
    <w:rsid w:val="002958AF"/>
    <w:rsid w:val="00296125"/>
    <w:rsid w:val="002973FF"/>
    <w:rsid w:val="00297DF6"/>
    <w:rsid w:val="002A0F7D"/>
    <w:rsid w:val="002A19E9"/>
    <w:rsid w:val="002A207F"/>
    <w:rsid w:val="002A25CA"/>
    <w:rsid w:val="002A2899"/>
    <w:rsid w:val="002A29B2"/>
    <w:rsid w:val="002A33E6"/>
    <w:rsid w:val="002A3883"/>
    <w:rsid w:val="002A4043"/>
    <w:rsid w:val="002A52F5"/>
    <w:rsid w:val="002A55E2"/>
    <w:rsid w:val="002A60D3"/>
    <w:rsid w:val="002A6496"/>
    <w:rsid w:val="002A6DD6"/>
    <w:rsid w:val="002A76A3"/>
    <w:rsid w:val="002B089B"/>
    <w:rsid w:val="002B2B29"/>
    <w:rsid w:val="002B3766"/>
    <w:rsid w:val="002B5F4E"/>
    <w:rsid w:val="002C01DD"/>
    <w:rsid w:val="002C06E9"/>
    <w:rsid w:val="002C1E81"/>
    <w:rsid w:val="002C1FF3"/>
    <w:rsid w:val="002C2980"/>
    <w:rsid w:val="002C2D9A"/>
    <w:rsid w:val="002C48B5"/>
    <w:rsid w:val="002C546E"/>
    <w:rsid w:val="002C6738"/>
    <w:rsid w:val="002D1AE2"/>
    <w:rsid w:val="002D6C06"/>
    <w:rsid w:val="002D6D0D"/>
    <w:rsid w:val="002D7144"/>
    <w:rsid w:val="002E1BE9"/>
    <w:rsid w:val="002E37CD"/>
    <w:rsid w:val="002E4683"/>
    <w:rsid w:val="002E588C"/>
    <w:rsid w:val="002E5BB3"/>
    <w:rsid w:val="002E60E2"/>
    <w:rsid w:val="002E6271"/>
    <w:rsid w:val="002E7AAF"/>
    <w:rsid w:val="002F04E9"/>
    <w:rsid w:val="002F06B2"/>
    <w:rsid w:val="002F09BE"/>
    <w:rsid w:val="002F0A92"/>
    <w:rsid w:val="002F109B"/>
    <w:rsid w:val="002F1CED"/>
    <w:rsid w:val="002F2414"/>
    <w:rsid w:val="002F2B7A"/>
    <w:rsid w:val="002F2E0B"/>
    <w:rsid w:val="002F30E0"/>
    <w:rsid w:val="002F609E"/>
    <w:rsid w:val="002F63EA"/>
    <w:rsid w:val="002F6691"/>
    <w:rsid w:val="002F6C42"/>
    <w:rsid w:val="00300D0B"/>
    <w:rsid w:val="00301AB5"/>
    <w:rsid w:val="003020E1"/>
    <w:rsid w:val="00303CE0"/>
    <w:rsid w:val="00304110"/>
    <w:rsid w:val="003042F0"/>
    <w:rsid w:val="00305373"/>
    <w:rsid w:val="00305A5D"/>
    <w:rsid w:val="003068AF"/>
    <w:rsid w:val="003072DE"/>
    <w:rsid w:val="00307D38"/>
    <w:rsid w:val="00311575"/>
    <w:rsid w:val="00311D88"/>
    <w:rsid w:val="003130EA"/>
    <w:rsid w:val="00313B59"/>
    <w:rsid w:val="00316A8C"/>
    <w:rsid w:val="00317347"/>
    <w:rsid w:val="00322497"/>
    <w:rsid w:val="003236EF"/>
    <w:rsid w:val="00326A07"/>
    <w:rsid w:val="00327C83"/>
    <w:rsid w:val="003305C4"/>
    <w:rsid w:val="0033065F"/>
    <w:rsid w:val="00330C00"/>
    <w:rsid w:val="00330E15"/>
    <w:rsid w:val="00333F8C"/>
    <w:rsid w:val="00334144"/>
    <w:rsid w:val="003356E9"/>
    <w:rsid w:val="0033782D"/>
    <w:rsid w:val="003402E2"/>
    <w:rsid w:val="00340941"/>
    <w:rsid w:val="00343E47"/>
    <w:rsid w:val="0034602B"/>
    <w:rsid w:val="0034687F"/>
    <w:rsid w:val="003469BC"/>
    <w:rsid w:val="003471CE"/>
    <w:rsid w:val="00350E60"/>
    <w:rsid w:val="00351F22"/>
    <w:rsid w:val="003526A7"/>
    <w:rsid w:val="00352AF2"/>
    <w:rsid w:val="003530E3"/>
    <w:rsid w:val="003532F2"/>
    <w:rsid w:val="00354A2F"/>
    <w:rsid w:val="00357774"/>
    <w:rsid w:val="003604ED"/>
    <w:rsid w:val="00360520"/>
    <w:rsid w:val="0036436A"/>
    <w:rsid w:val="003652BC"/>
    <w:rsid w:val="00365EA1"/>
    <w:rsid w:val="00366631"/>
    <w:rsid w:val="00366682"/>
    <w:rsid w:val="00366B4E"/>
    <w:rsid w:val="003671AA"/>
    <w:rsid w:val="00371F0F"/>
    <w:rsid w:val="0037418E"/>
    <w:rsid w:val="00374AE3"/>
    <w:rsid w:val="00375931"/>
    <w:rsid w:val="00376461"/>
    <w:rsid w:val="003768A8"/>
    <w:rsid w:val="00376E56"/>
    <w:rsid w:val="00377053"/>
    <w:rsid w:val="00377D48"/>
    <w:rsid w:val="00380284"/>
    <w:rsid w:val="003811BB"/>
    <w:rsid w:val="003817F7"/>
    <w:rsid w:val="003824CF"/>
    <w:rsid w:val="0038438B"/>
    <w:rsid w:val="00384B74"/>
    <w:rsid w:val="0038751B"/>
    <w:rsid w:val="00387689"/>
    <w:rsid w:val="00390921"/>
    <w:rsid w:val="0039162B"/>
    <w:rsid w:val="0039165A"/>
    <w:rsid w:val="00392C86"/>
    <w:rsid w:val="003943C0"/>
    <w:rsid w:val="0039564A"/>
    <w:rsid w:val="0039567D"/>
    <w:rsid w:val="003959D5"/>
    <w:rsid w:val="00395D8B"/>
    <w:rsid w:val="00396589"/>
    <w:rsid w:val="00396779"/>
    <w:rsid w:val="003A186C"/>
    <w:rsid w:val="003A2882"/>
    <w:rsid w:val="003A2BBB"/>
    <w:rsid w:val="003A33ED"/>
    <w:rsid w:val="003A5266"/>
    <w:rsid w:val="003A5819"/>
    <w:rsid w:val="003A7EF7"/>
    <w:rsid w:val="003B01C2"/>
    <w:rsid w:val="003B0C0C"/>
    <w:rsid w:val="003B0F00"/>
    <w:rsid w:val="003B4A0D"/>
    <w:rsid w:val="003B72DF"/>
    <w:rsid w:val="003C059D"/>
    <w:rsid w:val="003C39B2"/>
    <w:rsid w:val="003C43A3"/>
    <w:rsid w:val="003C63A1"/>
    <w:rsid w:val="003C6962"/>
    <w:rsid w:val="003C69BB"/>
    <w:rsid w:val="003C6D3B"/>
    <w:rsid w:val="003C70AC"/>
    <w:rsid w:val="003C7594"/>
    <w:rsid w:val="003C7D3E"/>
    <w:rsid w:val="003D0093"/>
    <w:rsid w:val="003D0109"/>
    <w:rsid w:val="003D18EA"/>
    <w:rsid w:val="003D1E93"/>
    <w:rsid w:val="003D35F0"/>
    <w:rsid w:val="003D3638"/>
    <w:rsid w:val="003D36E8"/>
    <w:rsid w:val="003D3BD0"/>
    <w:rsid w:val="003D4500"/>
    <w:rsid w:val="003D452F"/>
    <w:rsid w:val="003D47CC"/>
    <w:rsid w:val="003D4F94"/>
    <w:rsid w:val="003D5812"/>
    <w:rsid w:val="003D73C9"/>
    <w:rsid w:val="003E2005"/>
    <w:rsid w:val="003E2120"/>
    <w:rsid w:val="003E25AC"/>
    <w:rsid w:val="003F0666"/>
    <w:rsid w:val="003F090D"/>
    <w:rsid w:val="003F1E78"/>
    <w:rsid w:val="003F48B0"/>
    <w:rsid w:val="003F4A28"/>
    <w:rsid w:val="003F5059"/>
    <w:rsid w:val="003F544F"/>
    <w:rsid w:val="003F5A68"/>
    <w:rsid w:val="003F5DBB"/>
    <w:rsid w:val="003F600C"/>
    <w:rsid w:val="003F77D8"/>
    <w:rsid w:val="0040046C"/>
    <w:rsid w:val="004021E6"/>
    <w:rsid w:val="00402A32"/>
    <w:rsid w:val="0040326F"/>
    <w:rsid w:val="00404AC0"/>
    <w:rsid w:val="0040562A"/>
    <w:rsid w:val="00405828"/>
    <w:rsid w:val="00410E01"/>
    <w:rsid w:val="0041179F"/>
    <w:rsid w:val="004123AA"/>
    <w:rsid w:val="004135A0"/>
    <w:rsid w:val="00413887"/>
    <w:rsid w:val="00413FA6"/>
    <w:rsid w:val="004164D3"/>
    <w:rsid w:val="00416CF4"/>
    <w:rsid w:val="00416E93"/>
    <w:rsid w:val="00417C5E"/>
    <w:rsid w:val="00421E48"/>
    <w:rsid w:val="004234F8"/>
    <w:rsid w:val="00423977"/>
    <w:rsid w:val="004240ED"/>
    <w:rsid w:val="0042423B"/>
    <w:rsid w:val="0042456B"/>
    <w:rsid w:val="00425222"/>
    <w:rsid w:val="00425613"/>
    <w:rsid w:val="0042631B"/>
    <w:rsid w:val="004272AC"/>
    <w:rsid w:val="00427546"/>
    <w:rsid w:val="004310AA"/>
    <w:rsid w:val="004316BA"/>
    <w:rsid w:val="00432823"/>
    <w:rsid w:val="00432FF4"/>
    <w:rsid w:val="0043365F"/>
    <w:rsid w:val="004336FD"/>
    <w:rsid w:val="004349A3"/>
    <w:rsid w:val="00436A52"/>
    <w:rsid w:val="00437B6A"/>
    <w:rsid w:val="00442AD6"/>
    <w:rsid w:val="00442E9F"/>
    <w:rsid w:val="00444237"/>
    <w:rsid w:val="0044455C"/>
    <w:rsid w:val="00444FEB"/>
    <w:rsid w:val="0044596D"/>
    <w:rsid w:val="0044604F"/>
    <w:rsid w:val="004475B8"/>
    <w:rsid w:val="00452356"/>
    <w:rsid w:val="00453E43"/>
    <w:rsid w:val="0045420A"/>
    <w:rsid w:val="00456B57"/>
    <w:rsid w:val="0045708F"/>
    <w:rsid w:val="004570D4"/>
    <w:rsid w:val="004572A2"/>
    <w:rsid w:val="00457F00"/>
    <w:rsid w:val="004600B0"/>
    <w:rsid w:val="004602AF"/>
    <w:rsid w:val="00460C0C"/>
    <w:rsid w:val="00461319"/>
    <w:rsid w:val="00461991"/>
    <w:rsid w:val="00461C1C"/>
    <w:rsid w:val="00462064"/>
    <w:rsid w:val="00462C56"/>
    <w:rsid w:val="00462E95"/>
    <w:rsid w:val="00463168"/>
    <w:rsid w:val="00463393"/>
    <w:rsid w:val="00464B1E"/>
    <w:rsid w:val="00465174"/>
    <w:rsid w:val="00466DD5"/>
    <w:rsid w:val="00467623"/>
    <w:rsid w:val="00472080"/>
    <w:rsid w:val="00475D20"/>
    <w:rsid w:val="004761DB"/>
    <w:rsid w:val="00476286"/>
    <w:rsid w:val="00476D8A"/>
    <w:rsid w:val="00480FA3"/>
    <w:rsid w:val="004833C5"/>
    <w:rsid w:val="00483463"/>
    <w:rsid w:val="00483DE4"/>
    <w:rsid w:val="00485822"/>
    <w:rsid w:val="00486B09"/>
    <w:rsid w:val="00487A1F"/>
    <w:rsid w:val="004901B8"/>
    <w:rsid w:val="00490692"/>
    <w:rsid w:val="004913C8"/>
    <w:rsid w:val="00491EBB"/>
    <w:rsid w:val="004932CF"/>
    <w:rsid w:val="0049348D"/>
    <w:rsid w:val="004935CA"/>
    <w:rsid w:val="004947F4"/>
    <w:rsid w:val="0049538E"/>
    <w:rsid w:val="00495628"/>
    <w:rsid w:val="00496C53"/>
    <w:rsid w:val="0049725D"/>
    <w:rsid w:val="0049740D"/>
    <w:rsid w:val="00497439"/>
    <w:rsid w:val="004976E2"/>
    <w:rsid w:val="004A163D"/>
    <w:rsid w:val="004A22ED"/>
    <w:rsid w:val="004A2575"/>
    <w:rsid w:val="004A3CD6"/>
    <w:rsid w:val="004A42E3"/>
    <w:rsid w:val="004A4EDC"/>
    <w:rsid w:val="004A5DA9"/>
    <w:rsid w:val="004A780F"/>
    <w:rsid w:val="004B03F3"/>
    <w:rsid w:val="004B0862"/>
    <w:rsid w:val="004B1C34"/>
    <w:rsid w:val="004B4A5F"/>
    <w:rsid w:val="004B596E"/>
    <w:rsid w:val="004B6A95"/>
    <w:rsid w:val="004C104C"/>
    <w:rsid w:val="004C29EE"/>
    <w:rsid w:val="004C3284"/>
    <w:rsid w:val="004C3EF4"/>
    <w:rsid w:val="004C5296"/>
    <w:rsid w:val="004C5ACE"/>
    <w:rsid w:val="004C60BE"/>
    <w:rsid w:val="004C6301"/>
    <w:rsid w:val="004C661B"/>
    <w:rsid w:val="004C6660"/>
    <w:rsid w:val="004D0A19"/>
    <w:rsid w:val="004D1C6B"/>
    <w:rsid w:val="004D2653"/>
    <w:rsid w:val="004D3577"/>
    <w:rsid w:val="004D3B84"/>
    <w:rsid w:val="004D4046"/>
    <w:rsid w:val="004D7A8C"/>
    <w:rsid w:val="004E11E9"/>
    <w:rsid w:val="004E1BB1"/>
    <w:rsid w:val="004E1ECD"/>
    <w:rsid w:val="004E1F23"/>
    <w:rsid w:val="004E2254"/>
    <w:rsid w:val="004E2830"/>
    <w:rsid w:val="004E39DE"/>
    <w:rsid w:val="004E60A3"/>
    <w:rsid w:val="004F07E6"/>
    <w:rsid w:val="004F09AA"/>
    <w:rsid w:val="004F2A0E"/>
    <w:rsid w:val="004F2D32"/>
    <w:rsid w:val="004F3F27"/>
    <w:rsid w:val="004F40D5"/>
    <w:rsid w:val="004F4FCE"/>
    <w:rsid w:val="004F610D"/>
    <w:rsid w:val="004F7E03"/>
    <w:rsid w:val="00500043"/>
    <w:rsid w:val="00500751"/>
    <w:rsid w:val="00501465"/>
    <w:rsid w:val="005024CC"/>
    <w:rsid w:val="005030BA"/>
    <w:rsid w:val="00503D83"/>
    <w:rsid w:val="005049D6"/>
    <w:rsid w:val="00504CDF"/>
    <w:rsid w:val="00505C95"/>
    <w:rsid w:val="00506B2D"/>
    <w:rsid w:val="0050738B"/>
    <w:rsid w:val="00507397"/>
    <w:rsid w:val="00507A5E"/>
    <w:rsid w:val="005100E1"/>
    <w:rsid w:val="005107D1"/>
    <w:rsid w:val="00511BCC"/>
    <w:rsid w:val="00511D10"/>
    <w:rsid w:val="00513442"/>
    <w:rsid w:val="00515262"/>
    <w:rsid w:val="00515482"/>
    <w:rsid w:val="00515673"/>
    <w:rsid w:val="00517365"/>
    <w:rsid w:val="00517F43"/>
    <w:rsid w:val="00520306"/>
    <w:rsid w:val="005208FF"/>
    <w:rsid w:val="00521C89"/>
    <w:rsid w:val="00522D9C"/>
    <w:rsid w:val="005239F4"/>
    <w:rsid w:val="0052438D"/>
    <w:rsid w:val="005246A6"/>
    <w:rsid w:val="00527483"/>
    <w:rsid w:val="005274F8"/>
    <w:rsid w:val="005301F3"/>
    <w:rsid w:val="005314E9"/>
    <w:rsid w:val="00531DC1"/>
    <w:rsid w:val="005325BC"/>
    <w:rsid w:val="005336EE"/>
    <w:rsid w:val="00534FE1"/>
    <w:rsid w:val="00535812"/>
    <w:rsid w:val="00536822"/>
    <w:rsid w:val="00537056"/>
    <w:rsid w:val="0054234A"/>
    <w:rsid w:val="00542C78"/>
    <w:rsid w:val="00543053"/>
    <w:rsid w:val="0054378B"/>
    <w:rsid w:val="00543FF5"/>
    <w:rsid w:val="0054609E"/>
    <w:rsid w:val="00546424"/>
    <w:rsid w:val="00546E62"/>
    <w:rsid w:val="00550632"/>
    <w:rsid w:val="005519F6"/>
    <w:rsid w:val="00551D6E"/>
    <w:rsid w:val="00552D60"/>
    <w:rsid w:val="0055355E"/>
    <w:rsid w:val="0055393B"/>
    <w:rsid w:val="00553955"/>
    <w:rsid w:val="0055473F"/>
    <w:rsid w:val="00554F1F"/>
    <w:rsid w:val="00555A20"/>
    <w:rsid w:val="00555F4E"/>
    <w:rsid w:val="005625C3"/>
    <w:rsid w:val="00562623"/>
    <w:rsid w:val="00562DF5"/>
    <w:rsid w:val="00562FE3"/>
    <w:rsid w:val="005638FE"/>
    <w:rsid w:val="0056435D"/>
    <w:rsid w:val="00565135"/>
    <w:rsid w:val="00565B8F"/>
    <w:rsid w:val="00565E4D"/>
    <w:rsid w:val="00567D13"/>
    <w:rsid w:val="00570090"/>
    <w:rsid w:val="005700F5"/>
    <w:rsid w:val="00570979"/>
    <w:rsid w:val="00571500"/>
    <w:rsid w:val="00571E80"/>
    <w:rsid w:val="00571FD9"/>
    <w:rsid w:val="005722DE"/>
    <w:rsid w:val="00573555"/>
    <w:rsid w:val="00573A12"/>
    <w:rsid w:val="00573B85"/>
    <w:rsid w:val="00574038"/>
    <w:rsid w:val="00576332"/>
    <w:rsid w:val="0057746B"/>
    <w:rsid w:val="0057784D"/>
    <w:rsid w:val="00577BC3"/>
    <w:rsid w:val="005805D4"/>
    <w:rsid w:val="0058089A"/>
    <w:rsid w:val="0058239A"/>
    <w:rsid w:val="005825D2"/>
    <w:rsid w:val="005831F1"/>
    <w:rsid w:val="00584223"/>
    <w:rsid w:val="00584406"/>
    <w:rsid w:val="00584E65"/>
    <w:rsid w:val="00586CF8"/>
    <w:rsid w:val="00587AB4"/>
    <w:rsid w:val="005901A9"/>
    <w:rsid w:val="00593E7B"/>
    <w:rsid w:val="00593F7D"/>
    <w:rsid w:val="0059655C"/>
    <w:rsid w:val="005968CF"/>
    <w:rsid w:val="00597617"/>
    <w:rsid w:val="005978A0"/>
    <w:rsid w:val="005A11EF"/>
    <w:rsid w:val="005A1B05"/>
    <w:rsid w:val="005A1FC6"/>
    <w:rsid w:val="005A378A"/>
    <w:rsid w:val="005A3E92"/>
    <w:rsid w:val="005A512B"/>
    <w:rsid w:val="005A655F"/>
    <w:rsid w:val="005A7E7E"/>
    <w:rsid w:val="005B1810"/>
    <w:rsid w:val="005B41BD"/>
    <w:rsid w:val="005B71D6"/>
    <w:rsid w:val="005C1786"/>
    <w:rsid w:val="005C1B6F"/>
    <w:rsid w:val="005C3174"/>
    <w:rsid w:val="005C3CC2"/>
    <w:rsid w:val="005C51F2"/>
    <w:rsid w:val="005C5254"/>
    <w:rsid w:val="005C5DAC"/>
    <w:rsid w:val="005C65AD"/>
    <w:rsid w:val="005D04B0"/>
    <w:rsid w:val="005D0581"/>
    <w:rsid w:val="005D0A65"/>
    <w:rsid w:val="005D0A83"/>
    <w:rsid w:val="005D102D"/>
    <w:rsid w:val="005D1482"/>
    <w:rsid w:val="005D28F7"/>
    <w:rsid w:val="005D51F3"/>
    <w:rsid w:val="005D5ADE"/>
    <w:rsid w:val="005D5DD2"/>
    <w:rsid w:val="005D5E40"/>
    <w:rsid w:val="005D6086"/>
    <w:rsid w:val="005D60AC"/>
    <w:rsid w:val="005D7D71"/>
    <w:rsid w:val="005E0732"/>
    <w:rsid w:val="005E2434"/>
    <w:rsid w:val="005E483C"/>
    <w:rsid w:val="005E564D"/>
    <w:rsid w:val="005E5B1A"/>
    <w:rsid w:val="005E5B90"/>
    <w:rsid w:val="005E754A"/>
    <w:rsid w:val="005F0559"/>
    <w:rsid w:val="005F0D0A"/>
    <w:rsid w:val="005F123B"/>
    <w:rsid w:val="005F1794"/>
    <w:rsid w:val="005F1BCB"/>
    <w:rsid w:val="005F3114"/>
    <w:rsid w:val="005F573E"/>
    <w:rsid w:val="005F6392"/>
    <w:rsid w:val="005F7076"/>
    <w:rsid w:val="005F76FB"/>
    <w:rsid w:val="005F7B66"/>
    <w:rsid w:val="006009E5"/>
    <w:rsid w:val="006012B8"/>
    <w:rsid w:val="00601461"/>
    <w:rsid w:val="00601C04"/>
    <w:rsid w:val="0060216D"/>
    <w:rsid w:val="006023E9"/>
    <w:rsid w:val="00602C89"/>
    <w:rsid w:val="0060343F"/>
    <w:rsid w:val="00603715"/>
    <w:rsid w:val="00603C90"/>
    <w:rsid w:val="006045E6"/>
    <w:rsid w:val="0060540E"/>
    <w:rsid w:val="00605E41"/>
    <w:rsid w:val="0060621C"/>
    <w:rsid w:val="006065B2"/>
    <w:rsid w:val="00606F7A"/>
    <w:rsid w:val="00606FA0"/>
    <w:rsid w:val="0060701F"/>
    <w:rsid w:val="006076E1"/>
    <w:rsid w:val="00610BC5"/>
    <w:rsid w:val="006112FC"/>
    <w:rsid w:val="0061174A"/>
    <w:rsid w:val="00611971"/>
    <w:rsid w:val="00613CDF"/>
    <w:rsid w:val="00614BA5"/>
    <w:rsid w:val="006154FC"/>
    <w:rsid w:val="006160F4"/>
    <w:rsid w:val="006203F0"/>
    <w:rsid w:val="00623111"/>
    <w:rsid w:val="00623DD0"/>
    <w:rsid w:val="00623E63"/>
    <w:rsid w:val="00624356"/>
    <w:rsid w:val="00624D23"/>
    <w:rsid w:val="00624E33"/>
    <w:rsid w:val="00624EF6"/>
    <w:rsid w:val="00624FE6"/>
    <w:rsid w:val="00625D01"/>
    <w:rsid w:val="00627CE5"/>
    <w:rsid w:val="00627D84"/>
    <w:rsid w:val="006310C5"/>
    <w:rsid w:val="00631FEF"/>
    <w:rsid w:val="006330F5"/>
    <w:rsid w:val="00636372"/>
    <w:rsid w:val="00636655"/>
    <w:rsid w:val="006366B3"/>
    <w:rsid w:val="00636A4E"/>
    <w:rsid w:val="00637DB3"/>
    <w:rsid w:val="006402B5"/>
    <w:rsid w:val="006402EF"/>
    <w:rsid w:val="0064087E"/>
    <w:rsid w:val="00640D6F"/>
    <w:rsid w:val="0064256D"/>
    <w:rsid w:val="00644BFB"/>
    <w:rsid w:val="00645422"/>
    <w:rsid w:val="006467DE"/>
    <w:rsid w:val="00650758"/>
    <w:rsid w:val="006510B1"/>
    <w:rsid w:val="0065125F"/>
    <w:rsid w:val="006512D6"/>
    <w:rsid w:val="00654306"/>
    <w:rsid w:val="00655175"/>
    <w:rsid w:val="006564BA"/>
    <w:rsid w:val="00656E19"/>
    <w:rsid w:val="006570F6"/>
    <w:rsid w:val="006572DB"/>
    <w:rsid w:val="0065776F"/>
    <w:rsid w:val="006604E8"/>
    <w:rsid w:val="00660E2F"/>
    <w:rsid w:val="006625F5"/>
    <w:rsid w:val="0066282D"/>
    <w:rsid w:val="00664BE2"/>
    <w:rsid w:val="00666962"/>
    <w:rsid w:val="00666C21"/>
    <w:rsid w:val="006719EC"/>
    <w:rsid w:val="0067265E"/>
    <w:rsid w:val="006726BB"/>
    <w:rsid w:val="00672B4F"/>
    <w:rsid w:val="00672D8F"/>
    <w:rsid w:val="0067455D"/>
    <w:rsid w:val="00674A1D"/>
    <w:rsid w:val="00675393"/>
    <w:rsid w:val="0067682C"/>
    <w:rsid w:val="00676D57"/>
    <w:rsid w:val="006778E1"/>
    <w:rsid w:val="006803DF"/>
    <w:rsid w:val="00681C8A"/>
    <w:rsid w:val="00682396"/>
    <w:rsid w:val="0068390B"/>
    <w:rsid w:val="00684567"/>
    <w:rsid w:val="0068505D"/>
    <w:rsid w:val="00685A6F"/>
    <w:rsid w:val="00686760"/>
    <w:rsid w:val="00686849"/>
    <w:rsid w:val="006877EC"/>
    <w:rsid w:val="0069209F"/>
    <w:rsid w:val="00692C76"/>
    <w:rsid w:val="00692F66"/>
    <w:rsid w:val="00693C09"/>
    <w:rsid w:val="00694B17"/>
    <w:rsid w:val="00695023"/>
    <w:rsid w:val="006958F9"/>
    <w:rsid w:val="00696155"/>
    <w:rsid w:val="00696516"/>
    <w:rsid w:val="0069722A"/>
    <w:rsid w:val="006A0C68"/>
    <w:rsid w:val="006A1D6C"/>
    <w:rsid w:val="006A2F38"/>
    <w:rsid w:val="006A333C"/>
    <w:rsid w:val="006A3349"/>
    <w:rsid w:val="006A4442"/>
    <w:rsid w:val="006A45D6"/>
    <w:rsid w:val="006A5378"/>
    <w:rsid w:val="006A55AF"/>
    <w:rsid w:val="006A5D65"/>
    <w:rsid w:val="006A5EE4"/>
    <w:rsid w:val="006A698A"/>
    <w:rsid w:val="006A72C9"/>
    <w:rsid w:val="006A7A91"/>
    <w:rsid w:val="006A7F91"/>
    <w:rsid w:val="006B09B1"/>
    <w:rsid w:val="006B0BA0"/>
    <w:rsid w:val="006B3ECA"/>
    <w:rsid w:val="006B46A9"/>
    <w:rsid w:val="006B599C"/>
    <w:rsid w:val="006B78C7"/>
    <w:rsid w:val="006C0DF5"/>
    <w:rsid w:val="006C360C"/>
    <w:rsid w:val="006C4AD4"/>
    <w:rsid w:val="006C586F"/>
    <w:rsid w:val="006C5C65"/>
    <w:rsid w:val="006C6543"/>
    <w:rsid w:val="006C74D6"/>
    <w:rsid w:val="006C763B"/>
    <w:rsid w:val="006C7A38"/>
    <w:rsid w:val="006C7DD1"/>
    <w:rsid w:val="006D079A"/>
    <w:rsid w:val="006D103E"/>
    <w:rsid w:val="006D31B5"/>
    <w:rsid w:val="006D37C1"/>
    <w:rsid w:val="006D4DE5"/>
    <w:rsid w:val="006D5200"/>
    <w:rsid w:val="006D5F36"/>
    <w:rsid w:val="006D634F"/>
    <w:rsid w:val="006D6619"/>
    <w:rsid w:val="006D7A7B"/>
    <w:rsid w:val="006E0CB4"/>
    <w:rsid w:val="006E16F8"/>
    <w:rsid w:val="006E3ED9"/>
    <w:rsid w:val="006E4903"/>
    <w:rsid w:val="006E59F3"/>
    <w:rsid w:val="006F0415"/>
    <w:rsid w:val="006F163F"/>
    <w:rsid w:val="006F2942"/>
    <w:rsid w:val="006F2AAB"/>
    <w:rsid w:val="006F3DB2"/>
    <w:rsid w:val="006F3EBB"/>
    <w:rsid w:val="006F4131"/>
    <w:rsid w:val="006F4C1C"/>
    <w:rsid w:val="006F572A"/>
    <w:rsid w:val="006F65EC"/>
    <w:rsid w:val="0070019C"/>
    <w:rsid w:val="0070089D"/>
    <w:rsid w:val="00700922"/>
    <w:rsid w:val="00700BB0"/>
    <w:rsid w:val="00702B80"/>
    <w:rsid w:val="00704208"/>
    <w:rsid w:val="00704A2F"/>
    <w:rsid w:val="00704D3F"/>
    <w:rsid w:val="007052B4"/>
    <w:rsid w:val="0070587A"/>
    <w:rsid w:val="00705C80"/>
    <w:rsid w:val="00706A11"/>
    <w:rsid w:val="00706AF1"/>
    <w:rsid w:val="007071F0"/>
    <w:rsid w:val="00710256"/>
    <w:rsid w:val="007111EC"/>
    <w:rsid w:val="00711A78"/>
    <w:rsid w:val="00711FFB"/>
    <w:rsid w:val="00712D20"/>
    <w:rsid w:val="00713109"/>
    <w:rsid w:val="0071596F"/>
    <w:rsid w:val="00717298"/>
    <w:rsid w:val="00717302"/>
    <w:rsid w:val="00717956"/>
    <w:rsid w:val="00720DB8"/>
    <w:rsid w:val="00721AEE"/>
    <w:rsid w:val="00721F5A"/>
    <w:rsid w:val="00721FA9"/>
    <w:rsid w:val="00724E4A"/>
    <w:rsid w:val="007250F1"/>
    <w:rsid w:val="0072614F"/>
    <w:rsid w:val="00726AFC"/>
    <w:rsid w:val="00726C12"/>
    <w:rsid w:val="007273B0"/>
    <w:rsid w:val="00727DF0"/>
    <w:rsid w:val="007307F2"/>
    <w:rsid w:val="007320C7"/>
    <w:rsid w:val="00732A30"/>
    <w:rsid w:val="007330EC"/>
    <w:rsid w:val="0073565A"/>
    <w:rsid w:val="00735BDC"/>
    <w:rsid w:val="00742294"/>
    <w:rsid w:val="00743F2C"/>
    <w:rsid w:val="00750C2D"/>
    <w:rsid w:val="00751E43"/>
    <w:rsid w:val="00753138"/>
    <w:rsid w:val="00753DF9"/>
    <w:rsid w:val="00753F3B"/>
    <w:rsid w:val="00754900"/>
    <w:rsid w:val="00756F59"/>
    <w:rsid w:val="0075738B"/>
    <w:rsid w:val="00757798"/>
    <w:rsid w:val="0076033B"/>
    <w:rsid w:val="007606B8"/>
    <w:rsid w:val="007609BB"/>
    <w:rsid w:val="00762499"/>
    <w:rsid w:val="00763215"/>
    <w:rsid w:val="00763DBC"/>
    <w:rsid w:val="0076451D"/>
    <w:rsid w:val="00765181"/>
    <w:rsid w:val="00771211"/>
    <w:rsid w:val="0077218E"/>
    <w:rsid w:val="00772D3E"/>
    <w:rsid w:val="007731E0"/>
    <w:rsid w:val="00774B44"/>
    <w:rsid w:val="00775F4B"/>
    <w:rsid w:val="00777430"/>
    <w:rsid w:val="007804E2"/>
    <w:rsid w:val="0078059E"/>
    <w:rsid w:val="007843D1"/>
    <w:rsid w:val="00786094"/>
    <w:rsid w:val="00787621"/>
    <w:rsid w:val="00790EA5"/>
    <w:rsid w:val="007918D4"/>
    <w:rsid w:val="00791B1C"/>
    <w:rsid w:val="00791C1E"/>
    <w:rsid w:val="00791F28"/>
    <w:rsid w:val="0079211B"/>
    <w:rsid w:val="00792240"/>
    <w:rsid w:val="00793088"/>
    <w:rsid w:val="007932FF"/>
    <w:rsid w:val="0079378E"/>
    <w:rsid w:val="00793BDE"/>
    <w:rsid w:val="007963E8"/>
    <w:rsid w:val="00796653"/>
    <w:rsid w:val="00796F12"/>
    <w:rsid w:val="007973F0"/>
    <w:rsid w:val="00797AAA"/>
    <w:rsid w:val="007A11D2"/>
    <w:rsid w:val="007A14AE"/>
    <w:rsid w:val="007A1A3E"/>
    <w:rsid w:val="007A42C7"/>
    <w:rsid w:val="007A55FC"/>
    <w:rsid w:val="007A5856"/>
    <w:rsid w:val="007B02D5"/>
    <w:rsid w:val="007B219D"/>
    <w:rsid w:val="007B2A66"/>
    <w:rsid w:val="007B2BB7"/>
    <w:rsid w:val="007B4435"/>
    <w:rsid w:val="007B5633"/>
    <w:rsid w:val="007B5E8B"/>
    <w:rsid w:val="007B7CEF"/>
    <w:rsid w:val="007C2FAF"/>
    <w:rsid w:val="007C3F37"/>
    <w:rsid w:val="007C4561"/>
    <w:rsid w:val="007C591D"/>
    <w:rsid w:val="007C69DF"/>
    <w:rsid w:val="007D0262"/>
    <w:rsid w:val="007D3501"/>
    <w:rsid w:val="007D4B03"/>
    <w:rsid w:val="007D53DE"/>
    <w:rsid w:val="007D681C"/>
    <w:rsid w:val="007D71BF"/>
    <w:rsid w:val="007E14B7"/>
    <w:rsid w:val="007E1C03"/>
    <w:rsid w:val="007E2B94"/>
    <w:rsid w:val="007E3736"/>
    <w:rsid w:val="007E533C"/>
    <w:rsid w:val="007E55CD"/>
    <w:rsid w:val="007E6DB6"/>
    <w:rsid w:val="007F12A9"/>
    <w:rsid w:val="007F1552"/>
    <w:rsid w:val="007F1FA7"/>
    <w:rsid w:val="007F3CB3"/>
    <w:rsid w:val="007F5BCD"/>
    <w:rsid w:val="007F5FBF"/>
    <w:rsid w:val="0080003A"/>
    <w:rsid w:val="008024C7"/>
    <w:rsid w:val="00802E1A"/>
    <w:rsid w:val="00803A6A"/>
    <w:rsid w:val="00804AE2"/>
    <w:rsid w:val="00804BE3"/>
    <w:rsid w:val="00806BC0"/>
    <w:rsid w:val="0080719D"/>
    <w:rsid w:val="00810214"/>
    <w:rsid w:val="00810631"/>
    <w:rsid w:val="008167C2"/>
    <w:rsid w:val="00817210"/>
    <w:rsid w:val="008178B4"/>
    <w:rsid w:val="00820BDE"/>
    <w:rsid w:val="008211A4"/>
    <w:rsid w:val="0082167C"/>
    <w:rsid w:val="00821D70"/>
    <w:rsid w:val="008231EC"/>
    <w:rsid w:val="00825021"/>
    <w:rsid w:val="008255C9"/>
    <w:rsid w:val="00827FA7"/>
    <w:rsid w:val="008302F0"/>
    <w:rsid w:val="00830A1C"/>
    <w:rsid w:val="00830C1E"/>
    <w:rsid w:val="00830E75"/>
    <w:rsid w:val="00832A37"/>
    <w:rsid w:val="0083327A"/>
    <w:rsid w:val="00833B6D"/>
    <w:rsid w:val="00834165"/>
    <w:rsid w:val="008358CD"/>
    <w:rsid w:val="008363CC"/>
    <w:rsid w:val="008378B8"/>
    <w:rsid w:val="00841C90"/>
    <w:rsid w:val="0084403F"/>
    <w:rsid w:val="00844087"/>
    <w:rsid w:val="00844F09"/>
    <w:rsid w:val="00847DBF"/>
    <w:rsid w:val="00850B2C"/>
    <w:rsid w:val="008526E7"/>
    <w:rsid w:val="00852BB4"/>
    <w:rsid w:val="00853108"/>
    <w:rsid w:val="00855CBE"/>
    <w:rsid w:val="00856506"/>
    <w:rsid w:val="008566BD"/>
    <w:rsid w:val="00856D1A"/>
    <w:rsid w:val="00857544"/>
    <w:rsid w:val="00857C43"/>
    <w:rsid w:val="008619AD"/>
    <w:rsid w:val="0086521A"/>
    <w:rsid w:val="00865905"/>
    <w:rsid w:val="00866E58"/>
    <w:rsid w:val="008676FE"/>
    <w:rsid w:val="00867D6D"/>
    <w:rsid w:val="00870B8E"/>
    <w:rsid w:val="008732C2"/>
    <w:rsid w:val="00874708"/>
    <w:rsid w:val="0087478F"/>
    <w:rsid w:val="00875292"/>
    <w:rsid w:val="00875D95"/>
    <w:rsid w:val="008763F7"/>
    <w:rsid w:val="008770D5"/>
    <w:rsid w:val="00877162"/>
    <w:rsid w:val="0087725C"/>
    <w:rsid w:val="008774CB"/>
    <w:rsid w:val="00877691"/>
    <w:rsid w:val="00877B77"/>
    <w:rsid w:val="00877DF9"/>
    <w:rsid w:val="00877F94"/>
    <w:rsid w:val="00880430"/>
    <w:rsid w:val="008807E3"/>
    <w:rsid w:val="0088181C"/>
    <w:rsid w:val="00883F2B"/>
    <w:rsid w:val="008853E0"/>
    <w:rsid w:val="008858F1"/>
    <w:rsid w:val="00887A68"/>
    <w:rsid w:val="008906AE"/>
    <w:rsid w:val="00890A9D"/>
    <w:rsid w:val="00890FA2"/>
    <w:rsid w:val="00891380"/>
    <w:rsid w:val="008939A5"/>
    <w:rsid w:val="00894813"/>
    <w:rsid w:val="008948AB"/>
    <w:rsid w:val="0089492F"/>
    <w:rsid w:val="00895730"/>
    <w:rsid w:val="00895BA3"/>
    <w:rsid w:val="00896A26"/>
    <w:rsid w:val="008A0CCB"/>
    <w:rsid w:val="008A0D95"/>
    <w:rsid w:val="008A28D9"/>
    <w:rsid w:val="008A2AF6"/>
    <w:rsid w:val="008A49EE"/>
    <w:rsid w:val="008A4A7F"/>
    <w:rsid w:val="008A57A5"/>
    <w:rsid w:val="008A6064"/>
    <w:rsid w:val="008A6CEC"/>
    <w:rsid w:val="008A7D21"/>
    <w:rsid w:val="008B09FB"/>
    <w:rsid w:val="008B121F"/>
    <w:rsid w:val="008B2499"/>
    <w:rsid w:val="008B27E7"/>
    <w:rsid w:val="008B4501"/>
    <w:rsid w:val="008B4B14"/>
    <w:rsid w:val="008B5A0E"/>
    <w:rsid w:val="008B6BF8"/>
    <w:rsid w:val="008B7689"/>
    <w:rsid w:val="008C08D7"/>
    <w:rsid w:val="008C0972"/>
    <w:rsid w:val="008C1A2F"/>
    <w:rsid w:val="008C1EF5"/>
    <w:rsid w:val="008C3B76"/>
    <w:rsid w:val="008C45FF"/>
    <w:rsid w:val="008C69AF"/>
    <w:rsid w:val="008C7128"/>
    <w:rsid w:val="008C75DF"/>
    <w:rsid w:val="008D04CE"/>
    <w:rsid w:val="008D1C5E"/>
    <w:rsid w:val="008D1EF1"/>
    <w:rsid w:val="008D3984"/>
    <w:rsid w:val="008D40F8"/>
    <w:rsid w:val="008D5D9C"/>
    <w:rsid w:val="008D62FA"/>
    <w:rsid w:val="008E020E"/>
    <w:rsid w:val="008E0EC0"/>
    <w:rsid w:val="008E0F37"/>
    <w:rsid w:val="008E160B"/>
    <w:rsid w:val="008E3456"/>
    <w:rsid w:val="008E39FA"/>
    <w:rsid w:val="008E5A17"/>
    <w:rsid w:val="008E6483"/>
    <w:rsid w:val="008E7B44"/>
    <w:rsid w:val="008E7BF6"/>
    <w:rsid w:val="008F107C"/>
    <w:rsid w:val="008F1D93"/>
    <w:rsid w:val="008F2052"/>
    <w:rsid w:val="008F2960"/>
    <w:rsid w:val="008F2A84"/>
    <w:rsid w:val="008F2D0F"/>
    <w:rsid w:val="008F3678"/>
    <w:rsid w:val="008F4498"/>
    <w:rsid w:val="008F545F"/>
    <w:rsid w:val="008F65C8"/>
    <w:rsid w:val="00901A83"/>
    <w:rsid w:val="00901F47"/>
    <w:rsid w:val="00902DF4"/>
    <w:rsid w:val="00903FBB"/>
    <w:rsid w:val="0090510E"/>
    <w:rsid w:val="009052E9"/>
    <w:rsid w:val="0090663D"/>
    <w:rsid w:val="00906AFC"/>
    <w:rsid w:val="009071F9"/>
    <w:rsid w:val="00907A96"/>
    <w:rsid w:val="0091038B"/>
    <w:rsid w:val="0091063D"/>
    <w:rsid w:val="0091094A"/>
    <w:rsid w:val="00911DC4"/>
    <w:rsid w:val="00912069"/>
    <w:rsid w:val="00912751"/>
    <w:rsid w:val="0091301D"/>
    <w:rsid w:val="009144E4"/>
    <w:rsid w:val="009150C5"/>
    <w:rsid w:val="00915E98"/>
    <w:rsid w:val="00917777"/>
    <w:rsid w:val="00917AF7"/>
    <w:rsid w:val="00917FF0"/>
    <w:rsid w:val="00920AFC"/>
    <w:rsid w:val="009223C9"/>
    <w:rsid w:val="009225E3"/>
    <w:rsid w:val="00924E8F"/>
    <w:rsid w:val="009253FF"/>
    <w:rsid w:val="009264DB"/>
    <w:rsid w:val="00927DE9"/>
    <w:rsid w:val="009309B2"/>
    <w:rsid w:val="009314C2"/>
    <w:rsid w:val="0093173C"/>
    <w:rsid w:val="00931BDE"/>
    <w:rsid w:val="00931E4A"/>
    <w:rsid w:val="00932B76"/>
    <w:rsid w:val="0093353E"/>
    <w:rsid w:val="00935B31"/>
    <w:rsid w:val="0093763A"/>
    <w:rsid w:val="00940432"/>
    <w:rsid w:val="00941167"/>
    <w:rsid w:val="00944016"/>
    <w:rsid w:val="00944A7E"/>
    <w:rsid w:val="009452C8"/>
    <w:rsid w:val="00945B48"/>
    <w:rsid w:val="009466FA"/>
    <w:rsid w:val="00946813"/>
    <w:rsid w:val="009505CC"/>
    <w:rsid w:val="0095151F"/>
    <w:rsid w:val="009528C4"/>
    <w:rsid w:val="00952A22"/>
    <w:rsid w:val="00952BE4"/>
    <w:rsid w:val="00953331"/>
    <w:rsid w:val="00955748"/>
    <w:rsid w:val="0095576E"/>
    <w:rsid w:val="00955F41"/>
    <w:rsid w:val="009565D3"/>
    <w:rsid w:val="00956B30"/>
    <w:rsid w:val="00957845"/>
    <w:rsid w:val="009611FF"/>
    <w:rsid w:val="00962B78"/>
    <w:rsid w:val="009631F0"/>
    <w:rsid w:val="0096695E"/>
    <w:rsid w:val="00966E98"/>
    <w:rsid w:val="009679A9"/>
    <w:rsid w:val="00970F1B"/>
    <w:rsid w:val="009713EE"/>
    <w:rsid w:val="00971553"/>
    <w:rsid w:val="00971E35"/>
    <w:rsid w:val="00972085"/>
    <w:rsid w:val="00972CD2"/>
    <w:rsid w:val="00973406"/>
    <w:rsid w:val="00974859"/>
    <w:rsid w:val="00975868"/>
    <w:rsid w:val="00976E7F"/>
    <w:rsid w:val="00981AB0"/>
    <w:rsid w:val="00983543"/>
    <w:rsid w:val="00984E06"/>
    <w:rsid w:val="009858F1"/>
    <w:rsid w:val="00985A88"/>
    <w:rsid w:val="00987362"/>
    <w:rsid w:val="009916C1"/>
    <w:rsid w:val="00991875"/>
    <w:rsid w:val="009939DF"/>
    <w:rsid w:val="00995ACD"/>
    <w:rsid w:val="00996B78"/>
    <w:rsid w:val="009A100A"/>
    <w:rsid w:val="009A2450"/>
    <w:rsid w:val="009A33B8"/>
    <w:rsid w:val="009A359F"/>
    <w:rsid w:val="009A5A0A"/>
    <w:rsid w:val="009A6BBD"/>
    <w:rsid w:val="009A7600"/>
    <w:rsid w:val="009A7822"/>
    <w:rsid w:val="009B06FD"/>
    <w:rsid w:val="009B278A"/>
    <w:rsid w:val="009B5BF1"/>
    <w:rsid w:val="009B73FB"/>
    <w:rsid w:val="009C13F2"/>
    <w:rsid w:val="009C1654"/>
    <w:rsid w:val="009C1969"/>
    <w:rsid w:val="009C23BA"/>
    <w:rsid w:val="009C3FA8"/>
    <w:rsid w:val="009C4521"/>
    <w:rsid w:val="009C4C4B"/>
    <w:rsid w:val="009C6EB9"/>
    <w:rsid w:val="009C7931"/>
    <w:rsid w:val="009D0A8F"/>
    <w:rsid w:val="009D1F34"/>
    <w:rsid w:val="009D40CE"/>
    <w:rsid w:val="009D421D"/>
    <w:rsid w:val="009D5033"/>
    <w:rsid w:val="009D5BBC"/>
    <w:rsid w:val="009D6842"/>
    <w:rsid w:val="009D7C0B"/>
    <w:rsid w:val="009E1052"/>
    <w:rsid w:val="009E1439"/>
    <w:rsid w:val="009E1BC7"/>
    <w:rsid w:val="009E3BB6"/>
    <w:rsid w:val="009E587D"/>
    <w:rsid w:val="009E6D62"/>
    <w:rsid w:val="009E74F7"/>
    <w:rsid w:val="009E7CE5"/>
    <w:rsid w:val="009F0B65"/>
    <w:rsid w:val="009F1472"/>
    <w:rsid w:val="009F21BF"/>
    <w:rsid w:val="009F28A9"/>
    <w:rsid w:val="009F2D6A"/>
    <w:rsid w:val="009F3994"/>
    <w:rsid w:val="009F3A9E"/>
    <w:rsid w:val="009F62F6"/>
    <w:rsid w:val="009F648A"/>
    <w:rsid w:val="00A00139"/>
    <w:rsid w:val="00A0104E"/>
    <w:rsid w:val="00A015C4"/>
    <w:rsid w:val="00A02153"/>
    <w:rsid w:val="00A02180"/>
    <w:rsid w:val="00A0331D"/>
    <w:rsid w:val="00A03577"/>
    <w:rsid w:val="00A039A1"/>
    <w:rsid w:val="00A03AB9"/>
    <w:rsid w:val="00A0491D"/>
    <w:rsid w:val="00A06B27"/>
    <w:rsid w:val="00A10096"/>
    <w:rsid w:val="00A104D8"/>
    <w:rsid w:val="00A109EC"/>
    <w:rsid w:val="00A10AF8"/>
    <w:rsid w:val="00A10C76"/>
    <w:rsid w:val="00A11A2F"/>
    <w:rsid w:val="00A11A55"/>
    <w:rsid w:val="00A13181"/>
    <w:rsid w:val="00A14E22"/>
    <w:rsid w:val="00A15C5D"/>
    <w:rsid w:val="00A1608A"/>
    <w:rsid w:val="00A17293"/>
    <w:rsid w:val="00A17831"/>
    <w:rsid w:val="00A20478"/>
    <w:rsid w:val="00A20686"/>
    <w:rsid w:val="00A211AD"/>
    <w:rsid w:val="00A22047"/>
    <w:rsid w:val="00A22813"/>
    <w:rsid w:val="00A233AD"/>
    <w:rsid w:val="00A23610"/>
    <w:rsid w:val="00A24A4A"/>
    <w:rsid w:val="00A26155"/>
    <w:rsid w:val="00A27F54"/>
    <w:rsid w:val="00A30616"/>
    <w:rsid w:val="00A31BA1"/>
    <w:rsid w:val="00A32A6F"/>
    <w:rsid w:val="00A32B9C"/>
    <w:rsid w:val="00A337FC"/>
    <w:rsid w:val="00A34D70"/>
    <w:rsid w:val="00A40561"/>
    <w:rsid w:val="00A40D48"/>
    <w:rsid w:val="00A416DD"/>
    <w:rsid w:val="00A421BD"/>
    <w:rsid w:val="00A43CDB"/>
    <w:rsid w:val="00A44822"/>
    <w:rsid w:val="00A469E9"/>
    <w:rsid w:val="00A46A87"/>
    <w:rsid w:val="00A46C1D"/>
    <w:rsid w:val="00A47DCC"/>
    <w:rsid w:val="00A50D7C"/>
    <w:rsid w:val="00A520CF"/>
    <w:rsid w:val="00A5296D"/>
    <w:rsid w:val="00A53153"/>
    <w:rsid w:val="00A5332D"/>
    <w:rsid w:val="00A53551"/>
    <w:rsid w:val="00A54348"/>
    <w:rsid w:val="00A54912"/>
    <w:rsid w:val="00A60BF0"/>
    <w:rsid w:val="00A618C2"/>
    <w:rsid w:val="00A620FA"/>
    <w:rsid w:val="00A62E44"/>
    <w:rsid w:val="00A642AD"/>
    <w:rsid w:val="00A654EA"/>
    <w:rsid w:val="00A6661B"/>
    <w:rsid w:val="00A670CB"/>
    <w:rsid w:val="00A70DBB"/>
    <w:rsid w:val="00A715EB"/>
    <w:rsid w:val="00A72384"/>
    <w:rsid w:val="00A74FDE"/>
    <w:rsid w:val="00A76B99"/>
    <w:rsid w:val="00A76DFD"/>
    <w:rsid w:val="00A77437"/>
    <w:rsid w:val="00A806B0"/>
    <w:rsid w:val="00A81F6E"/>
    <w:rsid w:val="00A81FD1"/>
    <w:rsid w:val="00A8304D"/>
    <w:rsid w:val="00A8338F"/>
    <w:rsid w:val="00A85B46"/>
    <w:rsid w:val="00A85EC9"/>
    <w:rsid w:val="00A86709"/>
    <w:rsid w:val="00A879C9"/>
    <w:rsid w:val="00A9099F"/>
    <w:rsid w:val="00A91CE9"/>
    <w:rsid w:val="00A925CC"/>
    <w:rsid w:val="00A93CB3"/>
    <w:rsid w:val="00A94570"/>
    <w:rsid w:val="00A94BEF"/>
    <w:rsid w:val="00A95089"/>
    <w:rsid w:val="00A9609D"/>
    <w:rsid w:val="00A96203"/>
    <w:rsid w:val="00AA2546"/>
    <w:rsid w:val="00AA2E2D"/>
    <w:rsid w:val="00AA371E"/>
    <w:rsid w:val="00AA3B8F"/>
    <w:rsid w:val="00AA40FC"/>
    <w:rsid w:val="00AA4645"/>
    <w:rsid w:val="00AA4DA7"/>
    <w:rsid w:val="00AA65F6"/>
    <w:rsid w:val="00AB14CA"/>
    <w:rsid w:val="00AB2D68"/>
    <w:rsid w:val="00AB45EA"/>
    <w:rsid w:val="00AB4C03"/>
    <w:rsid w:val="00AB5FF7"/>
    <w:rsid w:val="00AB6096"/>
    <w:rsid w:val="00AB74FD"/>
    <w:rsid w:val="00AB7611"/>
    <w:rsid w:val="00AB789C"/>
    <w:rsid w:val="00AB7F6B"/>
    <w:rsid w:val="00AC163E"/>
    <w:rsid w:val="00AC2249"/>
    <w:rsid w:val="00AC328E"/>
    <w:rsid w:val="00AC43E0"/>
    <w:rsid w:val="00AC4DC1"/>
    <w:rsid w:val="00AC6243"/>
    <w:rsid w:val="00AC6FEF"/>
    <w:rsid w:val="00AC78EC"/>
    <w:rsid w:val="00AC79DD"/>
    <w:rsid w:val="00AD1438"/>
    <w:rsid w:val="00AD1B99"/>
    <w:rsid w:val="00AD372D"/>
    <w:rsid w:val="00AD3EB6"/>
    <w:rsid w:val="00AD407C"/>
    <w:rsid w:val="00AD491B"/>
    <w:rsid w:val="00AD63A3"/>
    <w:rsid w:val="00AD658E"/>
    <w:rsid w:val="00AD796D"/>
    <w:rsid w:val="00AD7B1E"/>
    <w:rsid w:val="00AE115A"/>
    <w:rsid w:val="00AE1C50"/>
    <w:rsid w:val="00AE234B"/>
    <w:rsid w:val="00AE23D9"/>
    <w:rsid w:val="00AE2F21"/>
    <w:rsid w:val="00AE4BCE"/>
    <w:rsid w:val="00AE5E2D"/>
    <w:rsid w:val="00AE65C1"/>
    <w:rsid w:val="00AF0CB4"/>
    <w:rsid w:val="00AF12E4"/>
    <w:rsid w:val="00AF19EA"/>
    <w:rsid w:val="00AF2CC2"/>
    <w:rsid w:val="00AF2DB1"/>
    <w:rsid w:val="00AF4FBA"/>
    <w:rsid w:val="00AF591F"/>
    <w:rsid w:val="00AF5A3B"/>
    <w:rsid w:val="00AF5D15"/>
    <w:rsid w:val="00AF628E"/>
    <w:rsid w:val="00B01BD5"/>
    <w:rsid w:val="00B02C8E"/>
    <w:rsid w:val="00B036DD"/>
    <w:rsid w:val="00B04CE3"/>
    <w:rsid w:val="00B05C2B"/>
    <w:rsid w:val="00B06A35"/>
    <w:rsid w:val="00B06CC5"/>
    <w:rsid w:val="00B10D6E"/>
    <w:rsid w:val="00B11623"/>
    <w:rsid w:val="00B12B90"/>
    <w:rsid w:val="00B12C5D"/>
    <w:rsid w:val="00B1305C"/>
    <w:rsid w:val="00B131FB"/>
    <w:rsid w:val="00B14185"/>
    <w:rsid w:val="00B145FA"/>
    <w:rsid w:val="00B1479C"/>
    <w:rsid w:val="00B14970"/>
    <w:rsid w:val="00B14A12"/>
    <w:rsid w:val="00B23B4D"/>
    <w:rsid w:val="00B24B8B"/>
    <w:rsid w:val="00B254DD"/>
    <w:rsid w:val="00B26185"/>
    <w:rsid w:val="00B265A3"/>
    <w:rsid w:val="00B27A16"/>
    <w:rsid w:val="00B27BE9"/>
    <w:rsid w:val="00B30C70"/>
    <w:rsid w:val="00B30FF2"/>
    <w:rsid w:val="00B32FB9"/>
    <w:rsid w:val="00B335B8"/>
    <w:rsid w:val="00B359A2"/>
    <w:rsid w:val="00B35BB0"/>
    <w:rsid w:val="00B35E79"/>
    <w:rsid w:val="00B35FBD"/>
    <w:rsid w:val="00B3682A"/>
    <w:rsid w:val="00B37953"/>
    <w:rsid w:val="00B4105E"/>
    <w:rsid w:val="00B43806"/>
    <w:rsid w:val="00B43B61"/>
    <w:rsid w:val="00B44308"/>
    <w:rsid w:val="00B46AD5"/>
    <w:rsid w:val="00B47EB3"/>
    <w:rsid w:val="00B5061F"/>
    <w:rsid w:val="00B51017"/>
    <w:rsid w:val="00B517B1"/>
    <w:rsid w:val="00B51980"/>
    <w:rsid w:val="00B52303"/>
    <w:rsid w:val="00B52559"/>
    <w:rsid w:val="00B53E6E"/>
    <w:rsid w:val="00B544A8"/>
    <w:rsid w:val="00B54DDD"/>
    <w:rsid w:val="00B55643"/>
    <w:rsid w:val="00B563DC"/>
    <w:rsid w:val="00B56429"/>
    <w:rsid w:val="00B56D52"/>
    <w:rsid w:val="00B57014"/>
    <w:rsid w:val="00B5752A"/>
    <w:rsid w:val="00B60591"/>
    <w:rsid w:val="00B61516"/>
    <w:rsid w:val="00B619D8"/>
    <w:rsid w:val="00B62011"/>
    <w:rsid w:val="00B6242C"/>
    <w:rsid w:val="00B6299B"/>
    <w:rsid w:val="00B6304C"/>
    <w:rsid w:val="00B639FB"/>
    <w:rsid w:val="00B64224"/>
    <w:rsid w:val="00B64DC6"/>
    <w:rsid w:val="00B655AB"/>
    <w:rsid w:val="00B65898"/>
    <w:rsid w:val="00B66CF6"/>
    <w:rsid w:val="00B67724"/>
    <w:rsid w:val="00B70E4A"/>
    <w:rsid w:val="00B715D1"/>
    <w:rsid w:val="00B71DA6"/>
    <w:rsid w:val="00B72B53"/>
    <w:rsid w:val="00B732FC"/>
    <w:rsid w:val="00B74BC1"/>
    <w:rsid w:val="00B77D82"/>
    <w:rsid w:val="00B800EA"/>
    <w:rsid w:val="00B80241"/>
    <w:rsid w:val="00B818CE"/>
    <w:rsid w:val="00B81FF6"/>
    <w:rsid w:val="00B83A1A"/>
    <w:rsid w:val="00B843AF"/>
    <w:rsid w:val="00B8510A"/>
    <w:rsid w:val="00B86166"/>
    <w:rsid w:val="00B8706B"/>
    <w:rsid w:val="00B87857"/>
    <w:rsid w:val="00B87C53"/>
    <w:rsid w:val="00B9001C"/>
    <w:rsid w:val="00B90074"/>
    <w:rsid w:val="00B90BA4"/>
    <w:rsid w:val="00B91445"/>
    <w:rsid w:val="00B918BF"/>
    <w:rsid w:val="00B91ACA"/>
    <w:rsid w:val="00B91B46"/>
    <w:rsid w:val="00B91BBF"/>
    <w:rsid w:val="00B92081"/>
    <w:rsid w:val="00B942FF"/>
    <w:rsid w:val="00B948BA"/>
    <w:rsid w:val="00B948D2"/>
    <w:rsid w:val="00B95A94"/>
    <w:rsid w:val="00B97BC7"/>
    <w:rsid w:val="00BA3C37"/>
    <w:rsid w:val="00BA4969"/>
    <w:rsid w:val="00BA70C8"/>
    <w:rsid w:val="00BA7108"/>
    <w:rsid w:val="00BA7EC7"/>
    <w:rsid w:val="00BB0FAF"/>
    <w:rsid w:val="00BB2324"/>
    <w:rsid w:val="00BB40D2"/>
    <w:rsid w:val="00BB4B60"/>
    <w:rsid w:val="00BB6687"/>
    <w:rsid w:val="00BC0043"/>
    <w:rsid w:val="00BC2741"/>
    <w:rsid w:val="00BC3093"/>
    <w:rsid w:val="00BC46D7"/>
    <w:rsid w:val="00BC5275"/>
    <w:rsid w:val="00BC5D14"/>
    <w:rsid w:val="00BC7B16"/>
    <w:rsid w:val="00BC7E69"/>
    <w:rsid w:val="00BD1D2A"/>
    <w:rsid w:val="00BD1FED"/>
    <w:rsid w:val="00BD357D"/>
    <w:rsid w:val="00BD359C"/>
    <w:rsid w:val="00BD3AB3"/>
    <w:rsid w:val="00BD3B26"/>
    <w:rsid w:val="00BD46F0"/>
    <w:rsid w:val="00BD4D78"/>
    <w:rsid w:val="00BD66BA"/>
    <w:rsid w:val="00BD66C3"/>
    <w:rsid w:val="00BD6E90"/>
    <w:rsid w:val="00BE11A2"/>
    <w:rsid w:val="00BE2514"/>
    <w:rsid w:val="00BE32E9"/>
    <w:rsid w:val="00BE33A7"/>
    <w:rsid w:val="00BE3FDB"/>
    <w:rsid w:val="00BE65C0"/>
    <w:rsid w:val="00BE7F58"/>
    <w:rsid w:val="00BF02EE"/>
    <w:rsid w:val="00BF0ED6"/>
    <w:rsid w:val="00BF2A6C"/>
    <w:rsid w:val="00BF3028"/>
    <w:rsid w:val="00BF3620"/>
    <w:rsid w:val="00BF42CB"/>
    <w:rsid w:val="00BF4354"/>
    <w:rsid w:val="00BF4648"/>
    <w:rsid w:val="00BF489F"/>
    <w:rsid w:val="00BF4A19"/>
    <w:rsid w:val="00BF583F"/>
    <w:rsid w:val="00BF5D83"/>
    <w:rsid w:val="00C02481"/>
    <w:rsid w:val="00C038AE"/>
    <w:rsid w:val="00C04170"/>
    <w:rsid w:val="00C053BC"/>
    <w:rsid w:val="00C05CD5"/>
    <w:rsid w:val="00C06176"/>
    <w:rsid w:val="00C072AA"/>
    <w:rsid w:val="00C07F74"/>
    <w:rsid w:val="00C10C90"/>
    <w:rsid w:val="00C11B1F"/>
    <w:rsid w:val="00C12E9C"/>
    <w:rsid w:val="00C15870"/>
    <w:rsid w:val="00C1686F"/>
    <w:rsid w:val="00C17EB3"/>
    <w:rsid w:val="00C201EC"/>
    <w:rsid w:val="00C209BF"/>
    <w:rsid w:val="00C2262A"/>
    <w:rsid w:val="00C230C3"/>
    <w:rsid w:val="00C2325A"/>
    <w:rsid w:val="00C23DA7"/>
    <w:rsid w:val="00C23EFF"/>
    <w:rsid w:val="00C24000"/>
    <w:rsid w:val="00C243A5"/>
    <w:rsid w:val="00C24411"/>
    <w:rsid w:val="00C27BD0"/>
    <w:rsid w:val="00C303E4"/>
    <w:rsid w:val="00C31B22"/>
    <w:rsid w:val="00C31D76"/>
    <w:rsid w:val="00C31EA8"/>
    <w:rsid w:val="00C33068"/>
    <w:rsid w:val="00C33B6D"/>
    <w:rsid w:val="00C33EF1"/>
    <w:rsid w:val="00C3414C"/>
    <w:rsid w:val="00C34414"/>
    <w:rsid w:val="00C35653"/>
    <w:rsid w:val="00C35672"/>
    <w:rsid w:val="00C365FD"/>
    <w:rsid w:val="00C37AA3"/>
    <w:rsid w:val="00C43292"/>
    <w:rsid w:val="00C44D6D"/>
    <w:rsid w:val="00C469B9"/>
    <w:rsid w:val="00C46EF3"/>
    <w:rsid w:val="00C4780E"/>
    <w:rsid w:val="00C504C6"/>
    <w:rsid w:val="00C51B35"/>
    <w:rsid w:val="00C51B71"/>
    <w:rsid w:val="00C51D1F"/>
    <w:rsid w:val="00C52D94"/>
    <w:rsid w:val="00C56B45"/>
    <w:rsid w:val="00C5717B"/>
    <w:rsid w:val="00C6021A"/>
    <w:rsid w:val="00C60D47"/>
    <w:rsid w:val="00C61AE3"/>
    <w:rsid w:val="00C62015"/>
    <w:rsid w:val="00C636A7"/>
    <w:rsid w:val="00C647C4"/>
    <w:rsid w:val="00C66208"/>
    <w:rsid w:val="00C666FC"/>
    <w:rsid w:val="00C6761A"/>
    <w:rsid w:val="00C71206"/>
    <w:rsid w:val="00C725B8"/>
    <w:rsid w:val="00C7313D"/>
    <w:rsid w:val="00C75D19"/>
    <w:rsid w:val="00C760BC"/>
    <w:rsid w:val="00C76CFD"/>
    <w:rsid w:val="00C77E59"/>
    <w:rsid w:val="00C82765"/>
    <w:rsid w:val="00C82DD7"/>
    <w:rsid w:val="00C839E8"/>
    <w:rsid w:val="00C83B3F"/>
    <w:rsid w:val="00C84DD3"/>
    <w:rsid w:val="00C86FCF"/>
    <w:rsid w:val="00C90D53"/>
    <w:rsid w:val="00C91787"/>
    <w:rsid w:val="00C918A4"/>
    <w:rsid w:val="00C92116"/>
    <w:rsid w:val="00C926E3"/>
    <w:rsid w:val="00C937B4"/>
    <w:rsid w:val="00C94724"/>
    <w:rsid w:val="00C95252"/>
    <w:rsid w:val="00C956F0"/>
    <w:rsid w:val="00C96B06"/>
    <w:rsid w:val="00CA09D5"/>
    <w:rsid w:val="00CA0DFF"/>
    <w:rsid w:val="00CA35B6"/>
    <w:rsid w:val="00CA423A"/>
    <w:rsid w:val="00CA444A"/>
    <w:rsid w:val="00CA68A0"/>
    <w:rsid w:val="00CA7FF8"/>
    <w:rsid w:val="00CB0083"/>
    <w:rsid w:val="00CB0A81"/>
    <w:rsid w:val="00CB0AED"/>
    <w:rsid w:val="00CB13C4"/>
    <w:rsid w:val="00CB24E9"/>
    <w:rsid w:val="00CB265D"/>
    <w:rsid w:val="00CB3FFD"/>
    <w:rsid w:val="00CB4ABB"/>
    <w:rsid w:val="00CB61C9"/>
    <w:rsid w:val="00CB629D"/>
    <w:rsid w:val="00CB63A8"/>
    <w:rsid w:val="00CB6AE9"/>
    <w:rsid w:val="00CB7487"/>
    <w:rsid w:val="00CB7A22"/>
    <w:rsid w:val="00CC07D4"/>
    <w:rsid w:val="00CC0D74"/>
    <w:rsid w:val="00CC1382"/>
    <w:rsid w:val="00CC1CCE"/>
    <w:rsid w:val="00CC5221"/>
    <w:rsid w:val="00CC5D09"/>
    <w:rsid w:val="00CD0C1A"/>
    <w:rsid w:val="00CD14BA"/>
    <w:rsid w:val="00CD152F"/>
    <w:rsid w:val="00CD2A46"/>
    <w:rsid w:val="00CD30BC"/>
    <w:rsid w:val="00CD3AAB"/>
    <w:rsid w:val="00CD55C8"/>
    <w:rsid w:val="00CD56EA"/>
    <w:rsid w:val="00CD5958"/>
    <w:rsid w:val="00CD5DF4"/>
    <w:rsid w:val="00CD6BF0"/>
    <w:rsid w:val="00CD6F2A"/>
    <w:rsid w:val="00CE03BC"/>
    <w:rsid w:val="00CE05E8"/>
    <w:rsid w:val="00CE1EDA"/>
    <w:rsid w:val="00CE2289"/>
    <w:rsid w:val="00CE2459"/>
    <w:rsid w:val="00CE29A8"/>
    <w:rsid w:val="00CE2EA9"/>
    <w:rsid w:val="00CE3279"/>
    <w:rsid w:val="00CE33FB"/>
    <w:rsid w:val="00CE428F"/>
    <w:rsid w:val="00CE5945"/>
    <w:rsid w:val="00CE62B2"/>
    <w:rsid w:val="00CE68E7"/>
    <w:rsid w:val="00CF1C7B"/>
    <w:rsid w:val="00CF2D05"/>
    <w:rsid w:val="00CF363F"/>
    <w:rsid w:val="00CF4E4F"/>
    <w:rsid w:val="00CF523F"/>
    <w:rsid w:val="00CF5317"/>
    <w:rsid w:val="00CF5979"/>
    <w:rsid w:val="00CF5B4E"/>
    <w:rsid w:val="00CF6A12"/>
    <w:rsid w:val="00CF7630"/>
    <w:rsid w:val="00D005D4"/>
    <w:rsid w:val="00D028D8"/>
    <w:rsid w:val="00D031B6"/>
    <w:rsid w:val="00D0338F"/>
    <w:rsid w:val="00D0405D"/>
    <w:rsid w:val="00D05E0E"/>
    <w:rsid w:val="00D07752"/>
    <w:rsid w:val="00D07830"/>
    <w:rsid w:val="00D07CB4"/>
    <w:rsid w:val="00D10071"/>
    <w:rsid w:val="00D107E4"/>
    <w:rsid w:val="00D10A39"/>
    <w:rsid w:val="00D12081"/>
    <w:rsid w:val="00D13634"/>
    <w:rsid w:val="00D14E94"/>
    <w:rsid w:val="00D14E9B"/>
    <w:rsid w:val="00D152A9"/>
    <w:rsid w:val="00D15C06"/>
    <w:rsid w:val="00D160C5"/>
    <w:rsid w:val="00D1657A"/>
    <w:rsid w:val="00D16C8C"/>
    <w:rsid w:val="00D174E3"/>
    <w:rsid w:val="00D2119E"/>
    <w:rsid w:val="00D22176"/>
    <w:rsid w:val="00D2345D"/>
    <w:rsid w:val="00D241F3"/>
    <w:rsid w:val="00D24C7E"/>
    <w:rsid w:val="00D24D77"/>
    <w:rsid w:val="00D25780"/>
    <w:rsid w:val="00D26E24"/>
    <w:rsid w:val="00D273E3"/>
    <w:rsid w:val="00D27D8F"/>
    <w:rsid w:val="00D27F76"/>
    <w:rsid w:val="00D3158E"/>
    <w:rsid w:val="00D31B8D"/>
    <w:rsid w:val="00D320F3"/>
    <w:rsid w:val="00D327B0"/>
    <w:rsid w:val="00D32CDC"/>
    <w:rsid w:val="00D33B99"/>
    <w:rsid w:val="00D33BB4"/>
    <w:rsid w:val="00D341EE"/>
    <w:rsid w:val="00D34369"/>
    <w:rsid w:val="00D343F1"/>
    <w:rsid w:val="00D34931"/>
    <w:rsid w:val="00D362FC"/>
    <w:rsid w:val="00D37273"/>
    <w:rsid w:val="00D37DFF"/>
    <w:rsid w:val="00D40AB4"/>
    <w:rsid w:val="00D41A50"/>
    <w:rsid w:val="00D43AFB"/>
    <w:rsid w:val="00D455CE"/>
    <w:rsid w:val="00D46D36"/>
    <w:rsid w:val="00D50D70"/>
    <w:rsid w:val="00D51D5B"/>
    <w:rsid w:val="00D5224A"/>
    <w:rsid w:val="00D52A9C"/>
    <w:rsid w:val="00D534C1"/>
    <w:rsid w:val="00D55C07"/>
    <w:rsid w:val="00D57358"/>
    <w:rsid w:val="00D5752C"/>
    <w:rsid w:val="00D6217C"/>
    <w:rsid w:val="00D623B9"/>
    <w:rsid w:val="00D62B3A"/>
    <w:rsid w:val="00D6337D"/>
    <w:rsid w:val="00D6461B"/>
    <w:rsid w:val="00D64B2D"/>
    <w:rsid w:val="00D64F3E"/>
    <w:rsid w:val="00D65A1B"/>
    <w:rsid w:val="00D67A4F"/>
    <w:rsid w:val="00D70570"/>
    <w:rsid w:val="00D74524"/>
    <w:rsid w:val="00D74735"/>
    <w:rsid w:val="00D75BE9"/>
    <w:rsid w:val="00D75BFC"/>
    <w:rsid w:val="00D76464"/>
    <w:rsid w:val="00D77AA2"/>
    <w:rsid w:val="00D80159"/>
    <w:rsid w:val="00D80303"/>
    <w:rsid w:val="00D81FDF"/>
    <w:rsid w:val="00D83C98"/>
    <w:rsid w:val="00D8460C"/>
    <w:rsid w:val="00D8507A"/>
    <w:rsid w:val="00D85E30"/>
    <w:rsid w:val="00D86500"/>
    <w:rsid w:val="00D86581"/>
    <w:rsid w:val="00D86A8A"/>
    <w:rsid w:val="00D870C0"/>
    <w:rsid w:val="00D919AA"/>
    <w:rsid w:val="00D92E6F"/>
    <w:rsid w:val="00D937A6"/>
    <w:rsid w:val="00D9483B"/>
    <w:rsid w:val="00D9505F"/>
    <w:rsid w:val="00D954FB"/>
    <w:rsid w:val="00D956F6"/>
    <w:rsid w:val="00D96DED"/>
    <w:rsid w:val="00D97B3C"/>
    <w:rsid w:val="00D97D7E"/>
    <w:rsid w:val="00DA0507"/>
    <w:rsid w:val="00DA0F70"/>
    <w:rsid w:val="00DA1577"/>
    <w:rsid w:val="00DA1B0F"/>
    <w:rsid w:val="00DA268B"/>
    <w:rsid w:val="00DA6908"/>
    <w:rsid w:val="00DA79FB"/>
    <w:rsid w:val="00DB0322"/>
    <w:rsid w:val="00DB1921"/>
    <w:rsid w:val="00DB31E1"/>
    <w:rsid w:val="00DB38BD"/>
    <w:rsid w:val="00DB5F7B"/>
    <w:rsid w:val="00DB6F55"/>
    <w:rsid w:val="00DB769A"/>
    <w:rsid w:val="00DB7B42"/>
    <w:rsid w:val="00DB7F03"/>
    <w:rsid w:val="00DC03D9"/>
    <w:rsid w:val="00DC0EA3"/>
    <w:rsid w:val="00DC2806"/>
    <w:rsid w:val="00DC2A9A"/>
    <w:rsid w:val="00DC422B"/>
    <w:rsid w:val="00DC6E40"/>
    <w:rsid w:val="00DC7CD4"/>
    <w:rsid w:val="00DD003A"/>
    <w:rsid w:val="00DD04A0"/>
    <w:rsid w:val="00DD0C9C"/>
    <w:rsid w:val="00DD1461"/>
    <w:rsid w:val="00DD1C5E"/>
    <w:rsid w:val="00DD42A2"/>
    <w:rsid w:val="00DD5892"/>
    <w:rsid w:val="00DD7AA0"/>
    <w:rsid w:val="00DE23A1"/>
    <w:rsid w:val="00DE2BC4"/>
    <w:rsid w:val="00DE2DAF"/>
    <w:rsid w:val="00DE39BE"/>
    <w:rsid w:val="00DE4A00"/>
    <w:rsid w:val="00DE6FD1"/>
    <w:rsid w:val="00DF0E83"/>
    <w:rsid w:val="00DF188B"/>
    <w:rsid w:val="00DF3BC8"/>
    <w:rsid w:val="00DF5EC6"/>
    <w:rsid w:val="00DF61DD"/>
    <w:rsid w:val="00E00100"/>
    <w:rsid w:val="00E00841"/>
    <w:rsid w:val="00E00DAE"/>
    <w:rsid w:val="00E00E68"/>
    <w:rsid w:val="00E01594"/>
    <w:rsid w:val="00E03D70"/>
    <w:rsid w:val="00E0643B"/>
    <w:rsid w:val="00E066CA"/>
    <w:rsid w:val="00E10BE7"/>
    <w:rsid w:val="00E12892"/>
    <w:rsid w:val="00E12A45"/>
    <w:rsid w:val="00E12B09"/>
    <w:rsid w:val="00E13452"/>
    <w:rsid w:val="00E15620"/>
    <w:rsid w:val="00E17963"/>
    <w:rsid w:val="00E17AA6"/>
    <w:rsid w:val="00E21E8A"/>
    <w:rsid w:val="00E220C6"/>
    <w:rsid w:val="00E23424"/>
    <w:rsid w:val="00E242C8"/>
    <w:rsid w:val="00E24BBB"/>
    <w:rsid w:val="00E25624"/>
    <w:rsid w:val="00E302DB"/>
    <w:rsid w:val="00E3064A"/>
    <w:rsid w:val="00E311BB"/>
    <w:rsid w:val="00E3267D"/>
    <w:rsid w:val="00E32B4B"/>
    <w:rsid w:val="00E3392C"/>
    <w:rsid w:val="00E33AB0"/>
    <w:rsid w:val="00E34267"/>
    <w:rsid w:val="00E35292"/>
    <w:rsid w:val="00E35FA9"/>
    <w:rsid w:val="00E37B12"/>
    <w:rsid w:val="00E42F42"/>
    <w:rsid w:val="00E4345D"/>
    <w:rsid w:val="00E44424"/>
    <w:rsid w:val="00E4496B"/>
    <w:rsid w:val="00E44B9F"/>
    <w:rsid w:val="00E44F29"/>
    <w:rsid w:val="00E46F08"/>
    <w:rsid w:val="00E47547"/>
    <w:rsid w:val="00E476AA"/>
    <w:rsid w:val="00E508D4"/>
    <w:rsid w:val="00E50AF4"/>
    <w:rsid w:val="00E5157A"/>
    <w:rsid w:val="00E55662"/>
    <w:rsid w:val="00E56503"/>
    <w:rsid w:val="00E57DD4"/>
    <w:rsid w:val="00E60199"/>
    <w:rsid w:val="00E63B13"/>
    <w:rsid w:val="00E64816"/>
    <w:rsid w:val="00E64B62"/>
    <w:rsid w:val="00E6631F"/>
    <w:rsid w:val="00E6780E"/>
    <w:rsid w:val="00E710BD"/>
    <w:rsid w:val="00E71185"/>
    <w:rsid w:val="00E7242C"/>
    <w:rsid w:val="00E7260E"/>
    <w:rsid w:val="00E73502"/>
    <w:rsid w:val="00E73D08"/>
    <w:rsid w:val="00E73F61"/>
    <w:rsid w:val="00E745D5"/>
    <w:rsid w:val="00E74B5A"/>
    <w:rsid w:val="00E751C7"/>
    <w:rsid w:val="00E76B32"/>
    <w:rsid w:val="00E76D35"/>
    <w:rsid w:val="00E77169"/>
    <w:rsid w:val="00E810D1"/>
    <w:rsid w:val="00E813FD"/>
    <w:rsid w:val="00E81876"/>
    <w:rsid w:val="00E831A8"/>
    <w:rsid w:val="00E84FE5"/>
    <w:rsid w:val="00E855B8"/>
    <w:rsid w:val="00E87611"/>
    <w:rsid w:val="00E87729"/>
    <w:rsid w:val="00E906FF"/>
    <w:rsid w:val="00E93587"/>
    <w:rsid w:val="00E93B3A"/>
    <w:rsid w:val="00E95992"/>
    <w:rsid w:val="00E96437"/>
    <w:rsid w:val="00E96ACA"/>
    <w:rsid w:val="00E97AE4"/>
    <w:rsid w:val="00EA051B"/>
    <w:rsid w:val="00EA0FC6"/>
    <w:rsid w:val="00EA144E"/>
    <w:rsid w:val="00EA1531"/>
    <w:rsid w:val="00EA28AE"/>
    <w:rsid w:val="00EA4B1E"/>
    <w:rsid w:val="00EA4CE6"/>
    <w:rsid w:val="00EA60EC"/>
    <w:rsid w:val="00EA63A0"/>
    <w:rsid w:val="00EA65CE"/>
    <w:rsid w:val="00EA6AE1"/>
    <w:rsid w:val="00EA77BA"/>
    <w:rsid w:val="00EA7889"/>
    <w:rsid w:val="00EB5741"/>
    <w:rsid w:val="00EB61EB"/>
    <w:rsid w:val="00EB7F26"/>
    <w:rsid w:val="00EC066E"/>
    <w:rsid w:val="00EC169D"/>
    <w:rsid w:val="00EC479F"/>
    <w:rsid w:val="00EC49ED"/>
    <w:rsid w:val="00EC6BA0"/>
    <w:rsid w:val="00EC6F8C"/>
    <w:rsid w:val="00ED00C3"/>
    <w:rsid w:val="00ED0FD8"/>
    <w:rsid w:val="00ED2C21"/>
    <w:rsid w:val="00ED3575"/>
    <w:rsid w:val="00ED46BF"/>
    <w:rsid w:val="00ED472A"/>
    <w:rsid w:val="00ED4D89"/>
    <w:rsid w:val="00ED6C05"/>
    <w:rsid w:val="00EE083D"/>
    <w:rsid w:val="00EE12CD"/>
    <w:rsid w:val="00EE2A72"/>
    <w:rsid w:val="00EE2C75"/>
    <w:rsid w:val="00EE3858"/>
    <w:rsid w:val="00EE5809"/>
    <w:rsid w:val="00EE62ED"/>
    <w:rsid w:val="00EE6896"/>
    <w:rsid w:val="00EE70E8"/>
    <w:rsid w:val="00EF01B6"/>
    <w:rsid w:val="00EF0496"/>
    <w:rsid w:val="00EF11BB"/>
    <w:rsid w:val="00EF16DB"/>
    <w:rsid w:val="00EF3C24"/>
    <w:rsid w:val="00EF5765"/>
    <w:rsid w:val="00EF793D"/>
    <w:rsid w:val="00EF7F2F"/>
    <w:rsid w:val="00F00723"/>
    <w:rsid w:val="00F00A36"/>
    <w:rsid w:val="00F00B45"/>
    <w:rsid w:val="00F013B2"/>
    <w:rsid w:val="00F02B45"/>
    <w:rsid w:val="00F042B5"/>
    <w:rsid w:val="00F043E2"/>
    <w:rsid w:val="00F0586F"/>
    <w:rsid w:val="00F05A4C"/>
    <w:rsid w:val="00F05F4D"/>
    <w:rsid w:val="00F078C8"/>
    <w:rsid w:val="00F07F2D"/>
    <w:rsid w:val="00F10371"/>
    <w:rsid w:val="00F110C2"/>
    <w:rsid w:val="00F11EF6"/>
    <w:rsid w:val="00F14448"/>
    <w:rsid w:val="00F1481E"/>
    <w:rsid w:val="00F14B2A"/>
    <w:rsid w:val="00F15311"/>
    <w:rsid w:val="00F16C16"/>
    <w:rsid w:val="00F16D82"/>
    <w:rsid w:val="00F17B00"/>
    <w:rsid w:val="00F21233"/>
    <w:rsid w:val="00F2178A"/>
    <w:rsid w:val="00F2292D"/>
    <w:rsid w:val="00F23471"/>
    <w:rsid w:val="00F24614"/>
    <w:rsid w:val="00F251EE"/>
    <w:rsid w:val="00F25A83"/>
    <w:rsid w:val="00F30E26"/>
    <w:rsid w:val="00F32781"/>
    <w:rsid w:val="00F33877"/>
    <w:rsid w:val="00F340C9"/>
    <w:rsid w:val="00F3475F"/>
    <w:rsid w:val="00F349D4"/>
    <w:rsid w:val="00F34D60"/>
    <w:rsid w:val="00F34D71"/>
    <w:rsid w:val="00F376B2"/>
    <w:rsid w:val="00F37871"/>
    <w:rsid w:val="00F3788D"/>
    <w:rsid w:val="00F43401"/>
    <w:rsid w:val="00F43994"/>
    <w:rsid w:val="00F4712B"/>
    <w:rsid w:val="00F50269"/>
    <w:rsid w:val="00F5070C"/>
    <w:rsid w:val="00F51567"/>
    <w:rsid w:val="00F53617"/>
    <w:rsid w:val="00F53759"/>
    <w:rsid w:val="00F54092"/>
    <w:rsid w:val="00F54253"/>
    <w:rsid w:val="00F54CAD"/>
    <w:rsid w:val="00F559D5"/>
    <w:rsid w:val="00F5617B"/>
    <w:rsid w:val="00F57A57"/>
    <w:rsid w:val="00F6027F"/>
    <w:rsid w:val="00F611E8"/>
    <w:rsid w:val="00F61272"/>
    <w:rsid w:val="00F61E40"/>
    <w:rsid w:val="00F62098"/>
    <w:rsid w:val="00F635CC"/>
    <w:rsid w:val="00F6384E"/>
    <w:rsid w:val="00F64547"/>
    <w:rsid w:val="00F65110"/>
    <w:rsid w:val="00F66602"/>
    <w:rsid w:val="00F670B3"/>
    <w:rsid w:val="00F67196"/>
    <w:rsid w:val="00F6724C"/>
    <w:rsid w:val="00F71517"/>
    <w:rsid w:val="00F71944"/>
    <w:rsid w:val="00F71BA1"/>
    <w:rsid w:val="00F71BEE"/>
    <w:rsid w:val="00F72616"/>
    <w:rsid w:val="00F726E5"/>
    <w:rsid w:val="00F7303B"/>
    <w:rsid w:val="00F73CF5"/>
    <w:rsid w:val="00F76394"/>
    <w:rsid w:val="00F775F7"/>
    <w:rsid w:val="00F77608"/>
    <w:rsid w:val="00F810E1"/>
    <w:rsid w:val="00F82B03"/>
    <w:rsid w:val="00F83097"/>
    <w:rsid w:val="00F83D91"/>
    <w:rsid w:val="00F84C00"/>
    <w:rsid w:val="00F86681"/>
    <w:rsid w:val="00F86E92"/>
    <w:rsid w:val="00F87D34"/>
    <w:rsid w:val="00F92382"/>
    <w:rsid w:val="00F92458"/>
    <w:rsid w:val="00F9269F"/>
    <w:rsid w:val="00F93E8A"/>
    <w:rsid w:val="00F94171"/>
    <w:rsid w:val="00F9419F"/>
    <w:rsid w:val="00F94768"/>
    <w:rsid w:val="00F95652"/>
    <w:rsid w:val="00F960A6"/>
    <w:rsid w:val="00F965EB"/>
    <w:rsid w:val="00FA0A45"/>
    <w:rsid w:val="00FA0CA8"/>
    <w:rsid w:val="00FA1A64"/>
    <w:rsid w:val="00FA1D39"/>
    <w:rsid w:val="00FA2518"/>
    <w:rsid w:val="00FA2C48"/>
    <w:rsid w:val="00FA3F3F"/>
    <w:rsid w:val="00FA5F59"/>
    <w:rsid w:val="00FA783C"/>
    <w:rsid w:val="00FB0100"/>
    <w:rsid w:val="00FB3A4E"/>
    <w:rsid w:val="00FB6EFE"/>
    <w:rsid w:val="00FB7298"/>
    <w:rsid w:val="00FB7882"/>
    <w:rsid w:val="00FC0B34"/>
    <w:rsid w:val="00FC1541"/>
    <w:rsid w:val="00FC15A7"/>
    <w:rsid w:val="00FC1E74"/>
    <w:rsid w:val="00FC3B6A"/>
    <w:rsid w:val="00FC3E71"/>
    <w:rsid w:val="00FC55A2"/>
    <w:rsid w:val="00FD0FE2"/>
    <w:rsid w:val="00FD12EE"/>
    <w:rsid w:val="00FD295B"/>
    <w:rsid w:val="00FD2F0E"/>
    <w:rsid w:val="00FD3E64"/>
    <w:rsid w:val="00FD4824"/>
    <w:rsid w:val="00FD4D5B"/>
    <w:rsid w:val="00FD51D6"/>
    <w:rsid w:val="00FD5603"/>
    <w:rsid w:val="00FD56C2"/>
    <w:rsid w:val="00FD5857"/>
    <w:rsid w:val="00FD7FC1"/>
    <w:rsid w:val="00FE1E3D"/>
    <w:rsid w:val="00FE2F8C"/>
    <w:rsid w:val="00FE3020"/>
    <w:rsid w:val="00FE4DE7"/>
    <w:rsid w:val="00FE5307"/>
    <w:rsid w:val="00FE66E4"/>
    <w:rsid w:val="00FE6F81"/>
    <w:rsid w:val="00FE7E22"/>
    <w:rsid w:val="00FF2AF5"/>
    <w:rsid w:val="00FF3739"/>
    <w:rsid w:val="00FF3B96"/>
    <w:rsid w:val="00FF4344"/>
    <w:rsid w:val="00FF4A33"/>
    <w:rsid w:val="00FF65BC"/>
    <w:rsid w:val="00FF6D0D"/>
    <w:rsid w:val="011D64DE"/>
    <w:rsid w:val="013B2B96"/>
    <w:rsid w:val="019C45B0"/>
    <w:rsid w:val="01D37EF3"/>
    <w:rsid w:val="02086BE8"/>
    <w:rsid w:val="020C1C73"/>
    <w:rsid w:val="026428A6"/>
    <w:rsid w:val="03263B20"/>
    <w:rsid w:val="0330590B"/>
    <w:rsid w:val="033760D3"/>
    <w:rsid w:val="03685BA5"/>
    <w:rsid w:val="03C525EF"/>
    <w:rsid w:val="03C8474F"/>
    <w:rsid w:val="045677E5"/>
    <w:rsid w:val="04A247E6"/>
    <w:rsid w:val="04B24AEA"/>
    <w:rsid w:val="04BB7DDF"/>
    <w:rsid w:val="04CB1A17"/>
    <w:rsid w:val="04D936C1"/>
    <w:rsid w:val="051931EE"/>
    <w:rsid w:val="052E40DB"/>
    <w:rsid w:val="054627C1"/>
    <w:rsid w:val="05582BD4"/>
    <w:rsid w:val="05B601C9"/>
    <w:rsid w:val="06293905"/>
    <w:rsid w:val="06665564"/>
    <w:rsid w:val="06871812"/>
    <w:rsid w:val="06F835E1"/>
    <w:rsid w:val="077C6A77"/>
    <w:rsid w:val="07AE5CDD"/>
    <w:rsid w:val="07F166D0"/>
    <w:rsid w:val="08193505"/>
    <w:rsid w:val="0842185D"/>
    <w:rsid w:val="08547A78"/>
    <w:rsid w:val="085963D5"/>
    <w:rsid w:val="086630CD"/>
    <w:rsid w:val="0889068B"/>
    <w:rsid w:val="092A1BF4"/>
    <w:rsid w:val="095C674C"/>
    <w:rsid w:val="09B37A0D"/>
    <w:rsid w:val="09B92533"/>
    <w:rsid w:val="09F5477D"/>
    <w:rsid w:val="09F85B41"/>
    <w:rsid w:val="0A1863C5"/>
    <w:rsid w:val="0B114292"/>
    <w:rsid w:val="0B2025E2"/>
    <w:rsid w:val="0BAC03F1"/>
    <w:rsid w:val="0BDC31C7"/>
    <w:rsid w:val="0C6A07D3"/>
    <w:rsid w:val="0C830548"/>
    <w:rsid w:val="0C9078FD"/>
    <w:rsid w:val="0D1109D7"/>
    <w:rsid w:val="0D3A63F7"/>
    <w:rsid w:val="0D67147A"/>
    <w:rsid w:val="0D6A0717"/>
    <w:rsid w:val="0D781E29"/>
    <w:rsid w:val="0E2E3F54"/>
    <w:rsid w:val="0E774040"/>
    <w:rsid w:val="0E852E4F"/>
    <w:rsid w:val="0EF4130E"/>
    <w:rsid w:val="0F1B3C82"/>
    <w:rsid w:val="0F3B6457"/>
    <w:rsid w:val="0F40670A"/>
    <w:rsid w:val="0F760292"/>
    <w:rsid w:val="0FB0758E"/>
    <w:rsid w:val="0FB8244E"/>
    <w:rsid w:val="100D4DE4"/>
    <w:rsid w:val="1049378E"/>
    <w:rsid w:val="1078649E"/>
    <w:rsid w:val="11237A79"/>
    <w:rsid w:val="115704BA"/>
    <w:rsid w:val="11ED1C8A"/>
    <w:rsid w:val="1247046C"/>
    <w:rsid w:val="12D963CE"/>
    <w:rsid w:val="12FB3F33"/>
    <w:rsid w:val="13533D6F"/>
    <w:rsid w:val="1422439A"/>
    <w:rsid w:val="143F60A1"/>
    <w:rsid w:val="146401FE"/>
    <w:rsid w:val="147420B1"/>
    <w:rsid w:val="15274D8F"/>
    <w:rsid w:val="15984133"/>
    <w:rsid w:val="15C86ED6"/>
    <w:rsid w:val="160421A5"/>
    <w:rsid w:val="16E46695"/>
    <w:rsid w:val="17CA0378"/>
    <w:rsid w:val="181C71C6"/>
    <w:rsid w:val="1836262A"/>
    <w:rsid w:val="18456872"/>
    <w:rsid w:val="18716A45"/>
    <w:rsid w:val="18AC03BA"/>
    <w:rsid w:val="19AA0C3D"/>
    <w:rsid w:val="19B544CE"/>
    <w:rsid w:val="19C853A3"/>
    <w:rsid w:val="19E95210"/>
    <w:rsid w:val="1A3D02D2"/>
    <w:rsid w:val="1A8E6CE3"/>
    <w:rsid w:val="1AE479A2"/>
    <w:rsid w:val="1AE81AE1"/>
    <w:rsid w:val="1B1C6BAE"/>
    <w:rsid w:val="1B3A3A25"/>
    <w:rsid w:val="1B5979EB"/>
    <w:rsid w:val="1B6D7998"/>
    <w:rsid w:val="1BD23C9F"/>
    <w:rsid w:val="1BE82001"/>
    <w:rsid w:val="1C071B9A"/>
    <w:rsid w:val="1C341B95"/>
    <w:rsid w:val="1C5F1BCB"/>
    <w:rsid w:val="1CB735C0"/>
    <w:rsid w:val="1CF326B5"/>
    <w:rsid w:val="1D083E1C"/>
    <w:rsid w:val="1D6D0123"/>
    <w:rsid w:val="1DAC0C4B"/>
    <w:rsid w:val="1DC43690"/>
    <w:rsid w:val="1DC9477C"/>
    <w:rsid w:val="1DD407D4"/>
    <w:rsid w:val="1DDA3D34"/>
    <w:rsid w:val="1DE07A32"/>
    <w:rsid w:val="1E780B2E"/>
    <w:rsid w:val="1EBD4792"/>
    <w:rsid w:val="1EDB406B"/>
    <w:rsid w:val="1F073C5F"/>
    <w:rsid w:val="1F135647"/>
    <w:rsid w:val="1F354513"/>
    <w:rsid w:val="1F5C044F"/>
    <w:rsid w:val="1F9C176A"/>
    <w:rsid w:val="1FD47FE6"/>
    <w:rsid w:val="1FDF6B2E"/>
    <w:rsid w:val="20071FFD"/>
    <w:rsid w:val="208B23E8"/>
    <w:rsid w:val="20C30596"/>
    <w:rsid w:val="20D44616"/>
    <w:rsid w:val="219506C0"/>
    <w:rsid w:val="21A44B2E"/>
    <w:rsid w:val="21B06830"/>
    <w:rsid w:val="21E23CAA"/>
    <w:rsid w:val="22156FFC"/>
    <w:rsid w:val="223C00C4"/>
    <w:rsid w:val="22500569"/>
    <w:rsid w:val="22622130"/>
    <w:rsid w:val="229A0168"/>
    <w:rsid w:val="22D32320"/>
    <w:rsid w:val="231A6657"/>
    <w:rsid w:val="23947AF8"/>
    <w:rsid w:val="23A202CD"/>
    <w:rsid w:val="23E24678"/>
    <w:rsid w:val="24577437"/>
    <w:rsid w:val="24946F7F"/>
    <w:rsid w:val="24E11070"/>
    <w:rsid w:val="24E8008F"/>
    <w:rsid w:val="253D487F"/>
    <w:rsid w:val="25425148"/>
    <w:rsid w:val="257315E8"/>
    <w:rsid w:val="257F27A2"/>
    <w:rsid w:val="263A1C3A"/>
    <w:rsid w:val="263E2262"/>
    <w:rsid w:val="2677222B"/>
    <w:rsid w:val="26852FDD"/>
    <w:rsid w:val="270B63B9"/>
    <w:rsid w:val="2738722A"/>
    <w:rsid w:val="273B6A2D"/>
    <w:rsid w:val="27BB1A8B"/>
    <w:rsid w:val="27DF436E"/>
    <w:rsid w:val="27FF38C4"/>
    <w:rsid w:val="280276BA"/>
    <w:rsid w:val="282A5EAC"/>
    <w:rsid w:val="28CB72EA"/>
    <w:rsid w:val="298A0B02"/>
    <w:rsid w:val="29B6075C"/>
    <w:rsid w:val="29E057D9"/>
    <w:rsid w:val="2A527047"/>
    <w:rsid w:val="2A81520E"/>
    <w:rsid w:val="2A844D4D"/>
    <w:rsid w:val="2A9E7B6E"/>
    <w:rsid w:val="2AB27F7B"/>
    <w:rsid w:val="2ADB55A4"/>
    <w:rsid w:val="2AFA1ED0"/>
    <w:rsid w:val="2BB533C1"/>
    <w:rsid w:val="2BDE076A"/>
    <w:rsid w:val="2BE772F2"/>
    <w:rsid w:val="2C0F23A5"/>
    <w:rsid w:val="2C107371"/>
    <w:rsid w:val="2C60781D"/>
    <w:rsid w:val="2C772424"/>
    <w:rsid w:val="2C94532F"/>
    <w:rsid w:val="2CDD7DE4"/>
    <w:rsid w:val="2D3C71CA"/>
    <w:rsid w:val="2D7E7CAB"/>
    <w:rsid w:val="2DA13C20"/>
    <w:rsid w:val="2DFD33EF"/>
    <w:rsid w:val="2E31790D"/>
    <w:rsid w:val="2F0E64FC"/>
    <w:rsid w:val="2F2E373C"/>
    <w:rsid w:val="2FCB560E"/>
    <w:rsid w:val="30371D71"/>
    <w:rsid w:val="306538FB"/>
    <w:rsid w:val="31230D0C"/>
    <w:rsid w:val="31D743B0"/>
    <w:rsid w:val="31DD71CE"/>
    <w:rsid w:val="32123350"/>
    <w:rsid w:val="321D289C"/>
    <w:rsid w:val="32E4458C"/>
    <w:rsid w:val="32E57607"/>
    <w:rsid w:val="33123EBF"/>
    <w:rsid w:val="333F13B6"/>
    <w:rsid w:val="33B421B0"/>
    <w:rsid w:val="33CC24E0"/>
    <w:rsid w:val="349B511E"/>
    <w:rsid w:val="34F5482E"/>
    <w:rsid w:val="351B5133"/>
    <w:rsid w:val="35CB384D"/>
    <w:rsid w:val="35E41E03"/>
    <w:rsid w:val="366414FB"/>
    <w:rsid w:val="36817AF9"/>
    <w:rsid w:val="37445302"/>
    <w:rsid w:val="37591989"/>
    <w:rsid w:val="37661A13"/>
    <w:rsid w:val="379D63DA"/>
    <w:rsid w:val="37D7063B"/>
    <w:rsid w:val="3808471C"/>
    <w:rsid w:val="381F1BC2"/>
    <w:rsid w:val="38EF180F"/>
    <w:rsid w:val="393C4625"/>
    <w:rsid w:val="39507B9C"/>
    <w:rsid w:val="397F6DBC"/>
    <w:rsid w:val="39E41903"/>
    <w:rsid w:val="39E772A0"/>
    <w:rsid w:val="39F41558"/>
    <w:rsid w:val="3A2D18A5"/>
    <w:rsid w:val="3A327A20"/>
    <w:rsid w:val="3AEA59DB"/>
    <w:rsid w:val="3B045851"/>
    <w:rsid w:val="3B0532F1"/>
    <w:rsid w:val="3B547DD5"/>
    <w:rsid w:val="3BA32B39"/>
    <w:rsid w:val="3BC60CD2"/>
    <w:rsid w:val="3BCB62E9"/>
    <w:rsid w:val="3C1A74D9"/>
    <w:rsid w:val="3C6736B5"/>
    <w:rsid w:val="3C681D8A"/>
    <w:rsid w:val="3CA86C81"/>
    <w:rsid w:val="3DFA4C63"/>
    <w:rsid w:val="3EC64257"/>
    <w:rsid w:val="3ED27251"/>
    <w:rsid w:val="3F2C44E0"/>
    <w:rsid w:val="3FF37B2D"/>
    <w:rsid w:val="407451A1"/>
    <w:rsid w:val="408F2B56"/>
    <w:rsid w:val="414B38F6"/>
    <w:rsid w:val="416828AA"/>
    <w:rsid w:val="41B238D2"/>
    <w:rsid w:val="41C81FB3"/>
    <w:rsid w:val="41E813F7"/>
    <w:rsid w:val="4284078A"/>
    <w:rsid w:val="42892A5A"/>
    <w:rsid w:val="429D4D3F"/>
    <w:rsid w:val="42CE66BF"/>
    <w:rsid w:val="435F452A"/>
    <w:rsid w:val="43784560"/>
    <w:rsid w:val="43880F63"/>
    <w:rsid w:val="43F95C47"/>
    <w:rsid w:val="44FB6440"/>
    <w:rsid w:val="450064B8"/>
    <w:rsid w:val="458C2FFE"/>
    <w:rsid w:val="45BB4AD7"/>
    <w:rsid w:val="45BD2C38"/>
    <w:rsid w:val="45ED3E7A"/>
    <w:rsid w:val="4603413E"/>
    <w:rsid w:val="464E1FF0"/>
    <w:rsid w:val="46762E4E"/>
    <w:rsid w:val="46C3598D"/>
    <w:rsid w:val="46F3266C"/>
    <w:rsid w:val="47411B55"/>
    <w:rsid w:val="474578C9"/>
    <w:rsid w:val="47825247"/>
    <w:rsid w:val="48386D8B"/>
    <w:rsid w:val="48486990"/>
    <w:rsid w:val="485D10DE"/>
    <w:rsid w:val="48754020"/>
    <w:rsid w:val="49702496"/>
    <w:rsid w:val="49FE43E8"/>
    <w:rsid w:val="4A2E58B7"/>
    <w:rsid w:val="4A8E1834"/>
    <w:rsid w:val="4A996579"/>
    <w:rsid w:val="4B05358B"/>
    <w:rsid w:val="4B4D3AA9"/>
    <w:rsid w:val="4B74783B"/>
    <w:rsid w:val="4C207417"/>
    <w:rsid w:val="4C3D6D8F"/>
    <w:rsid w:val="4C7402D7"/>
    <w:rsid w:val="4CBC75D0"/>
    <w:rsid w:val="4CD32A13"/>
    <w:rsid w:val="4DFC0584"/>
    <w:rsid w:val="4E296392"/>
    <w:rsid w:val="4E397251"/>
    <w:rsid w:val="4F5148FF"/>
    <w:rsid w:val="4F756AF0"/>
    <w:rsid w:val="506643DA"/>
    <w:rsid w:val="50DD19BA"/>
    <w:rsid w:val="50E45FDE"/>
    <w:rsid w:val="510742FF"/>
    <w:rsid w:val="51083A1A"/>
    <w:rsid w:val="51226553"/>
    <w:rsid w:val="51452278"/>
    <w:rsid w:val="5197144D"/>
    <w:rsid w:val="51DC5C94"/>
    <w:rsid w:val="525A1D1D"/>
    <w:rsid w:val="526076EE"/>
    <w:rsid w:val="52686588"/>
    <w:rsid w:val="527032EE"/>
    <w:rsid w:val="52AD009F"/>
    <w:rsid w:val="52CF6FA8"/>
    <w:rsid w:val="532B12D4"/>
    <w:rsid w:val="53975FB2"/>
    <w:rsid w:val="53D80D02"/>
    <w:rsid w:val="53DF6F11"/>
    <w:rsid w:val="541715B6"/>
    <w:rsid w:val="541E3F88"/>
    <w:rsid w:val="54265252"/>
    <w:rsid w:val="54613836"/>
    <w:rsid w:val="547C41CC"/>
    <w:rsid w:val="552A5947"/>
    <w:rsid w:val="5538631C"/>
    <w:rsid w:val="55455223"/>
    <w:rsid w:val="55C10F6F"/>
    <w:rsid w:val="55C8213D"/>
    <w:rsid w:val="57700CC6"/>
    <w:rsid w:val="57903C25"/>
    <w:rsid w:val="57BD42FE"/>
    <w:rsid w:val="58690F0C"/>
    <w:rsid w:val="587A4EC7"/>
    <w:rsid w:val="58BA4246"/>
    <w:rsid w:val="59172716"/>
    <w:rsid w:val="591E2394"/>
    <w:rsid w:val="59752BA0"/>
    <w:rsid w:val="59FA6AC6"/>
    <w:rsid w:val="5A026F22"/>
    <w:rsid w:val="5A416B26"/>
    <w:rsid w:val="5A981634"/>
    <w:rsid w:val="5B1318AD"/>
    <w:rsid w:val="5B4517BC"/>
    <w:rsid w:val="5B4862D2"/>
    <w:rsid w:val="5BBD57F6"/>
    <w:rsid w:val="5BDE76AB"/>
    <w:rsid w:val="5C1318BA"/>
    <w:rsid w:val="5CA2212B"/>
    <w:rsid w:val="5CAB0792"/>
    <w:rsid w:val="5D0C438F"/>
    <w:rsid w:val="5D5C4DCD"/>
    <w:rsid w:val="5D6830D1"/>
    <w:rsid w:val="5DC81C25"/>
    <w:rsid w:val="5E007E32"/>
    <w:rsid w:val="5E1D0E75"/>
    <w:rsid w:val="5E6A32E8"/>
    <w:rsid w:val="5E7A7529"/>
    <w:rsid w:val="5ED03A4D"/>
    <w:rsid w:val="5EEA6523"/>
    <w:rsid w:val="5EF3152F"/>
    <w:rsid w:val="5F1C6CD8"/>
    <w:rsid w:val="5F4C01F0"/>
    <w:rsid w:val="600A2FD4"/>
    <w:rsid w:val="60845E0E"/>
    <w:rsid w:val="60F03F78"/>
    <w:rsid w:val="61035AAC"/>
    <w:rsid w:val="61266B26"/>
    <w:rsid w:val="61301C95"/>
    <w:rsid w:val="613E7799"/>
    <w:rsid w:val="615148DF"/>
    <w:rsid w:val="61EE40B9"/>
    <w:rsid w:val="62625DA6"/>
    <w:rsid w:val="62851251"/>
    <w:rsid w:val="63532642"/>
    <w:rsid w:val="63DF1F5A"/>
    <w:rsid w:val="63FC2C34"/>
    <w:rsid w:val="642A59F3"/>
    <w:rsid w:val="64471DFD"/>
    <w:rsid w:val="64D841A3"/>
    <w:rsid w:val="65273CE0"/>
    <w:rsid w:val="65815D67"/>
    <w:rsid w:val="658A426F"/>
    <w:rsid w:val="658F6F71"/>
    <w:rsid w:val="65BE1507"/>
    <w:rsid w:val="663069A6"/>
    <w:rsid w:val="663322BE"/>
    <w:rsid w:val="66495ED8"/>
    <w:rsid w:val="664F38B5"/>
    <w:rsid w:val="66565A2A"/>
    <w:rsid w:val="66DF2D7A"/>
    <w:rsid w:val="66E22352"/>
    <w:rsid w:val="671C7F16"/>
    <w:rsid w:val="679737A3"/>
    <w:rsid w:val="67DF7A25"/>
    <w:rsid w:val="67E3416F"/>
    <w:rsid w:val="680B78E9"/>
    <w:rsid w:val="680D48E2"/>
    <w:rsid w:val="681E6763"/>
    <w:rsid w:val="6896224B"/>
    <w:rsid w:val="68CF7D38"/>
    <w:rsid w:val="68F20AA9"/>
    <w:rsid w:val="69BA6339"/>
    <w:rsid w:val="69D65CD5"/>
    <w:rsid w:val="6A17054A"/>
    <w:rsid w:val="6A1A2066"/>
    <w:rsid w:val="6A8B0C6F"/>
    <w:rsid w:val="6AAD5A3C"/>
    <w:rsid w:val="6AB37DC4"/>
    <w:rsid w:val="6AC80624"/>
    <w:rsid w:val="6ADA17F5"/>
    <w:rsid w:val="6B106FC5"/>
    <w:rsid w:val="6B7B2568"/>
    <w:rsid w:val="6BA06841"/>
    <w:rsid w:val="6BFD579B"/>
    <w:rsid w:val="6C080456"/>
    <w:rsid w:val="6C30791F"/>
    <w:rsid w:val="6C44161C"/>
    <w:rsid w:val="6C486C31"/>
    <w:rsid w:val="6D0177FE"/>
    <w:rsid w:val="6D144FDA"/>
    <w:rsid w:val="6D3D41AE"/>
    <w:rsid w:val="6D5373F4"/>
    <w:rsid w:val="6DFD5F26"/>
    <w:rsid w:val="6E483751"/>
    <w:rsid w:val="6E5F7294"/>
    <w:rsid w:val="6E79134A"/>
    <w:rsid w:val="6E7A029A"/>
    <w:rsid w:val="6E9366EE"/>
    <w:rsid w:val="6F6F69B0"/>
    <w:rsid w:val="6FFD3FBC"/>
    <w:rsid w:val="70166639"/>
    <w:rsid w:val="708E757A"/>
    <w:rsid w:val="70974410"/>
    <w:rsid w:val="70AE7744"/>
    <w:rsid w:val="71307F04"/>
    <w:rsid w:val="713F25F4"/>
    <w:rsid w:val="715045BF"/>
    <w:rsid w:val="71940950"/>
    <w:rsid w:val="71BC1776"/>
    <w:rsid w:val="71C54519"/>
    <w:rsid w:val="71E73175"/>
    <w:rsid w:val="71E82A49"/>
    <w:rsid w:val="727866D7"/>
    <w:rsid w:val="727D7259"/>
    <w:rsid w:val="72D336FA"/>
    <w:rsid w:val="72DC6116"/>
    <w:rsid w:val="72F245A6"/>
    <w:rsid w:val="738F3A5F"/>
    <w:rsid w:val="73E7745D"/>
    <w:rsid w:val="74367A9C"/>
    <w:rsid w:val="745A424C"/>
    <w:rsid w:val="74766393"/>
    <w:rsid w:val="74922AED"/>
    <w:rsid w:val="74D127CE"/>
    <w:rsid w:val="754C4D74"/>
    <w:rsid w:val="75746264"/>
    <w:rsid w:val="759058D2"/>
    <w:rsid w:val="75E3349E"/>
    <w:rsid w:val="75EA6565"/>
    <w:rsid w:val="76171B4F"/>
    <w:rsid w:val="762C55FB"/>
    <w:rsid w:val="762F4376"/>
    <w:rsid w:val="773B3498"/>
    <w:rsid w:val="77B533CE"/>
    <w:rsid w:val="77FC0863"/>
    <w:rsid w:val="784A620C"/>
    <w:rsid w:val="78D55834"/>
    <w:rsid w:val="78E566B1"/>
    <w:rsid w:val="7A8A564C"/>
    <w:rsid w:val="7AA4024F"/>
    <w:rsid w:val="7B05641A"/>
    <w:rsid w:val="7B457266"/>
    <w:rsid w:val="7B481CAC"/>
    <w:rsid w:val="7B5F4B21"/>
    <w:rsid w:val="7BD07F16"/>
    <w:rsid w:val="7C3635A7"/>
    <w:rsid w:val="7C6028CE"/>
    <w:rsid w:val="7CA37ED0"/>
    <w:rsid w:val="7CD156E7"/>
    <w:rsid w:val="7D180ADC"/>
    <w:rsid w:val="7D49363A"/>
    <w:rsid w:val="7D942066"/>
    <w:rsid w:val="7E623FAB"/>
    <w:rsid w:val="7E917B65"/>
    <w:rsid w:val="7EE3193C"/>
    <w:rsid w:val="7EF4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exact"/>
      <w:jc w:val="both"/>
      <w:textAlignment w:val="baseline"/>
    </w:pPr>
    <w:rPr>
      <w:rFonts w:ascii="宋体" w:hAnsi="宋体"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spacing w:before="280" w:after="290" w:line="376" w:lineRule="auto"/>
      <w:outlineLvl w:val="4"/>
    </w:pPr>
    <w:rPr>
      <w:b/>
      <w:bCs/>
      <w:sz w:val="28"/>
      <w:szCs w:val="28"/>
    </w:rPr>
  </w:style>
  <w:style w:type="paragraph" w:styleId="7">
    <w:name w:val="heading 6"/>
    <w:basedOn w:val="1"/>
    <w:next w:val="1"/>
    <w:link w:val="39"/>
    <w:qFormat/>
    <w:uiPriority w:val="0"/>
    <w:pPr>
      <w:keepNext/>
      <w:keepLines/>
      <w:spacing w:before="240" w:after="64" w:line="320" w:lineRule="auto"/>
      <w:outlineLvl w:val="5"/>
    </w:pPr>
    <w:rPr>
      <w:rFonts w:ascii="Cambria" w:hAnsi="Cambria"/>
      <w:b/>
      <w:bCs/>
      <w:sz w:val="24"/>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40"/>
    <w:qFormat/>
    <w:uiPriority w:val="0"/>
    <w:pPr>
      <w:jc w:val="left"/>
    </w:pPr>
  </w:style>
  <w:style w:type="paragraph" w:styleId="9">
    <w:name w:val="Body Text 3"/>
    <w:basedOn w:val="1"/>
    <w:link w:val="41"/>
    <w:qFormat/>
    <w:uiPriority w:val="0"/>
    <w:rPr>
      <w:sz w:val="24"/>
      <w:szCs w:val="20"/>
    </w:rPr>
  </w:style>
  <w:style w:type="paragraph" w:styleId="10">
    <w:name w:val="Body Text"/>
    <w:basedOn w:val="1"/>
    <w:next w:val="11"/>
    <w:link w:val="42"/>
    <w:qFormat/>
    <w:uiPriority w:val="0"/>
    <w:pPr>
      <w:spacing w:after="120"/>
    </w:pPr>
  </w:style>
  <w:style w:type="paragraph" w:styleId="11">
    <w:name w:val="Body Text First Indent"/>
    <w:basedOn w:val="10"/>
    <w:next w:val="12"/>
    <w:link w:val="43"/>
    <w:qFormat/>
    <w:uiPriority w:val="0"/>
    <w:pPr>
      <w:ind w:firstLine="420" w:firstLineChars="100"/>
    </w:pPr>
  </w:style>
  <w:style w:type="paragraph" w:styleId="12">
    <w:name w:val="toc 6"/>
    <w:basedOn w:val="1"/>
    <w:next w:val="1"/>
    <w:qFormat/>
    <w:uiPriority w:val="0"/>
    <w:pPr>
      <w:ind w:left="2100" w:leftChars="1000"/>
    </w:pPr>
    <w:rPr>
      <w:rFonts w:ascii="Calibri" w:hAnsi="Calibri"/>
      <w:szCs w:val="22"/>
    </w:rPr>
  </w:style>
  <w:style w:type="paragraph" w:styleId="13">
    <w:name w:val="Body Text Indent"/>
    <w:basedOn w:val="1"/>
    <w:link w:val="44"/>
    <w:unhideWhenUsed/>
    <w:qFormat/>
    <w:uiPriority w:val="99"/>
    <w:pPr>
      <w:spacing w:after="120"/>
      <w:ind w:left="420" w:leftChars="200"/>
    </w:pPr>
  </w:style>
  <w:style w:type="paragraph" w:styleId="14">
    <w:name w:val="Plain Text"/>
    <w:basedOn w:val="1"/>
    <w:link w:val="33"/>
    <w:qFormat/>
    <w:uiPriority w:val="99"/>
    <w:rPr>
      <w:rFonts w:hAnsi="Courier New"/>
      <w:szCs w:val="21"/>
    </w:rPr>
  </w:style>
  <w:style w:type="paragraph" w:styleId="15">
    <w:name w:val="Date"/>
    <w:basedOn w:val="1"/>
    <w:next w:val="1"/>
    <w:link w:val="78"/>
    <w:unhideWhenUsed/>
    <w:qFormat/>
    <w:uiPriority w:val="99"/>
    <w:pPr>
      <w:adjustRightInd/>
      <w:spacing w:line="240" w:lineRule="auto"/>
      <w:textAlignment w:val="auto"/>
    </w:pPr>
    <w:rPr>
      <w:rFonts w:cs="宋体"/>
      <w:szCs w:val="21"/>
    </w:rPr>
  </w:style>
  <w:style w:type="paragraph" w:styleId="16">
    <w:name w:val="Body Text Indent 2"/>
    <w:basedOn w:val="1"/>
    <w:link w:val="70"/>
    <w:semiHidden/>
    <w:unhideWhenUsed/>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qFormat/>
    <w:uiPriority w:val="99"/>
    <w:pPr>
      <w:tabs>
        <w:tab w:val="center" w:pos="4153"/>
        <w:tab w:val="right" w:pos="8306"/>
      </w:tabs>
      <w:snapToGrid w:val="0"/>
      <w:jc w:val="left"/>
    </w:pPr>
    <w:rPr>
      <w:sz w:val="18"/>
      <w:szCs w:val="18"/>
    </w:rPr>
  </w:style>
  <w:style w:type="paragraph" w:styleId="19">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0"/>
  </w:style>
  <w:style w:type="paragraph" w:styleId="21">
    <w:name w:val="toc 2"/>
    <w:basedOn w:val="1"/>
    <w:next w:val="1"/>
    <w:semiHidden/>
    <w:qFormat/>
    <w:uiPriority w:val="0"/>
    <w:pPr>
      <w:ind w:left="420" w:leftChars="200"/>
    </w:pPr>
  </w:style>
  <w:style w:type="paragraph" w:styleId="22">
    <w:name w:val="Normal (Web)"/>
    <w:basedOn w:val="1"/>
    <w:unhideWhenUsed/>
    <w:qFormat/>
    <w:uiPriority w:val="99"/>
    <w:pPr>
      <w:widowControl/>
      <w:adjustRightInd/>
      <w:spacing w:before="100" w:beforeAutospacing="1" w:after="100" w:afterAutospacing="1" w:line="240" w:lineRule="auto"/>
      <w:jc w:val="left"/>
      <w:textAlignment w:val="auto"/>
    </w:pPr>
    <w:rPr>
      <w:rFonts w:cs="宋体"/>
      <w:kern w:val="0"/>
      <w:sz w:val="24"/>
    </w:rPr>
  </w:style>
  <w:style w:type="paragraph" w:styleId="23">
    <w:name w:val="annotation subject"/>
    <w:basedOn w:val="8"/>
    <w:next w:val="8"/>
    <w:link w:val="48"/>
    <w:qFormat/>
    <w:uiPriority w:val="0"/>
    <w:rPr>
      <w:b/>
      <w:bCs/>
    </w:rPr>
  </w:style>
  <w:style w:type="paragraph" w:styleId="24">
    <w:name w:val="Body Text First Indent 2"/>
    <w:basedOn w:val="13"/>
    <w:link w:val="49"/>
    <w:unhideWhenUsed/>
    <w:qFormat/>
    <w:uiPriority w:val="99"/>
    <w:pPr>
      <w:ind w:firstLine="420" w:firstLineChars="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styleId="32">
    <w:name w:val="HTML Cite"/>
    <w:qFormat/>
    <w:uiPriority w:val="0"/>
  </w:style>
  <w:style w:type="character" w:customStyle="1" w:styleId="33">
    <w:name w:val="纯文本 字符"/>
    <w:link w:val="14"/>
    <w:qFormat/>
    <w:locked/>
    <w:uiPriority w:val="99"/>
    <w:rPr>
      <w:rFonts w:ascii="宋体" w:hAnsi="Courier New"/>
      <w:kern w:val="2"/>
      <w:sz w:val="21"/>
      <w:szCs w:val="21"/>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Cambria" w:hAnsi="Cambria"/>
      <w:b/>
      <w:bCs/>
      <w:kern w:val="2"/>
      <w:sz w:val="24"/>
      <w:szCs w:val="24"/>
    </w:rPr>
  </w:style>
  <w:style w:type="character" w:customStyle="1" w:styleId="40">
    <w:name w:val="批注文字 字符"/>
    <w:link w:val="8"/>
    <w:qFormat/>
    <w:uiPriority w:val="0"/>
    <w:rPr>
      <w:kern w:val="2"/>
      <w:sz w:val="21"/>
      <w:szCs w:val="24"/>
    </w:rPr>
  </w:style>
  <w:style w:type="character" w:customStyle="1" w:styleId="41">
    <w:name w:val="正文文本 3 字符"/>
    <w:link w:val="9"/>
    <w:qFormat/>
    <w:uiPriority w:val="0"/>
    <w:rPr>
      <w:rFonts w:ascii="宋体"/>
      <w:kern w:val="2"/>
      <w:sz w:val="24"/>
    </w:rPr>
  </w:style>
  <w:style w:type="character" w:customStyle="1" w:styleId="42">
    <w:name w:val="正文文本 字符"/>
    <w:link w:val="10"/>
    <w:qFormat/>
    <w:uiPriority w:val="0"/>
    <w:rPr>
      <w:kern w:val="2"/>
      <w:sz w:val="21"/>
      <w:szCs w:val="24"/>
    </w:rPr>
  </w:style>
  <w:style w:type="character" w:customStyle="1" w:styleId="43">
    <w:name w:val="正文文本首行缩进 字符"/>
    <w:link w:val="11"/>
    <w:qFormat/>
    <w:uiPriority w:val="0"/>
  </w:style>
  <w:style w:type="character" w:customStyle="1" w:styleId="44">
    <w:name w:val="正文文本缩进 字符"/>
    <w:link w:val="13"/>
    <w:qFormat/>
    <w:uiPriority w:val="99"/>
    <w:rPr>
      <w:kern w:val="2"/>
      <w:sz w:val="21"/>
      <w:szCs w:val="24"/>
    </w:rPr>
  </w:style>
  <w:style w:type="character" w:customStyle="1" w:styleId="45">
    <w:name w:val="批注框文本 字符"/>
    <w:link w:val="17"/>
    <w:qFormat/>
    <w:uiPriority w:val="0"/>
    <w:rPr>
      <w:kern w:val="2"/>
      <w:sz w:val="18"/>
      <w:szCs w:val="18"/>
    </w:rPr>
  </w:style>
  <w:style w:type="character" w:customStyle="1" w:styleId="46">
    <w:name w:val="页脚 字符"/>
    <w:link w:val="18"/>
    <w:qFormat/>
    <w:uiPriority w:val="99"/>
    <w:rPr>
      <w:kern w:val="2"/>
      <w:sz w:val="18"/>
      <w:szCs w:val="18"/>
    </w:rPr>
  </w:style>
  <w:style w:type="character" w:customStyle="1" w:styleId="47">
    <w:name w:val="页眉 字符"/>
    <w:link w:val="19"/>
    <w:qFormat/>
    <w:uiPriority w:val="99"/>
    <w:rPr>
      <w:kern w:val="2"/>
      <w:sz w:val="18"/>
      <w:szCs w:val="18"/>
    </w:rPr>
  </w:style>
  <w:style w:type="character" w:customStyle="1" w:styleId="48">
    <w:name w:val="批注主题 字符"/>
    <w:link w:val="23"/>
    <w:qFormat/>
    <w:uiPriority w:val="0"/>
    <w:rPr>
      <w:b/>
      <w:bCs/>
      <w:kern w:val="2"/>
      <w:sz w:val="21"/>
      <w:szCs w:val="24"/>
    </w:rPr>
  </w:style>
  <w:style w:type="character" w:customStyle="1" w:styleId="49">
    <w:name w:val="正文文本首行缩进 2 字符"/>
    <w:link w:val="24"/>
    <w:qFormat/>
    <w:uiPriority w:val="99"/>
    <w:rPr>
      <w:kern w:val="2"/>
      <w:sz w:val="21"/>
      <w:szCs w:val="24"/>
    </w:rPr>
  </w:style>
  <w:style w:type="paragraph" w:customStyle="1" w:styleId="50">
    <w:name w:val="[Normal]"/>
    <w:qFormat/>
    <w:uiPriority w:val="0"/>
    <w:rPr>
      <w:rFonts w:ascii="宋体" w:hAnsi="宋体" w:eastAsia="宋体" w:cs="Times New Roman"/>
      <w:sz w:val="24"/>
      <w:szCs w:val="22"/>
      <w:lang w:val="zh-CN" w:eastAsia="zh-CN" w:bidi="ar-SA"/>
    </w:rPr>
  </w:style>
  <w:style w:type="character" w:customStyle="1" w:styleId="51">
    <w:name w:val="15"/>
    <w:qFormat/>
    <w:uiPriority w:val="0"/>
    <w:rPr>
      <w:rFonts w:hint="default" w:ascii="Arial" w:hAnsi="Arial" w:eastAsia="黑体" w:cs="Arial"/>
      <w:b/>
      <w:bCs/>
      <w:kern w:val="2"/>
      <w:sz w:val="32"/>
      <w:szCs w:val="32"/>
    </w:rPr>
  </w:style>
  <w:style w:type="paragraph" w:styleId="52">
    <w:name w:val="List Paragraph"/>
    <w:basedOn w:val="1"/>
    <w:qFormat/>
    <w:uiPriority w:val="0"/>
    <w:pPr>
      <w:ind w:firstLine="420" w:firstLineChars="200"/>
    </w:pPr>
    <w:rPr>
      <w:rFonts w:ascii="Calibri" w:hAnsi="Calibri"/>
      <w:szCs w:val="22"/>
    </w:rPr>
  </w:style>
  <w:style w:type="paragraph" w:customStyle="1" w:styleId="53">
    <w:name w:val="样式3"/>
    <w:basedOn w:val="2"/>
    <w:qFormat/>
    <w:uiPriority w:val="0"/>
    <w:pPr>
      <w:spacing w:before="120" w:after="0" w:line="576" w:lineRule="auto"/>
      <w:jc w:val="center"/>
    </w:pPr>
    <w:rPr>
      <w:rFonts w:eastAsia="黑体"/>
      <w:b w:val="0"/>
      <w:sz w:val="30"/>
      <w:szCs w:val="30"/>
    </w:rPr>
  </w:style>
  <w:style w:type="paragraph" w:customStyle="1" w:styleId="54">
    <w:name w:val="_Style 111"/>
    <w:basedOn w:val="1"/>
    <w:next w:val="52"/>
    <w:qFormat/>
    <w:uiPriority w:val="0"/>
    <w:pPr>
      <w:ind w:firstLine="420" w:firstLineChars="200"/>
    </w:pPr>
    <w:rPr>
      <w:szCs w:val="22"/>
    </w:rPr>
  </w:style>
  <w:style w:type="paragraph" w:customStyle="1" w:styleId="55">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5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58">
    <w:name w:val="2timesnewroman5020"/>
    <w:basedOn w:val="1"/>
    <w:qFormat/>
    <w:uiPriority w:val="0"/>
    <w:pPr>
      <w:widowControl/>
      <w:spacing w:before="100" w:beforeAutospacing="1" w:after="100" w:afterAutospacing="1"/>
      <w:jc w:val="left"/>
    </w:pPr>
    <w:rPr>
      <w:rFonts w:cs="宋体"/>
      <w:kern w:val="0"/>
      <w:sz w:val="24"/>
    </w:rPr>
  </w:style>
  <w:style w:type="paragraph" w:customStyle="1" w:styleId="59">
    <w:name w:val="Char"/>
    <w:basedOn w:val="1"/>
    <w:qFormat/>
    <w:uiPriority w:val="0"/>
    <w:pPr>
      <w:adjustRightInd/>
    </w:pPr>
    <w:rPr>
      <w:sz w:val="28"/>
      <w:szCs w:val="20"/>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修订1"/>
    <w:unhideWhenUsed/>
    <w:qFormat/>
    <w:uiPriority w:val="99"/>
    <w:rPr>
      <w:rFonts w:ascii="宋体" w:hAnsi="宋体" w:eastAsia="宋体" w:cs="Times New Roman"/>
      <w:kern w:val="2"/>
      <w:sz w:val="21"/>
      <w:szCs w:val="24"/>
      <w:lang w:val="en-US" w:eastAsia="zh-CN" w:bidi="ar-SA"/>
    </w:rPr>
  </w:style>
  <w:style w:type="paragraph" w:customStyle="1" w:styleId="62">
    <w:name w:val="修订2"/>
    <w:hidden/>
    <w:unhideWhenUsed/>
    <w:qFormat/>
    <w:uiPriority w:val="99"/>
    <w:rPr>
      <w:rFonts w:ascii="宋体" w:hAnsi="宋体" w:eastAsia="宋体" w:cs="Times New Roman"/>
      <w:kern w:val="2"/>
      <w:sz w:val="21"/>
      <w:szCs w:val="24"/>
      <w:lang w:val="en-US" w:eastAsia="zh-CN" w:bidi="ar-SA"/>
    </w:rPr>
  </w:style>
  <w:style w:type="paragraph" w:customStyle="1" w:styleId="63">
    <w:name w:val="正文_1_0"/>
    <w:basedOn w:val="64"/>
    <w:qFormat/>
    <w:uiPriority w:val="0"/>
  </w:style>
  <w:style w:type="paragraph" w:customStyle="1" w:styleId="64">
    <w:name w:val="正文_1"/>
    <w:basedOn w:val="65"/>
    <w:qFormat/>
    <w:uiPriority w:val="0"/>
    <w:rPr>
      <w:rFonts w:cs="Calibri"/>
      <w:szCs w:val="21"/>
    </w:rPr>
  </w:style>
  <w:style w:type="paragraph" w:customStyle="1" w:styleId="65">
    <w:name w:val="正文_2"/>
    <w:basedOn w:val="66"/>
    <w:qFormat/>
    <w:uiPriority w:val="0"/>
  </w:style>
  <w:style w:type="paragraph" w:customStyle="1" w:styleId="6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修订3"/>
    <w:hidden/>
    <w:unhideWhenUsed/>
    <w:qFormat/>
    <w:uiPriority w:val="99"/>
    <w:rPr>
      <w:rFonts w:ascii="宋体" w:hAnsi="宋体" w:eastAsia="宋体" w:cs="Times New Roman"/>
      <w:kern w:val="2"/>
      <w:sz w:val="21"/>
      <w:szCs w:val="24"/>
      <w:lang w:val="en-US" w:eastAsia="zh-CN" w:bidi="ar-SA"/>
    </w:rPr>
  </w:style>
  <w:style w:type="paragraph" w:customStyle="1" w:styleId="68">
    <w:name w:val="修订4"/>
    <w:hidden/>
    <w:unhideWhenUsed/>
    <w:qFormat/>
    <w:uiPriority w:val="99"/>
    <w:rPr>
      <w:rFonts w:ascii="宋体" w:hAnsi="宋体" w:eastAsia="宋体" w:cs="Times New Roman"/>
      <w:kern w:val="2"/>
      <w:sz w:val="21"/>
      <w:szCs w:val="24"/>
      <w:lang w:val="en-US" w:eastAsia="zh-CN" w:bidi="ar-SA"/>
    </w:rPr>
  </w:style>
  <w:style w:type="character" w:customStyle="1" w:styleId="69">
    <w:name w:val="未处理的提及1"/>
    <w:basedOn w:val="27"/>
    <w:semiHidden/>
    <w:unhideWhenUsed/>
    <w:qFormat/>
    <w:uiPriority w:val="99"/>
    <w:rPr>
      <w:color w:val="605E5C"/>
      <w:shd w:val="clear" w:color="auto" w:fill="E1DFDD"/>
    </w:rPr>
  </w:style>
  <w:style w:type="character" w:customStyle="1" w:styleId="70">
    <w:name w:val="正文文本缩进 2 字符"/>
    <w:basedOn w:val="27"/>
    <w:link w:val="16"/>
    <w:semiHidden/>
    <w:qFormat/>
    <w:uiPriority w:val="0"/>
    <w:rPr>
      <w:rFonts w:ascii="宋体" w:hAnsi="宋体"/>
      <w:kern w:val="2"/>
      <w:sz w:val="21"/>
      <w:szCs w:val="24"/>
    </w:rPr>
  </w:style>
  <w:style w:type="paragraph" w:customStyle="1" w:styleId="71">
    <w:name w:val="Char1"/>
    <w:basedOn w:val="1"/>
    <w:qFormat/>
    <w:uiPriority w:val="0"/>
    <w:pPr>
      <w:adjustRightInd/>
      <w:spacing w:line="240" w:lineRule="auto"/>
      <w:textAlignment w:val="auto"/>
    </w:pPr>
    <w:rPr>
      <w:rFonts w:ascii="Times New Roman" w:hAnsi="Times New Roman"/>
      <w:szCs w:val="21"/>
    </w:rPr>
  </w:style>
  <w:style w:type="paragraph" w:customStyle="1" w:styleId="72">
    <w:name w:val="目录 11"/>
    <w:basedOn w:val="1"/>
    <w:next w:val="1"/>
    <w:qFormat/>
    <w:uiPriority w:val="0"/>
    <w:pPr>
      <w:adjustRightInd/>
      <w:spacing w:line="240" w:lineRule="auto"/>
      <w:textAlignment w:val="auto"/>
    </w:pPr>
    <w:rPr>
      <w:rFonts w:ascii="Times New Roman" w:hAnsi="Times New Roman"/>
      <w:szCs w:val="21"/>
    </w:rPr>
  </w:style>
  <w:style w:type="paragraph" w:customStyle="1" w:styleId="73">
    <w:name w:val="msonormal"/>
    <w:basedOn w:val="1"/>
    <w:qFormat/>
    <w:uiPriority w:val="0"/>
    <w:pPr>
      <w:widowControl/>
      <w:adjustRightInd/>
      <w:spacing w:before="100" w:beforeAutospacing="1" w:after="100" w:afterAutospacing="1" w:line="240" w:lineRule="auto"/>
      <w:jc w:val="left"/>
      <w:textAlignment w:val="auto"/>
    </w:pPr>
    <w:rPr>
      <w:rFonts w:cs="宋体"/>
      <w:kern w:val="0"/>
      <w:sz w:val="24"/>
    </w:rPr>
  </w:style>
  <w:style w:type="paragraph" w:customStyle="1" w:styleId="74">
    <w:name w:val="目录 21"/>
    <w:basedOn w:val="1"/>
    <w:next w:val="1"/>
    <w:qFormat/>
    <w:uiPriority w:val="0"/>
    <w:pPr>
      <w:adjustRightInd/>
      <w:spacing w:before="100" w:beforeAutospacing="1" w:after="100" w:afterAutospacing="1" w:line="240" w:lineRule="auto"/>
      <w:ind w:left="420" w:leftChars="200"/>
      <w:textAlignment w:val="auto"/>
    </w:pPr>
    <w:rPr>
      <w:rFonts w:ascii="Times New Roman" w:hAnsi="Times New Roman"/>
      <w:szCs w:val="21"/>
    </w:rPr>
  </w:style>
  <w:style w:type="paragraph" w:customStyle="1" w:styleId="75">
    <w:name w:val="正文首行缩进 21"/>
    <w:basedOn w:val="13"/>
    <w:next w:val="13"/>
    <w:qFormat/>
    <w:uiPriority w:val="0"/>
    <w:pPr>
      <w:adjustRightInd/>
      <w:spacing w:before="100" w:beforeAutospacing="1" w:line="240" w:lineRule="auto"/>
      <w:ind w:firstLine="420" w:firstLineChars="200"/>
      <w:textAlignment w:val="auto"/>
    </w:pPr>
    <w:rPr>
      <w:rFonts w:ascii="Calibri" w:hAnsi="Calibri" w:cs="Calibri"/>
      <w:szCs w:val="21"/>
    </w:rPr>
  </w:style>
  <w:style w:type="paragraph" w:customStyle="1" w:styleId="76">
    <w:name w:val="列出段落1"/>
    <w:basedOn w:val="1"/>
    <w:qFormat/>
    <w:uiPriority w:val="0"/>
    <w:pPr>
      <w:adjustRightInd/>
      <w:spacing w:line="240" w:lineRule="auto"/>
      <w:ind w:firstLine="420" w:firstLineChars="200"/>
      <w:textAlignment w:val="auto"/>
    </w:pPr>
    <w:rPr>
      <w:rFonts w:ascii="Times New Roman" w:hAnsi="Times New Roman"/>
      <w:szCs w:val="21"/>
    </w:rPr>
  </w:style>
  <w:style w:type="paragraph" w:customStyle="1" w:styleId="77">
    <w:name w:val="目录 32"/>
    <w:basedOn w:val="1"/>
    <w:next w:val="1"/>
    <w:qFormat/>
    <w:uiPriority w:val="0"/>
    <w:pPr>
      <w:widowControl/>
      <w:wordWrap w:val="0"/>
      <w:adjustRightInd/>
      <w:spacing w:before="100" w:beforeAutospacing="1" w:after="100" w:afterAutospacing="1" w:line="240" w:lineRule="auto"/>
      <w:ind w:left="425"/>
      <w:textAlignment w:val="auto"/>
    </w:pPr>
    <w:rPr>
      <w:rFonts w:ascii="Times New Roman" w:hAnsi="Times New Roman"/>
      <w:kern w:val="0"/>
      <w:szCs w:val="21"/>
    </w:rPr>
  </w:style>
  <w:style w:type="character" w:customStyle="1" w:styleId="78">
    <w:name w:val="日期 字符"/>
    <w:basedOn w:val="27"/>
    <w:link w:val="15"/>
    <w:qFormat/>
    <w:uiPriority w:val="99"/>
    <w:rPr>
      <w:rFonts w:ascii="宋体" w:hAnsi="宋体" w:cs="宋体"/>
      <w:kern w:val="2"/>
      <w:sz w:val="21"/>
      <w:szCs w:val="21"/>
    </w:rPr>
  </w:style>
  <w:style w:type="paragraph" w:customStyle="1" w:styleId="79">
    <w:name w:val="修订5"/>
    <w:hidden/>
    <w:unhideWhenUsed/>
    <w:qFormat/>
    <w:uiPriority w:val="99"/>
    <w:rPr>
      <w:rFonts w:ascii="宋体" w:hAnsi="宋体" w:eastAsia="宋体" w:cs="Times New Roman"/>
      <w:kern w:val="2"/>
      <w:sz w:val="21"/>
      <w:szCs w:val="24"/>
      <w:lang w:val="en-US" w:eastAsia="zh-CN" w:bidi="ar-SA"/>
    </w:rPr>
  </w:style>
  <w:style w:type="paragraph" w:customStyle="1" w:styleId="80">
    <w:name w:val="修订6"/>
    <w:hidden/>
    <w:semiHidden/>
    <w:qFormat/>
    <w:uiPriority w:val="99"/>
    <w:rPr>
      <w:rFonts w:ascii="宋体" w:hAnsi="宋体" w:eastAsia="宋体" w:cs="Times New Roman"/>
      <w:kern w:val="2"/>
      <w:sz w:val="21"/>
      <w:szCs w:val="24"/>
      <w:lang w:val="en-US" w:eastAsia="zh-CN" w:bidi="ar-SA"/>
    </w:rPr>
  </w:style>
  <w:style w:type="paragraph" w:customStyle="1" w:styleId="81">
    <w:name w:val="修订7"/>
    <w:hidden/>
    <w:unhideWhenUsed/>
    <w:qFormat/>
    <w:uiPriority w:val="99"/>
    <w:rPr>
      <w:rFonts w:ascii="宋体" w:hAnsi="宋体" w:eastAsia="宋体" w:cs="Times New Roman"/>
      <w:kern w:val="2"/>
      <w:sz w:val="21"/>
      <w:szCs w:val="24"/>
      <w:lang w:val="en-US" w:eastAsia="zh-CN" w:bidi="ar-SA"/>
    </w:rPr>
  </w:style>
  <w:style w:type="paragraph" w:customStyle="1" w:styleId="82">
    <w:name w:val="修订8"/>
    <w:hidden/>
    <w:unhideWhenUsed/>
    <w:qFormat/>
    <w:uiPriority w:val="99"/>
    <w:rPr>
      <w:rFonts w:ascii="宋体" w:hAnsi="宋体" w:eastAsia="宋体" w:cs="Times New Roman"/>
      <w:kern w:val="2"/>
      <w:sz w:val="21"/>
      <w:szCs w:val="24"/>
      <w:lang w:val="en-US" w:eastAsia="zh-CN" w:bidi="ar-SA"/>
    </w:rPr>
  </w:style>
  <w:style w:type="paragraph" w:customStyle="1" w:styleId="83">
    <w:name w:val="修订9"/>
    <w:hidden/>
    <w:unhideWhenUsed/>
    <w:qFormat/>
    <w:uiPriority w:val="99"/>
    <w:rPr>
      <w:rFonts w:ascii="宋体" w:hAnsi="宋体" w:eastAsia="宋体" w:cs="Times New Roman"/>
      <w:kern w:val="2"/>
      <w:sz w:val="21"/>
      <w:szCs w:val="24"/>
      <w:lang w:val="en-US" w:eastAsia="zh-CN" w:bidi="ar-SA"/>
    </w:rPr>
  </w:style>
  <w:style w:type="paragraph" w:customStyle="1" w:styleId="84">
    <w:name w:val="修订10"/>
    <w:hidden/>
    <w:unhideWhenUsed/>
    <w:qFormat/>
    <w:uiPriority w:val="99"/>
    <w:rPr>
      <w:rFonts w:ascii="宋体" w:hAnsi="宋体" w:eastAsia="宋体" w:cs="Times New Roman"/>
      <w:kern w:val="2"/>
      <w:sz w:val="21"/>
      <w:szCs w:val="24"/>
      <w:lang w:val="en-US" w:eastAsia="zh-CN" w:bidi="ar-SA"/>
    </w:rPr>
  </w:style>
  <w:style w:type="paragraph" w:customStyle="1" w:styleId="85">
    <w:name w:val="修订11"/>
    <w:hidden/>
    <w:unhideWhenUsed/>
    <w:qFormat/>
    <w:uiPriority w:val="99"/>
    <w:rPr>
      <w:rFonts w:ascii="宋体" w:hAnsi="宋体" w:eastAsia="宋体" w:cs="Times New Roman"/>
      <w:kern w:val="2"/>
      <w:sz w:val="21"/>
      <w:szCs w:val="24"/>
      <w:lang w:val="en-US" w:eastAsia="zh-CN" w:bidi="ar-SA"/>
    </w:rPr>
  </w:style>
  <w:style w:type="character" w:customStyle="1" w:styleId="86">
    <w:name w:val="NormalCharacter"/>
    <w:qFormat/>
    <w:uiPriority w:val="99"/>
  </w:style>
  <w:style w:type="paragraph" w:customStyle="1" w:styleId="87">
    <w:name w:val="正文文本缩进1"/>
    <w:basedOn w:val="1"/>
    <w:qFormat/>
    <w:uiPriority w:val="0"/>
    <w:pPr>
      <w:adjustRightInd/>
      <w:spacing w:after="120" w:line="240" w:lineRule="auto"/>
      <w:ind w:left="420" w:leftChars="200"/>
      <w:textAlignment w:val="auto"/>
    </w:pPr>
    <w:rPr>
      <w:rFonts w:ascii="Times New Roman" w:hAnsi="Times New Roman"/>
    </w:rPr>
  </w:style>
  <w:style w:type="paragraph" w:customStyle="1" w:styleId="88">
    <w:name w:val="修订12"/>
    <w:hidden/>
    <w:unhideWhenUsed/>
    <w:qFormat/>
    <w:uiPriority w:val="99"/>
    <w:rPr>
      <w:rFonts w:ascii="宋体" w:hAnsi="宋体" w:eastAsia="宋体" w:cs="Times New Roman"/>
      <w:kern w:val="2"/>
      <w:sz w:val="21"/>
      <w:szCs w:val="24"/>
      <w:lang w:val="en-US" w:eastAsia="zh-CN" w:bidi="ar-SA"/>
    </w:rPr>
  </w:style>
  <w:style w:type="paragraph" w:customStyle="1" w:styleId="89">
    <w:name w:val="修订13"/>
    <w:hidden/>
    <w:unhideWhenUsed/>
    <w:qFormat/>
    <w:uiPriority w:val="99"/>
    <w:rPr>
      <w:rFonts w:ascii="宋体" w:hAnsi="宋体" w:eastAsia="宋体" w:cs="Times New Roman"/>
      <w:kern w:val="2"/>
      <w:sz w:val="21"/>
      <w:szCs w:val="24"/>
      <w:lang w:val="en-US" w:eastAsia="zh-CN" w:bidi="ar-SA"/>
    </w:rPr>
  </w:style>
  <w:style w:type="paragraph" w:customStyle="1" w:styleId="90">
    <w:name w:val="Revision"/>
    <w:hidden/>
    <w:unhideWhenUsed/>
    <w:qFormat/>
    <w:uiPriority w:val="99"/>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4ACEE-DE6F-4F9D-ADBF-E2DD017FD5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7203</Words>
  <Characters>41060</Characters>
  <Lines>342</Lines>
  <Paragraphs>96</Paragraphs>
  <TotalTime>0</TotalTime>
  <ScaleCrop>false</ScaleCrop>
  <LinksUpToDate>false</LinksUpToDate>
  <CharactersWithSpaces>48167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2025-07-15T12:13:00Z</dcterms:created>
  <dc:creator>Administrator</dc:creator>
  <cp:lastModifiedBy>金衍武</cp:lastModifiedBy>
  <cp:lastPrinted>2026-01-30T01:51:00Z</cp:lastPrinted>
  <dcterms:modified xsi:type="dcterms:W3CDTF">2026-02-05T02:24:28Z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1D6EF92A60964D47A2BF432415E26FAD_13</vt:lpwstr>
  </property>
  <property fmtid="{D5CDD505-2E9C-101B-9397-08002B2CF9AE}" pid="4" name="KSOTemplateDocerSaveRecord">
    <vt:lpwstr>eyJoZGlkIjoiMWIyNTQzYjQ5MjY3NDVjZGY1YWQzZGU4ZWNhZmJhNDMiLCJ1c2VySWQiOiI0MTI2MjYyMTEifQ==</vt:lpwstr>
  </property>
</Properties>
</file>