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94BB4">
      <w:pPr>
        <w:autoSpaceDE w:val="0"/>
        <w:autoSpaceDN w:val="0"/>
        <w:adjustRightInd/>
        <w:spacing w:line="500" w:lineRule="atLeast"/>
        <w:textAlignment w:val="bottom"/>
        <w:rPr>
          <w:rFonts w:cs="宋体"/>
          <w:b/>
          <w:bCs/>
          <w:sz w:val="72"/>
          <w:szCs w:val="72"/>
        </w:rPr>
      </w:pPr>
    </w:p>
    <w:p w14:paraId="3CDB6A38">
      <w:pPr>
        <w:adjustRightInd/>
        <w:spacing w:line="400" w:lineRule="atLeast"/>
        <w:jc w:val="center"/>
        <w:textAlignment w:val="auto"/>
        <w:rPr>
          <w:rFonts w:cs="宋体"/>
          <w:b/>
          <w:sz w:val="56"/>
          <w:szCs w:val="28"/>
        </w:rPr>
      </w:pPr>
      <w:r>
        <w:rPr>
          <w:rFonts w:hint="eastAsia" w:cs="宋体"/>
          <w:b/>
          <w:sz w:val="56"/>
          <w:szCs w:val="28"/>
        </w:rPr>
        <w:t>温 州 港 口 服 务 有 限 公 司</w:t>
      </w:r>
    </w:p>
    <w:p w14:paraId="048F74C0">
      <w:pPr>
        <w:adjustRightInd/>
        <w:spacing w:after="120" w:line="240" w:lineRule="auto"/>
        <w:ind w:firstLine="210" w:firstLineChars="100"/>
        <w:textAlignment w:val="auto"/>
        <w:rPr>
          <w:rFonts w:cs="宋体"/>
        </w:rPr>
      </w:pPr>
    </w:p>
    <w:p w14:paraId="6610A6EF">
      <w:pPr>
        <w:adjustRightInd/>
        <w:spacing w:after="120" w:line="240" w:lineRule="auto"/>
        <w:ind w:firstLine="210" w:firstLineChars="100"/>
        <w:textAlignment w:val="auto"/>
        <w:rPr>
          <w:rFonts w:cs="宋体"/>
        </w:rPr>
      </w:pPr>
    </w:p>
    <w:p w14:paraId="0C4CC525">
      <w:pPr>
        <w:adjustRightInd/>
        <w:spacing w:after="120" w:line="240" w:lineRule="auto"/>
        <w:ind w:firstLine="210" w:firstLineChars="100"/>
        <w:textAlignment w:val="auto"/>
        <w:rPr>
          <w:rFonts w:cs="宋体"/>
        </w:rPr>
      </w:pPr>
    </w:p>
    <w:p w14:paraId="645C5599">
      <w:pPr>
        <w:adjustRightInd/>
        <w:spacing w:after="120" w:line="240" w:lineRule="auto"/>
        <w:textAlignment w:val="auto"/>
        <w:rPr>
          <w:rFonts w:cs="宋体"/>
        </w:rPr>
      </w:pPr>
    </w:p>
    <w:p w14:paraId="79DAFDC1">
      <w:pPr>
        <w:adjustRightInd/>
        <w:spacing w:after="120" w:line="240" w:lineRule="auto"/>
        <w:ind w:firstLine="210" w:firstLineChars="100"/>
        <w:textAlignment w:val="auto"/>
        <w:rPr>
          <w:rFonts w:cs="宋体"/>
        </w:rPr>
      </w:pPr>
    </w:p>
    <w:p w14:paraId="79F3172A">
      <w:pPr>
        <w:adjustRightInd/>
        <w:spacing w:after="120" w:line="240" w:lineRule="auto"/>
        <w:ind w:firstLine="210" w:firstLineChars="100"/>
        <w:textAlignment w:val="auto"/>
        <w:rPr>
          <w:rFonts w:cs="宋体"/>
        </w:rPr>
      </w:pPr>
    </w:p>
    <w:p w14:paraId="24D4EB28">
      <w:pPr>
        <w:autoSpaceDE w:val="0"/>
        <w:autoSpaceDN w:val="0"/>
        <w:adjustRightInd/>
        <w:spacing w:line="500" w:lineRule="atLeast"/>
        <w:jc w:val="center"/>
        <w:textAlignment w:val="bottom"/>
        <w:rPr>
          <w:rFonts w:cs="宋体"/>
          <w:b/>
          <w:bCs/>
          <w:sz w:val="72"/>
          <w:szCs w:val="72"/>
        </w:rPr>
      </w:pPr>
      <w:r>
        <w:rPr>
          <w:rFonts w:hint="eastAsia" w:cs="宋体"/>
          <w:b/>
          <w:bCs/>
          <w:sz w:val="72"/>
          <w:szCs w:val="72"/>
        </w:rPr>
        <w:t>招</w:t>
      </w:r>
      <w:r>
        <w:rPr>
          <w:rFonts w:hint="eastAsia" w:cs="宋体"/>
          <w:b/>
          <w:bCs/>
          <w:sz w:val="72"/>
          <w:szCs w:val="72"/>
          <w:lang w:val="en-US" w:eastAsia="zh-CN"/>
        </w:rPr>
        <w:t xml:space="preserve"> </w:t>
      </w:r>
      <w:r>
        <w:rPr>
          <w:rFonts w:hint="eastAsia" w:cs="宋体"/>
          <w:b/>
          <w:bCs/>
          <w:sz w:val="72"/>
          <w:szCs w:val="72"/>
        </w:rPr>
        <w:t>标</w:t>
      </w:r>
      <w:r>
        <w:rPr>
          <w:rFonts w:hint="eastAsia" w:cs="宋体"/>
          <w:b/>
          <w:bCs/>
          <w:sz w:val="72"/>
          <w:szCs w:val="72"/>
          <w:lang w:val="en-US" w:eastAsia="zh-CN"/>
        </w:rPr>
        <w:t xml:space="preserve"> </w:t>
      </w:r>
      <w:r>
        <w:rPr>
          <w:rFonts w:hint="eastAsia" w:cs="宋体"/>
          <w:b/>
          <w:bCs/>
          <w:sz w:val="72"/>
          <w:szCs w:val="72"/>
        </w:rPr>
        <w:t>文</w:t>
      </w:r>
      <w:r>
        <w:rPr>
          <w:rFonts w:hint="eastAsia" w:cs="宋体"/>
          <w:b/>
          <w:bCs/>
          <w:sz w:val="72"/>
          <w:szCs w:val="72"/>
          <w:lang w:val="en-US" w:eastAsia="zh-CN"/>
        </w:rPr>
        <w:t xml:space="preserve"> </w:t>
      </w:r>
      <w:r>
        <w:rPr>
          <w:rFonts w:hint="eastAsia" w:cs="宋体"/>
          <w:b/>
          <w:bCs/>
          <w:sz w:val="72"/>
          <w:szCs w:val="72"/>
        </w:rPr>
        <w:t>件</w:t>
      </w:r>
      <w:r>
        <w:rPr>
          <w:rFonts w:hint="eastAsia" w:cs="宋体"/>
          <w:b/>
          <w:bCs/>
          <w:sz w:val="72"/>
          <w:szCs w:val="72"/>
          <w:lang w:val="en-US" w:eastAsia="zh-CN"/>
        </w:rPr>
        <w:t xml:space="preserve"> </w:t>
      </w:r>
      <w:r>
        <w:rPr>
          <w:rFonts w:hint="eastAsia" w:cs="宋体"/>
          <w:b/>
          <w:bCs/>
          <w:sz w:val="72"/>
          <w:szCs w:val="72"/>
        </w:rPr>
        <w:t>预 公 示</w:t>
      </w:r>
    </w:p>
    <w:p w14:paraId="26AEE72F">
      <w:pPr>
        <w:adjustRightInd/>
        <w:spacing w:line="400" w:lineRule="atLeast"/>
        <w:jc w:val="center"/>
        <w:textAlignment w:val="auto"/>
        <w:rPr>
          <w:rFonts w:cs="宋体"/>
          <w:b/>
          <w:sz w:val="32"/>
        </w:rPr>
      </w:pPr>
    </w:p>
    <w:p w14:paraId="30EA4B34">
      <w:pPr>
        <w:adjustRightInd/>
        <w:spacing w:line="240" w:lineRule="auto"/>
        <w:jc w:val="center"/>
        <w:textAlignment w:val="auto"/>
        <w:rPr>
          <w:rFonts w:cs="宋体"/>
          <w:b/>
          <w:bCs/>
          <w:sz w:val="32"/>
          <w:szCs w:val="32"/>
        </w:rPr>
      </w:pPr>
    </w:p>
    <w:p w14:paraId="07629A25">
      <w:pPr>
        <w:adjustRightInd/>
        <w:spacing w:line="240" w:lineRule="auto"/>
        <w:textAlignment w:val="auto"/>
        <w:rPr>
          <w:rFonts w:cs="宋体"/>
          <w:b/>
          <w:bCs/>
          <w:sz w:val="28"/>
          <w:szCs w:val="28"/>
        </w:rPr>
      </w:pPr>
    </w:p>
    <w:p w14:paraId="21005637">
      <w:pPr>
        <w:adjustRightInd/>
        <w:spacing w:line="240" w:lineRule="auto"/>
        <w:jc w:val="center"/>
        <w:textAlignment w:val="auto"/>
        <w:rPr>
          <w:rFonts w:cs="宋体"/>
          <w:b/>
          <w:bCs/>
          <w:sz w:val="24"/>
        </w:rPr>
      </w:pPr>
    </w:p>
    <w:p w14:paraId="55151677">
      <w:pPr>
        <w:adjustRightInd/>
        <w:spacing w:line="240" w:lineRule="auto"/>
        <w:jc w:val="center"/>
        <w:textAlignment w:val="auto"/>
        <w:rPr>
          <w:rFonts w:cs="宋体"/>
          <w:b/>
          <w:bCs/>
          <w:sz w:val="24"/>
        </w:rPr>
      </w:pPr>
    </w:p>
    <w:p w14:paraId="05CF7570">
      <w:pPr>
        <w:adjustRightInd/>
        <w:spacing w:line="240" w:lineRule="auto"/>
        <w:jc w:val="center"/>
        <w:textAlignment w:val="auto"/>
        <w:rPr>
          <w:rFonts w:cs="宋体"/>
          <w:b/>
          <w:bCs/>
          <w:sz w:val="24"/>
        </w:rPr>
      </w:pPr>
    </w:p>
    <w:p w14:paraId="4DA303D9">
      <w:pPr>
        <w:adjustRightInd/>
        <w:spacing w:line="240" w:lineRule="auto"/>
        <w:jc w:val="center"/>
        <w:textAlignment w:val="auto"/>
        <w:rPr>
          <w:rFonts w:cs="宋体"/>
          <w:b/>
          <w:bCs/>
          <w:sz w:val="24"/>
        </w:rPr>
      </w:pPr>
    </w:p>
    <w:p w14:paraId="5AE1F51F">
      <w:pPr>
        <w:adjustRightInd/>
        <w:spacing w:line="240" w:lineRule="auto"/>
        <w:jc w:val="center"/>
        <w:textAlignment w:val="auto"/>
        <w:rPr>
          <w:rFonts w:cs="宋体"/>
          <w:b/>
          <w:bCs/>
          <w:sz w:val="24"/>
        </w:rPr>
      </w:pPr>
    </w:p>
    <w:p w14:paraId="16C634F9">
      <w:pPr>
        <w:tabs>
          <w:tab w:val="left" w:pos="1985"/>
          <w:tab w:val="left" w:pos="4860"/>
        </w:tabs>
        <w:spacing w:line="600" w:lineRule="exact"/>
        <w:ind w:right="98" w:firstLine="1687" w:firstLineChars="600"/>
        <w:jc w:val="left"/>
        <w:rPr>
          <w:rFonts w:hint="eastAsia" w:cs="宋体"/>
          <w:b/>
          <w:spacing w:val="0"/>
          <w:sz w:val="28"/>
          <w:szCs w:val="28"/>
        </w:rPr>
      </w:pPr>
      <w:r>
        <w:rPr>
          <w:rFonts w:hint="eastAsia" w:cs="宋体"/>
          <w:b/>
          <w:sz w:val="28"/>
          <w:szCs w:val="28"/>
        </w:rPr>
        <w:t>项 目 编 号：</w:t>
      </w:r>
      <w:r>
        <w:rPr>
          <w:rFonts w:hint="eastAsia" w:ascii="宋体" w:hAnsi="宋体" w:eastAsia="宋体" w:cs="宋体"/>
          <w:b/>
          <w:i w:val="0"/>
          <w:caps w:val="0"/>
          <w:spacing w:val="0"/>
          <w:sz w:val="28"/>
          <w:szCs w:val="28"/>
        </w:rPr>
        <w:t>GFGCJS2026050</w:t>
      </w:r>
    </w:p>
    <w:p w14:paraId="131962DC">
      <w:pPr>
        <w:tabs>
          <w:tab w:val="left" w:pos="4860"/>
        </w:tabs>
        <w:spacing w:line="600" w:lineRule="exact"/>
        <w:ind w:left="3363" w:leftChars="800" w:right="1143" w:hanging="1683" w:hangingChars="466"/>
        <w:jc w:val="left"/>
        <w:rPr>
          <w:rFonts w:cs="宋体"/>
          <w:b/>
          <w:spacing w:val="40"/>
          <w:sz w:val="28"/>
          <w:szCs w:val="28"/>
        </w:rPr>
      </w:pPr>
      <w:r>
        <w:rPr>
          <w:rFonts w:hint="eastAsia" w:cs="宋体"/>
          <w:b/>
          <w:spacing w:val="40"/>
          <w:sz w:val="28"/>
          <w:szCs w:val="28"/>
        </w:rPr>
        <w:t>项目名</w:t>
      </w:r>
      <w:r>
        <w:rPr>
          <w:rFonts w:hint="eastAsia" w:cs="宋体"/>
          <w:b/>
          <w:sz w:val="28"/>
          <w:szCs w:val="28"/>
        </w:rPr>
        <w:t>称：温州港口服务有限公司海港大厦1幢1501室（北）办公用房装修项目</w:t>
      </w:r>
      <w:r>
        <w:rPr>
          <w:rFonts w:hint="eastAsia" w:cs="宋体"/>
          <w:b/>
          <w:spacing w:val="40"/>
          <w:sz w:val="28"/>
          <w:szCs w:val="28"/>
        </w:rPr>
        <w:t xml:space="preserve">    </w:t>
      </w:r>
    </w:p>
    <w:p w14:paraId="48A060E1">
      <w:pPr>
        <w:tabs>
          <w:tab w:val="left" w:pos="4860"/>
        </w:tabs>
        <w:spacing w:line="600" w:lineRule="exact"/>
        <w:ind w:right="1143" w:firstLine="1625" w:firstLineChars="450"/>
        <w:jc w:val="left"/>
        <w:rPr>
          <w:rFonts w:cs="宋体"/>
          <w:b/>
          <w:spacing w:val="40"/>
          <w:sz w:val="28"/>
          <w:szCs w:val="28"/>
        </w:rPr>
      </w:pPr>
      <w:r>
        <w:rPr>
          <w:rFonts w:hint="eastAsia" w:cs="宋体"/>
          <w:b/>
          <w:spacing w:val="40"/>
          <w:sz w:val="28"/>
          <w:szCs w:val="28"/>
        </w:rPr>
        <w:t>招标方式</w:t>
      </w:r>
      <w:r>
        <w:rPr>
          <w:rFonts w:hint="eastAsia" w:cs="宋体"/>
          <w:b/>
          <w:sz w:val="28"/>
          <w:szCs w:val="28"/>
        </w:rPr>
        <w:t>： 公 开 招 标</w:t>
      </w:r>
    </w:p>
    <w:p w14:paraId="1D796347">
      <w:pPr>
        <w:ind w:firstLine="1063" w:firstLineChars="378"/>
        <w:jc w:val="center"/>
        <w:rPr>
          <w:rFonts w:cs="宋体"/>
          <w:b/>
          <w:bCs/>
          <w:sz w:val="28"/>
          <w:szCs w:val="28"/>
        </w:rPr>
      </w:pPr>
    </w:p>
    <w:p w14:paraId="02AA24C7">
      <w:pPr>
        <w:ind w:firstLine="911" w:firstLineChars="378"/>
        <w:rPr>
          <w:rFonts w:cs="宋体"/>
          <w:b/>
          <w:bCs/>
          <w:sz w:val="24"/>
        </w:rPr>
      </w:pPr>
    </w:p>
    <w:p w14:paraId="22E3460F">
      <w:pPr>
        <w:tabs>
          <w:tab w:val="left" w:pos="4860"/>
        </w:tabs>
        <w:spacing w:line="600" w:lineRule="exact"/>
        <w:ind w:firstLine="1365" w:firstLineChars="378"/>
        <w:jc w:val="left"/>
        <w:rPr>
          <w:rFonts w:cs="宋体"/>
          <w:b/>
          <w:spacing w:val="40"/>
          <w:sz w:val="28"/>
          <w:szCs w:val="28"/>
        </w:rPr>
      </w:pPr>
    </w:p>
    <w:p w14:paraId="7C7AD8D9">
      <w:pPr>
        <w:tabs>
          <w:tab w:val="left" w:pos="4860"/>
        </w:tabs>
        <w:spacing w:line="600" w:lineRule="exact"/>
        <w:ind w:firstLine="1365" w:firstLineChars="378"/>
        <w:rPr>
          <w:rFonts w:cs="宋体"/>
          <w:b/>
          <w:spacing w:val="40"/>
          <w:sz w:val="28"/>
          <w:szCs w:val="28"/>
        </w:rPr>
      </w:pPr>
      <w:r>
        <w:rPr>
          <w:rFonts w:hint="eastAsia" w:cs="宋体"/>
          <w:b/>
          <w:spacing w:val="40"/>
          <w:sz w:val="28"/>
          <w:szCs w:val="28"/>
        </w:rPr>
        <w:t>招 标 人：温州港口服务有限公司</w:t>
      </w:r>
    </w:p>
    <w:p w14:paraId="6F541792">
      <w:pPr>
        <w:tabs>
          <w:tab w:val="left" w:pos="4860"/>
        </w:tabs>
        <w:spacing w:line="600" w:lineRule="exact"/>
        <w:ind w:firstLine="1365" w:firstLineChars="378"/>
        <w:rPr>
          <w:rFonts w:cs="宋体"/>
          <w:b/>
          <w:spacing w:val="40"/>
          <w:sz w:val="28"/>
          <w:szCs w:val="28"/>
        </w:rPr>
      </w:pPr>
      <w:r>
        <w:rPr>
          <w:rFonts w:hint="eastAsia" w:cs="宋体"/>
          <w:b/>
          <w:spacing w:val="40"/>
          <w:sz w:val="28"/>
          <w:szCs w:val="28"/>
        </w:rPr>
        <w:t>招标代理机构：</w:t>
      </w:r>
      <w:bookmarkStart w:id="0" w:name="OLE_LINK5"/>
      <w:r>
        <w:rPr>
          <w:rFonts w:hint="eastAsia" w:cs="宋体"/>
          <w:b/>
          <w:spacing w:val="40"/>
          <w:sz w:val="28"/>
          <w:szCs w:val="28"/>
        </w:rPr>
        <w:t>浙江新业项目管理有限公司</w:t>
      </w:r>
      <w:bookmarkEnd w:id="0"/>
    </w:p>
    <w:p w14:paraId="06A44D78">
      <w:pPr>
        <w:spacing w:line="600" w:lineRule="exact"/>
        <w:jc w:val="center"/>
        <w:rPr>
          <w:rFonts w:cs="宋体"/>
          <w:spacing w:val="40"/>
          <w:sz w:val="30"/>
          <w:szCs w:val="30"/>
        </w:rPr>
      </w:pPr>
      <w:r>
        <w:rPr>
          <w:rFonts w:hint="eastAsia" w:cs="宋体"/>
          <w:spacing w:val="40"/>
          <w:sz w:val="30"/>
          <w:szCs w:val="30"/>
        </w:rPr>
        <w:t>二〇二六年</w:t>
      </w:r>
      <w:r>
        <w:rPr>
          <w:rFonts w:hint="eastAsia" w:cs="宋体"/>
          <w:spacing w:val="40"/>
          <w:sz w:val="30"/>
          <w:szCs w:val="30"/>
          <w:lang w:eastAsia="zh-CN"/>
        </w:rPr>
        <w:t>三</w:t>
      </w:r>
      <w:r>
        <w:rPr>
          <w:rFonts w:hint="eastAsia" w:cs="宋体"/>
          <w:spacing w:val="40"/>
          <w:sz w:val="30"/>
          <w:szCs w:val="30"/>
        </w:rPr>
        <w:t>月</w:t>
      </w:r>
    </w:p>
    <w:p w14:paraId="2AEAC789">
      <w:pPr>
        <w:pStyle w:val="24"/>
        <w:rPr>
          <w:rFonts w:cs="宋体"/>
        </w:rPr>
      </w:pPr>
    </w:p>
    <w:p w14:paraId="31BDA334">
      <w:pPr>
        <w:spacing w:line="240" w:lineRule="auto"/>
        <w:jc w:val="center"/>
        <w:rPr>
          <w:rFonts w:cs="宋体"/>
          <w:sz w:val="44"/>
          <w:szCs w:val="44"/>
        </w:rPr>
      </w:pPr>
      <w:r>
        <w:rPr>
          <w:rFonts w:hint="eastAsia" w:cs="宋体"/>
          <w:sz w:val="44"/>
          <w:szCs w:val="44"/>
        </w:rPr>
        <w:t>目录</w:t>
      </w:r>
    </w:p>
    <w:p w14:paraId="00B9EF6B">
      <w:pPr>
        <w:pStyle w:val="15"/>
        <w:tabs>
          <w:tab w:val="right" w:leader="dot" w:pos="8306"/>
        </w:tabs>
        <w:spacing w:line="480" w:lineRule="auto"/>
        <w:jc w:val="center"/>
        <w:rPr>
          <w:rFonts w:cs="宋体"/>
          <w:sz w:val="32"/>
          <w:szCs w:val="32"/>
        </w:rPr>
      </w:pPr>
      <w:r>
        <w:rPr>
          <w:rFonts w:hint="eastAsia" w:cs="宋体"/>
          <w:sz w:val="32"/>
          <w:szCs w:val="32"/>
        </w:rPr>
        <w:fldChar w:fldCharType="begin"/>
      </w:r>
      <w:r>
        <w:rPr>
          <w:rFonts w:hint="eastAsia" w:cs="宋体"/>
          <w:sz w:val="32"/>
          <w:szCs w:val="32"/>
        </w:rPr>
        <w:instrText xml:space="preserve">TOC \o "1-1" \h \u </w:instrText>
      </w:r>
      <w:r>
        <w:rPr>
          <w:rFonts w:hint="eastAsia" w:cs="宋体"/>
          <w:sz w:val="32"/>
          <w:szCs w:val="32"/>
        </w:rPr>
        <w:fldChar w:fldCharType="separate"/>
      </w:r>
      <w:r>
        <w:fldChar w:fldCharType="begin"/>
      </w:r>
      <w:r>
        <w:instrText xml:space="preserve"> HYPERLINK \l "_Toc17299" </w:instrText>
      </w:r>
      <w:r>
        <w:fldChar w:fldCharType="separate"/>
      </w:r>
      <w:r>
        <w:rPr>
          <w:rFonts w:hint="eastAsia" w:cs="宋体"/>
          <w:sz w:val="32"/>
          <w:szCs w:val="32"/>
        </w:rPr>
        <w:t>第一章 招标公告</w:t>
      </w:r>
      <w:r>
        <w:rPr>
          <w:rFonts w:hint="eastAsia" w:cs="宋体"/>
          <w:sz w:val="32"/>
          <w:szCs w:val="32"/>
        </w:rPr>
        <w:tab/>
      </w:r>
      <w:r>
        <w:rPr>
          <w:rFonts w:hint="eastAsia" w:cs="宋体"/>
          <w:sz w:val="32"/>
          <w:szCs w:val="32"/>
        </w:rPr>
        <w:fldChar w:fldCharType="begin"/>
      </w:r>
      <w:r>
        <w:rPr>
          <w:rFonts w:hint="eastAsia" w:cs="宋体"/>
          <w:sz w:val="32"/>
          <w:szCs w:val="32"/>
        </w:rPr>
        <w:instrText xml:space="preserve"> PAGEREF _Toc17299 \h </w:instrText>
      </w:r>
      <w:r>
        <w:rPr>
          <w:rFonts w:hint="eastAsia" w:cs="宋体"/>
          <w:sz w:val="32"/>
          <w:szCs w:val="32"/>
        </w:rPr>
        <w:fldChar w:fldCharType="separate"/>
      </w:r>
      <w:r>
        <w:rPr>
          <w:rFonts w:hint="eastAsia" w:cs="宋体"/>
          <w:sz w:val="32"/>
          <w:szCs w:val="32"/>
        </w:rPr>
        <w:t>3</w:t>
      </w:r>
      <w:r>
        <w:rPr>
          <w:rFonts w:hint="eastAsia" w:cs="宋体"/>
          <w:sz w:val="32"/>
          <w:szCs w:val="32"/>
        </w:rPr>
        <w:fldChar w:fldCharType="end"/>
      </w:r>
      <w:r>
        <w:rPr>
          <w:rFonts w:hint="eastAsia" w:cs="宋体"/>
          <w:sz w:val="32"/>
          <w:szCs w:val="32"/>
        </w:rPr>
        <w:fldChar w:fldCharType="end"/>
      </w:r>
    </w:p>
    <w:p w14:paraId="682B9CD1">
      <w:pPr>
        <w:pStyle w:val="15"/>
        <w:tabs>
          <w:tab w:val="right" w:leader="dot" w:pos="8306"/>
        </w:tabs>
        <w:spacing w:line="480" w:lineRule="auto"/>
        <w:jc w:val="center"/>
        <w:rPr>
          <w:rFonts w:cs="宋体"/>
          <w:sz w:val="32"/>
          <w:szCs w:val="32"/>
        </w:rPr>
      </w:pPr>
      <w:r>
        <w:fldChar w:fldCharType="begin"/>
      </w:r>
      <w:r>
        <w:instrText xml:space="preserve"> HYPERLINK \l "_Toc13800" </w:instrText>
      </w:r>
      <w:r>
        <w:fldChar w:fldCharType="separate"/>
      </w:r>
      <w:r>
        <w:rPr>
          <w:rFonts w:hint="eastAsia" w:cs="宋体"/>
          <w:sz w:val="32"/>
          <w:szCs w:val="32"/>
        </w:rPr>
        <w:t>第二章 投标人须知</w:t>
      </w:r>
      <w:r>
        <w:rPr>
          <w:rFonts w:hint="eastAsia" w:cs="宋体"/>
          <w:sz w:val="32"/>
          <w:szCs w:val="32"/>
        </w:rPr>
        <w:tab/>
      </w:r>
      <w:r>
        <w:rPr>
          <w:rFonts w:hint="eastAsia" w:cs="宋体"/>
          <w:sz w:val="32"/>
          <w:szCs w:val="32"/>
        </w:rPr>
        <w:fldChar w:fldCharType="end"/>
      </w:r>
      <w:r>
        <w:rPr>
          <w:rFonts w:hint="eastAsia" w:cs="宋体"/>
          <w:sz w:val="32"/>
          <w:szCs w:val="32"/>
        </w:rPr>
        <w:t>6</w:t>
      </w:r>
    </w:p>
    <w:p w14:paraId="7A53AC4E">
      <w:pPr>
        <w:pStyle w:val="15"/>
        <w:tabs>
          <w:tab w:val="right" w:leader="dot" w:pos="8306"/>
        </w:tabs>
        <w:spacing w:line="480" w:lineRule="auto"/>
        <w:jc w:val="center"/>
        <w:rPr>
          <w:rFonts w:hint="eastAsia" w:eastAsia="宋体" w:cs="宋体"/>
          <w:sz w:val="32"/>
          <w:szCs w:val="32"/>
          <w:lang w:val="en-US" w:eastAsia="zh-CN"/>
        </w:rPr>
      </w:pPr>
      <w:r>
        <w:fldChar w:fldCharType="begin"/>
      </w:r>
      <w:r>
        <w:instrText xml:space="preserve"> HYPERLINK \l "_Toc15469" </w:instrText>
      </w:r>
      <w:r>
        <w:fldChar w:fldCharType="separate"/>
      </w:r>
      <w:r>
        <w:rPr>
          <w:rFonts w:hint="eastAsia" w:cs="宋体"/>
          <w:sz w:val="32"/>
          <w:szCs w:val="32"/>
        </w:rPr>
        <w:t>第三章 评标办法</w:t>
      </w:r>
      <w:r>
        <w:rPr>
          <w:rFonts w:hint="eastAsia" w:cs="宋体"/>
          <w:sz w:val="32"/>
          <w:szCs w:val="32"/>
        </w:rPr>
        <w:tab/>
      </w:r>
      <w:r>
        <w:rPr>
          <w:rFonts w:hint="eastAsia" w:cs="宋体"/>
          <w:sz w:val="32"/>
          <w:szCs w:val="32"/>
        </w:rPr>
        <w:fldChar w:fldCharType="begin"/>
      </w:r>
      <w:r>
        <w:rPr>
          <w:rFonts w:hint="eastAsia" w:cs="宋体"/>
          <w:sz w:val="32"/>
          <w:szCs w:val="32"/>
        </w:rPr>
        <w:instrText xml:space="preserve"> PAGEREF _Toc15469 \h </w:instrText>
      </w:r>
      <w:r>
        <w:rPr>
          <w:rFonts w:hint="eastAsia" w:cs="宋体"/>
          <w:sz w:val="32"/>
          <w:szCs w:val="32"/>
        </w:rPr>
        <w:fldChar w:fldCharType="separate"/>
      </w:r>
      <w:r>
        <w:rPr>
          <w:rFonts w:hint="eastAsia" w:cs="宋体"/>
          <w:sz w:val="32"/>
          <w:szCs w:val="32"/>
        </w:rPr>
        <w:t>2</w:t>
      </w:r>
      <w:r>
        <w:rPr>
          <w:rFonts w:hint="eastAsia" w:cs="宋体"/>
          <w:sz w:val="32"/>
          <w:szCs w:val="32"/>
        </w:rPr>
        <w:fldChar w:fldCharType="end"/>
      </w:r>
      <w:r>
        <w:rPr>
          <w:rFonts w:hint="eastAsia" w:cs="宋体"/>
          <w:sz w:val="32"/>
          <w:szCs w:val="32"/>
        </w:rPr>
        <w:fldChar w:fldCharType="end"/>
      </w:r>
      <w:r>
        <w:rPr>
          <w:rFonts w:hint="eastAsia" w:cs="宋体"/>
          <w:sz w:val="32"/>
          <w:szCs w:val="32"/>
          <w:lang w:val="en-US" w:eastAsia="zh-CN"/>
        </w:rPr>
        <w:t>2</w:t>
      </w:r>
    </w:p>
    <w:p w14:paraId="1AC1FE41">
      <w:pPr>
        <w:pStyle w:val="15"/>
        <w:tabs>
          <w:tab w:val="right" w:leader="dot" w:pos="8306"/>
        </w:tabs>
        <w:spacing w:line="480" w:lineRule="auto"/>
        <w:jc w:val="center"/>
        <w:rPr>
          <w:rFonts w:hint="eastAsia" w:eastAsia="宋体" w:cs="宋体"/>
          <w:sz w:val="32"/>
          <w:szCs w:val="32"/>
          <w:lang w:val="en-US" w:eastAsia="zh-CN"/>
        </w:rPr>
      </w:pPr>
      <w:r>
        <w:fldChar w:fldCharType="begin"/>
      </w:r>
      <w:r>
        <w:instrText xml:space="preserve"> HYPERLINK \l "_Toc30340" </w:instrText>
      </w:r>
      <w:r>
        <w:fldChar w:fldCharType="separate"/>
      </w:r>
      <w:r>
        <w:rPr>
          <w:rFonts w:hint="eastAsia" w:cs="宋体"/>
          <w:sz w:val="32"/>
          <w:szCs w:val="32"/>
        </w:rPr>
        <w:t>第四章 合同条款及格式</w:t>
      </w:r>
      <w:r>
        <w:rPr>
          <w:rFonts w:hint="eastAsia" w:cs="宋体"/>
          <w:sz w:val="32"/>
          <w:szCs w:val="32"/>
        </w:rPr>
        <w:tab/>
      </w:r>
      <w:r>
        <w:rPr>
          <w:rFonts w:hint="eastAsia" w:cs="宋体"/>
          <w:sz w:val="32"/>
          <w:szCs w:val="32"/>
        </w:rPr>
        <w:fldChar w:fldCharType="begin"/>
      </w:r>
      <w:r>
        <w:rPr>
          <w:rFonts w:hint="eastAsia" w:cs="宋体"/>
          <w:sz w:val="32"/>
          <w:szCs w:val="32"/>
        </w:rPr>
        <w:instrText xml:space="preserve"> PAGEREF _Toc30340 \h </w:instrText>
      </w:r>
      <w:r>
        <w:rPr>
          <w:rFonts w:hint="eastAsia" w:cs="宋体"/>
          <w:sz w:val="32"/>
          <w:szCs w:val="32"/>
        </w:rPr>
        <w:fldChar w:fldCharType="separate"/>
      </w:r>
      <w:r>
        <w:rPr>
          <w:rFonts w:hint="eastAsia" w:cs="宋体"/>
          <w:sz w:val="32"/>
          <w:szCs w:val="32"/>
        </w:rPr>
        <w:t>2</w:t>
      </w:r>
      <w:r>
        <w:rPr>
          <w:rFonts w:hint="eastAsia" w:cs="宋体"/>
          <w:sz w:val="32"/>
          <w:szCs w:val="32"/>
        </w:rPr>
        <w:fldChar w:fldCharType="end"/>
      </w:r>
      <w:r>
        <w:rPr>
          <w:rFonts w:hint="eastAsia" w:cs="宋体"/>
          <w:sz w:val="32"/>
          <w:szCs w:val="32"/>
        </w:rPr>
        <w:fldChar w:fldCharType="end"/>
      </w:r>
      <w:r>
        <w:rPr>
          <w:rFonts w:hint="eastAsia" w:cs="宋体"/>
          <w:sz w:val="32"/>
          <w:szCs w:val="32"/>
          <w:lang w:val="en-US" w:eastAsia="zh-CN"/>
        </w:rPr>
        <w:t>6</w:t>
      </w:r>
    </w:p>
    <w:p w14:paraId="415AB6B3">
      <w:pPr>
        <w:pStyle w:val="15"/>
        <w:tabs>
          <w:tab w:val="right" w:leader="dot" w:pos="8306"/>
        </w:tabs>
        <w:spacing w:line="480" w:lineRule="auto"/>
        <w:jc w:val="center"/>
        <w:rPr>
          <w:rFonts w:hint="eastAsia" w:eastAsia="宋体" w:cs="宋体"/>
          <w:sz w:val="32"/>
          <w:szCs w:val="32"/>
          <w:lang w:val="en-US" w:eastAsia="zh-CN"/>
        </w:rPr>
      </w:pPr>
      <w:r>
        <w:fldChar w:fldCharType="begin"/>
      </w:r>
      <w:r>
        <w:instrText xml:space="preserve"> HYPERLINK \l "_Toc27841" </w:instrText>
      </w:r>
      <w:r>
        <w:fldChar w:fldCharType="separate"/>
      </w:r>
      <w:r>
        <w:rPr>
          <w:rFonts w:hint="eastAsia" w:cs="宋体"/>
          <w:sz w:val="32"/>
          <w:szCs w:val="32"/>
        </w:rPr>
        <w:t>第五章 工程量清单</w:t>
      </w:r>
      <w:r>
        <w:rPr>
          <w:rFonts w:hint="eastAsia" w:cs="宋体"/>
          <w:sz w:val="32"/>
          <w:szCs w:val="32"/>
        </w:rPr>
        <w:tab/>
      </w:r>
      <w:r>
        <w:rPr>
          <w:rFonts w:hint="eastAsia" w:cs="宋体"/>
          <w:sz w:val="32"/>
          <w:szCs w:val="32"/>
        </w:rPr>
        <w:fldChar w:fldCharType="end"/>
      </w:r>
      <w:r>
        <w:rPr>
          <w:rFonts w:hint="eastAsia" w:cs="宋体"/>
          <w:sz w:val="32"/>
          <w:szCs w:val="32"/>
        </w:rPr>
        <w:t>4</w:t>
      </w:r>
      <w:r>
        <w:rPr>
          <w:rFonts w:hint="eastAsia" w:cs="宋体"/>
          <w:sz w:val="32"/>
          <w:szCs w:val="32"/>
          <w:lang w:val="en-US" w:eastAsia="zh-CN"/>
        </w:rPr>
        <w:t>2</w:t>
      </w:r>
    </w:p>
    <w:p w14:paraId="1470A419">
      <w:pPr>
        <w:pStyle w:val="15"/>
        <w:tabs>
          <w:tab w:val="right" w:leader="dot" w:pos="8306"/>
        </w:tabs>
        <w:spacing w:line="480" w:lineRule="auto"/>
        <w:jc w:val="center"/>
        <w:rPr>
          <w:rFonts w:hint="eastAsia" w:eastAsia="宋体" w:cs="宋体"/>
          <w:sz w:val="32"/>
          <w:szCs w:val="32"/>
          <w:lang w:val="en-US" w:eastAsia="zh-CN"/>
        </w:rPr>
      </w:pPr>
      <w:r>
        <w:fldChar w:fldCharType="begin"/>
      </w:r>
      <w:r>
        <w:instrText xml:space="preserve"> HYPERLINK \l "_Toc13363" </w:instrText>
      </w:r>
      <w:r>
        <w:fldChar w:fldCharType="separate"/>
      </w:r>
      <w:r>
        <w:rPr>
          <w:rFonts w:hint="eastAsia" w:cs="宋体"/>
          <w:sz w:val="32"/>
          <w:szCs w:val="32"/>
        </w:rPr>
        <w:t>第六章 图纸</w:t>
      </w:r>
      <w:r>
        <w:rPr>
          <w:rFonts w:hint="eastAsia" w:cs="宋体"/>
          <w:sz w:val="32"/>
          <w:szCs w:val="32"/>
        </w:rPr>
        <w:tab/>
      </w:r>
      <w:r>
        <w:rPr>
          <w:rFonts w:hint="eastAsia" w:cs="宋体"/>
          <w:sz w:val="32"/>
          <w:szCs w:val="32"/>
        </w:rPr>
        <w:fldChar w:fldCharType="end"/>
      </w:r>
      <w:r>
        <w:rPr>
          <w:rFonts w:hint="eastAsia" w:cs="宋体"/>
          <w:sz w:val="32"/>
          <w:szCs w:val="32"/>
        </w:rPr>
        <w:t>4</w:t>
      </w:r>
      <w:r>
        <w:rPr>
          <w:rFonts w:hint="eastAsia" w:cs="宋体"/>
          <w:sz w:val="32"/>
          <w:szCs w:val="32"/>
          <w:lang w:val="en-US" w:eastAsia="zh-CN"/>
        </w:rPr>
        <w:t>5</w:t>
      </w:r>
    </w:p>
    <w:p w14:paraId="6B726FD7">
      <w:pPr>
        <w:pStyle w:val="15"/>
        <w:tabs>
          <w:tab w:val="right" w:leader="dot" w:pos="8306"/>
        </w:tabs>
        <w:spacing w:line="480" w:lineRule="auto"/>
        <w:jc w:val="center"/>
        <w:rPr>
          <w:rFonts w:hint="eastAsia" w:eastAsia="宋体" w:cs="宋体"/>
          <w:sz w:val="32"/>
          <w:szCs w:val="32"/>
          <w:lang w:val="en-US" w:eastAsia="zh-CN"/>
        </w:rPr>
      </w:pPr>
      <w:r>
        <w:fldChar w:fldCharType="begin"/>
      </w:r>
      <w:r>
        <w:instrText xml:space="preserve"> HYPERLINK \l "_Toc22608" </w:instrText>
      </w:r>
      <w:r>
        <w:fldChar w:fldCharType="separate"/>
      </w:r>
      <w:r>
        <w:rPr>
          <w:rFonts w:hint="eastAsia" w:cs="宋体"/>
          <w:sz w:val="32"/>
          <w:szCs w:val="32"/>
        </w:rPr>
        <w:t>第七章 技术标准和要求</w:t>
      </w:r>
      <w:r>
        <w:rPr>
          <w:rFonts w:hint="eastAsia" w:cs="宋体"/>
          <w:sz w:val="32"/>
          <w:szCs w:val="32"/>
        </w:rPr>
        <w:tab/>
      </w:r>
      <w:r>
        <w:rPr>
          <w:rFonts w:hint="eastAsia" w:cs="宋体"/>
          <w:sz w:val="32"/>
          <w:szCs w:val="32"/>
        </w:rPr>
        <w:fldChar w:fldCharType="end"/>
      </w:r>
      <w:r>
        <w:rPr>
          <w:rFonts w:hint="eastAsia" w:cs="宋体"/>
          <w:sz w:val="32"/>
          <w:szCs w:val="32"/>
        </w:rPr>
        <w:t>4</w:t>
      </w:r>
      <w:r>
        <w:rPr>
          <w:rFonts w:hint="eastAsia" w:cs="宋体"/>
          <w:sz w:val="32"/>
          <w:szCs w:val="32"/>
          <w:lang w:val="en-US" w:eastAsia="zh-CN"/>
        </w:rPr>
        <w:t>6</w:t>
      </w:r>
    </w:p>
    <w:p w14:paraId="1ED0A58C">
      <w:pPr>
        <w:pStyle w:val="15"/>
        <w:tabs>
          <w:tab w:val="right" w:leader="dot" w:pos="8306"/>
        </w:tabs>
        <w:spacing w:line="480" w:lineRule="auto"/>
        <w:jc w:val="center"/>
        <w:rPr>
          <w:rFonts w:hint="eastAsia" w:eastAsia="宋体" w:cs="宋体"/>
          <w:sz w:val="32"/>
          <w:szCs w:val="32"/>
          <w:lang w:val="en-US" w:eastAsia="zh-CN"/>
        </w:rPr>
      </w:pPr>
      <w:r>
        <w:fldChar w:fldCharType="begin"/>
      </w:r>
      <w:r>
        <w:instrText xml:space="preserve"> HYPERLINK \l "_Toc20941" </w:instrText>
      </w:r>
      <w:r>
        <w:fldChar w:fldCharType="separate"/>
      </w:r>
      <w:r>
        <w:rPr>
          <w:rFonts w:hint="eastAsia" w:cs="宋体"/>
          <w:sz w:val="32"/>
          <w:szCs w:val="32"/>
        </w:rPr>
        <w:t>第八章 投标文件格式</w:t>
      </w:r>
      <w:r>
        <w:rPr>
          <w:rFonts w:hint="eastAsia" w:cs="宋体"/>
          <w:sz w:val="32"/>
          <w:szCs w:val="32"/>
        </w:rPr>
        <w:tab/>
      </w:r>
      <w:r>
        <w:rPr>
          <w:rFonts w:hint="eastAsia" w:cs="宋体"/>
          <w:sz w:val="32"/>
          <w:szCs w:val="32"/>
        </w:rPr>
        <w:fldChar w:fldCharType="end"/>
      </w:r>
      <w:r>
        <w:rPr>
          <w:rFonts w:hint="eastAsia" w:cs="宋体"/>
          <w:sz w:val="32"/>
          <w:szCs w:val="32"/>
        </w:rPr>
        <w:t>4</w:t>
      </w:r>
      <w:r>
        <w:rPr>
          <w:rFonts w:hint="eastAsia" w:cs="宋体"/>
          <w:sz w:val="32"/>
          <w:szCs w:val="32"/>
          <w:lang w:val="en-US" w:eastAsia="zh-CN"/>
        </w:rPr>
        <w:t>7</w:t>
      </w:r>
    </w:p>
    <w:p w14:paraId="1301936A">
      <w:pPr>
        <w:spacing w:line="480" w:lineRule="auto"/>
        <w:ind w:left="1056" w:leftChars="503" w:right="619" w:rightChars="295" w:firstLine="419" w:firstLineChars="131"/>
        <w:jc w:val="center"/>
        <w:rPr>
          <w:rFonts w:cs="宋体"/>
          <w:sz w:val="32"/>
          <w:szCs w:val="32"/>
        </w:rPr>
      </w:pPr>
      <w:r>
        <w:rPr>
          <w:rFonts w:hint="eastAsia" w:cs="宋体"/>
          <w:sz w:val="32"/>
          <w:szCs w:val="32"/>
        </w:rPr>
        <w:fldChar w:fldCharType="end"/>
      </w:r>
      <w:bookmarkStart w:id="1" w:name="_Toc144974479"/>
      <w:bookmarkStart w:id="2" w:name="_Toc152042287"/>
      <w:bookmarkStart w:id="3" w:name="_Toc152045511"/>
      <w:r>
        <w:rPr>
          <w:rFonts w:hint="eastAsia" w:cs="宋体"/>
          <w:sz w:val="32"/>
          <w:szCs w:val="32"/>
        </w:rPr>
        <w:t xml:space="preserve">  </w:t>
      </w:r>
    </w:p>
    <w:p w14:paraId="595D95A1">
      <w:pPr>
        <w:spacing w:line="480" w:lineRule="auto"/>
        <w:ind w:left="1056" w:leftChars="503" w:right="619" w:rightChars="295" w:firstLine="419" w:firstLineChars="131"/>
        <w:jc w:val="center"/>
        <w:rPr>
          <w:rFonts w:cs="宋体"/>
          <w:sz w:val="32"/>
          <w:szCs w:val="32"/>
        </w:rPr>
      </w:pPr>
    </w:p>
    <w:p w14:paraId="338784E7">
      <w:pPr>
        <w:spacing w:line="480" w:lineRule="auto"/>
        <w:ind w:left="1056" w:leftChars="503" w:right="619" w:rightChars="295" w:firstLine="552" w:firstLineChars="230"/>
        <w:jc w:val="left"/>
        <w:rPr>
          <w:rFonts w:cs="宋体"/>
          <w:sz w:val="24"/>
        </w:rPr>
      </w:pPr>
      <w:r>
        <w:rPr>
          <w:rFonts w:hint="eastAsia" w:cs="宋体"/>
          <w:sz w:val="24"/>
        </w:rPr>
        <w:t>注：招标文件中部分加“★”的条款，为招标的实质性要求和条件，着重提醒各投标人注意，并认真查看招标文件中的每一个条款及要求，因误读招标文件而造成的后果，招标人概不负责。</w:t>
      </w:r>
    </w:p>
    <w:p w14:paraId="0297EBFD">
      <w:pPr>
        <w:pStyle w:val="4"/>
        <w:numPr>
          <w:ilvl w:val="0"/>
          <w:numId w:val="1"/>
        </w:numPr>
        <w:spacing w:before="0" w:after="0" w:line="360" w:lineRule="auto"/>
        <w:jc w:val="center"/>
        <w:rPr>
          <w:rFonts w:cs="宋体"/>
        </w:rPr>
      </w:pPr>
      <w:bookmarkStart w:id="4" w:name="_Toc179632527"/>
      <w:r>
        <w:rPr>
          <w:rFonts w:hint="eastAsia" w:cs="宋体"/>
        </w:rPr>
        <w:br w:type="page"/>
      </w:r>
      <w:bookmarkStart w:id="5" w:name="_Toc17299"/>
      <w:r>
        <w:rPr>
          <w:rFonts w:hint="eastAsia" w:cs="宋体"/>
        </w:rPr>
        <w:t>招标公告</w:t>
      </w:r>
      <w:bookmarkEnd w:id="1"/>
      <w:bookmarkEnd w:id="2"/>
      <w:bookmarkEnd w:id="3"/>
      <w:bookmarkEnd w:id="4"/>
      <w:bookmarkEnd w:id="5"/>
    </w:p>
    <w:p w14:paraId="4F57F106">
      <w:pPr>
        <w:wordWrap w:val="0"/>
        <w:topLinePunct/>
        <w:autoSpaceDN w:val="0"/>
        <w:spacing w:line="400" w:lineRule="exact"/>
        <w:jc w:val="left"/>
        <w:textAlignment w:val="auto"/>
        <w:outlineLvl w:val="1"/>
        <w:rPr>
          <w:rFonts w:cs="宋体"/>
          <w:b/>
          <w:kern w:val="0"/>
          <w:szCs w:val="21"/>
        </w:rPr>
      </w:pPr>
      <w:bookmarkStart w:id="6" w:name="_Toc144974480"/>
      <w:bookmarkStart w:id="7" w:name="_Toc152042288"/>
      <w:bookmarkStart w:id="8" w:name="_Toc152045512"/>
      <w:bookmarkStart w:id="9" w:name="_Toc179632528"/>
      <w:r>
        <w:rPr>
          <w:rFonts w:hint="eastAsia" w:cs="宋体"/>
          <w:b/>
          <w:kern w:val="0"/>
          <w:szCs w:val="21"/>
        </w:rPr>
        <w:t>1.招标条件</w:t>
      </w:r>
      <w:bookmarkEnd w:id="6"/>
      <w:bookmarkEnd w:id="7"/>
      <w:bookmarkEnd w:id="8"/>
      <w:bookmarkEnd w:id="9"/>
    </w:p>
    <w:p w14:paraId="7906CFCF">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浙江新业项目管理有限公司受温州港口服务有限公司的委托，拟对</w:t>
      </w:r>
      <w:r>
        <w:rPr>
          <w:rFonts w:hint="eastAsia" w:cs="宋体"/>
          <w:kern w:val="0"/>
          <w:szCs w:val="21"/>
          <w:lang w:eastAsia="zh-CN"/>
        </w:rPr>
        <w:t>温州港口服务有限公司海港大厦1幢1501室（北）办公用房装修项目</w:t>
      </w:r>
      <w:r>
        <w:rPr>
          <w:rFonts w:hint="eastAsia" w:cs="宋体"/>
          <w:kern w:val="0"/>
          <w:szCs w:val="21"/>
        </w:rPr>
        <w:t>进行公开招标，现将相关招标信息进行预公示（公示期：202</w:t>
      </w:r>
      <w:r>
        <w:rPr>
          <w:rFonts w:hint="eastAsia" w:cs="宋体"/>
          <w:kern w:val="0"/>
          <w:szCs w:val="21"/>
          <w:lang w:val="en-US" w:eastAsia="zh-CN"/>
        </w:rPr>
        <w:t>6</w:t>
      </w:r>
      <w:r>
        <w:rPr>
          <w:rFonts w:hint="eastAsia" w:cs="宋体"/>
          <w:kern w:val="0"/>
          <w:szCs w:val="21"/>
        </w:rPr>
        <w:t>年</w:t>
      </w:r>
      <w:r>
        <w:rPr>
          <w:rFonts w:hint="eastAsia" w:cs="宋体"/>
          <w:kern w:val="0"/>
          <w:szCs w:val="21"/>
          <w:lang w:val="en-US" w:eastAsia="zh-CN"/>
        </w:rPr>
        <w:t>03</w:t>
      </w:r>
      <w:r>
        <w:rPr>
          <w:rFonts w:hint="eastAsia" w:cs="宋体"/>
          <w:kern w:val="0"/>
          <w:szCs w:val="21"/>
        </w:rPr>
        <w:t>月</w:t>
      </w:r>
      <w:r>
        <w:rPr>
          <w:rFonts w:hint="eastAsia" w:cs="宋体"/>
          <w:kern w:val="0"/>
          <w:szCs w:val="21"/>
          <w:lang w:val="en-US" w:eastAsia="zh-CN"/>
        </w:rPr>
        <w:t>23</w:t>
      </w:r>
      <w:r>
        <w:rPr>
          <w:rFonts w:hint="eastAsia" w:cs="宋体"/>
          <w:kern w:val="0"/>
          <w:szCs w:val="21"/>
        </w:rPr>
        <w:t>日-202</w:t>
      </w:r>
      <w:r>
        <w:rPr>
          <w:rFonts w:hint="eastAsia" w:cs="宋体"/>
          <w:kern w:val="0"/>
          <w:szCs w:val="21"/>
          <w:lang w:val="en-US" w:eastAsia="zh-CN"/>
        </w:rPr>
        <w:t>6</w:t>
      </w:r>
      <w:r>
        <w:rPr>
          <w:rFonts w:hint="eastAsia" w:cs="宋体"/>
          <w:kern w:val="0"/>
          <w:szCs w:val="21"/>
        </w:rPr>
        <w:t>年</w:t>
      </w:r>
      <w:r>
        <w:rPr>
          <w:rFonts w:hint="eastAsia" w:cs="宋体"/>
          <w:kern w:val="0"/>
          <w:szCs w:val="21"/>
          <w:lang w:val="en-US" w:eastAsia="zh-CN"/>
        </w:rPr>
        <w:t>03</w:t>
      </w:r>
      <w:r>
        <w:rPr>
          <w:rFonts w:hint="eastAsia" w:cs="宋体"/>
          <w:kern w:val="0"/>
          <w:szCs w:val="21"/>
        </w:rPr>
        <w:t>月</w:t>
      </w:r>
      <w:r>
        <w:rPr>
          <w:rFonts w:hint="eastAsia" w:cs="宋体"/>
          <w:kern w:val="0"/>
          <w:szCs w:val="21"/>
          <w:lang w:val="en-US" w:eastAsia="zh-CN"/>
        </w:rPr>
        <w:t>25</w:t>
      </w:r>
      <w:r>
        <w:rPr>
          <w:rFonts w:hint="eastAsia" w:cs="宋体"/>
          <w:kern w:val="0"/>
          <w:szCs w:val="21"/>
        </w:rPr>
        <w:t>日）。</w:t>
      </w:r>
    </w:p>
    <w:p w14:paraId="007EA9AB">
      <w:pPr>
        <w:wordWrap w:val="0"/>
        <w:topLinePunct/>
        <w:autoSpaceDN w:val="0"/>
        <w:spacing w:line="400" w:lineRule="exact"/>
        <w:jc w:val="left"/>
        <w:textAlignment w:val="auto"/>
        <w:outlineLvl w:val="1"/>
        <w:rPr>
          <w:rFonts w:cs="宋体"/>
          <w:b/>
          <w:kern w:val="0"/>
          <w:szCs w:val="21"/>
        </w:rPr>
      </w:pPr>
      <w:bookmarkStart w:id="10" w:name="_Toc144974481"/>
      <w:bookmarkStart w:id="11" w:name="_Toc179632529"/>
      <w:bookmarkStart w:id="12" w:name="_Toc152042289"/>
      <w:bookmarkStart w:id="13" w:name="_Toc152045513"/>
      <w:r>
        <w:rPr>
          <w:rFonts w:hint="eastAsia" w:cs="宋体"/>
          <w:b/>
          <w:kern w:val="0"/>
          <w:szCs w:val="21"/>
        </w:rPr>
        <w:t>2.项目名称、项目编号、项目概况、工期要求、质量要求及最高投标限价</w:t>
      </w:r>
      <w:bookmarkEnd w:id="10"/>
      <w:bookmarkEnd w:id="11"/>
      <w:bookmarkEnd w:id="12"/>
      <w:bookmarkEnd w:id="13"/>
    </w:p>
    <w:p w14:paraId="70E9278A">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hint="eastAsia" w:cs="宋体"/>
          <w:kern w:val="0"/>
          <w:szCs w:val="21"/>
        </w:rPr>
      </w:pPr>
      <w:r>
        <w:rPr>
          <w:rFonts w:hint="eastAsia" w:cs="宋体"/>
          <w:kern w:val="0"/>
          <w:szCs w:val="21"/>
        </w:rPr>
        <w:t>2.1 项目名称：</w:t>
      </w:r>
      <w:r>
        <w:rPr>
          <w:rFonts w:hint="eastAsia" w:cs="宋体"/>
          <w:b w:val="0"/>
          <w:bCs/>
          <w:kern w:val="0"/>
          <w:szCs w:val="21"/>
        </w:rPr>
        <w:t>温州港口服务有限公司</w:t>
      </w:r>
      <w:r>
        <w:rPr>
          <w:rFonts w:hint="eastAsia" w:cs="宋体"/>
          <w:kern w:val="0"/>
          <w:szCs w:val="21"/>
        </w:rPr>
        <w:t>海港大厦1幢1501室（北）办公用房装修项目</w:t>
      </w:r>
    </w:p>
    <w:p w14:paraId="7836F907">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strike/>
          <w:kern w:val="0"/>
          <w:szCs w:val="21"/>
        </w:rPr>
      </w:pPr>
      <w:r>
        <w:rPr>
          <w:rFonts w:hint="eastAsia" w:cs="宋体"/>
          <w:kern w:val="0"/>
          <w:szCs w:val="21"/>
        </w:rPr>
        <w:t>2.2 项目编号：GFGCJS2026050</w:t>
      </w:r>
    </w:p>
    <w:p w14:paraId="7F1A3109">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2.3 项目概况：对海港大厦1幢15层北面办公室楼装修改造，装修面积约420平方米，主要包括拆除工程，门窗工程，屋面及防水工程，楼地面装饰工程，</w:t>
      </w:r>
      <w:bookmarkStart w:id="14" w:name="OLE_LINK9"/>
      <w:r>
        <w:rPr>
          <w:rFonts w:hint="eastAsia" w:cs="宋体"/>
          <w:kern w:val="0"/>
          <w:szCs w:val="21"/>
        </w:rPr>
        <w:t>墙、柱面装饰与隔断、幕墙工程</w:t>
      </w:r>
      <w:r>
        <w:rPr>
          <w:rFonts w:hint="eastAsia" w:cs="宋体"/>
          <w:kern w:val="0"/>
          <w:szCs w:val="21"/>
          <w:lang w:eastAsia="zh-CN"/>
        </w:rPr>
        <w:t>，</w:t>
      </w:r>
      <w:r>
        <w:rPr>
          <w:rFonts w:hint="eastAsia" w:cs="宋体"/>
          <w:kern w:val="0"/>
          <w:szCs w:val="21"/>
        </w:rPr>
        <w:t>天棚工程</w:t>
      </w:r>
      <w:bookmarkEnd w:id="14"/>
      <w:r>
        <w:rPr>
          <w:rFonts w:hint="eastAsia" w:cs="宋体"/>
          <w:kern w:val="0"/>
          <w:szCs w:val="21"/>
        </w:rPr>
        <w:t>，油漆、涂料、裱糊工程，其他装饰工程，弱电系统，消防系统，通风系统，空调系统，给排水系统等，具体招</w:t>
      </w:r>
      <w:bookmarkStart w:id="130" w:name="_GoBack"/>
      <w:bookmarkEnd w:id="130"/>
      <w:r>
        <w:rPr>
          <w:rFonts w:hint="eastAsia" w:cs="宋体"/>
          <w:kern w:val="0"/>
          <w:szCs w:val="21"/>
        </w:rPr>
        <w:t>标范围以施工图纸及工程量清单为准。</w:t>
      </w:r>
    </w:p>
    <w:p w14:paraId="7864733C">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2.4 工期要求：50日历天</w:t>
      </w:r>
      <w:r>
        <w:rPr>
          <w:rFonts w:hint="eastAsia"/>
        </w:rPr>
        <w:t>，接</w:t>
      </w:r>
      <w:r>
        <w:rPr>
          <w:rFonts w:hint="eastAsia"/>
          <w:lang w:val="en-US" w:eastAsia="zh-CN"/>
        </w:rPr>
        <w:t>招标人</w:t>
      </w:r>
      <w:r>
        <w:rPr>
          <w:rFonts w:hint="eastAsia"/>
        </w:rPr>
        <w:t>开工令计算工期。</w:t>
      </w:r>
    </w:p>
    <w:p w14:paraId="17A3408F">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2.5 质量要求：合格</w:t>
      </w:r>
    </w:p>
    <w:p w14:paraId="0ADABDBD">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2" w:firstLineChars="200"/>
        <w:textAlignment w:val="auto"/>
        <w:rPr>
          <w:rFonts w:cs="宋体"/>
          <w:b/>
          <w:kern w:val="0"/>
          <w:szCs w:val="21"/>
        </w:rPr>
      </w:pPr>
      <w:r>
        <w:rPr>
          <w:rFonts w:hint="eastAsia" w:cs="宋体"/>
          <w:b/>
          <w:kern w:val="0"/>
          <w:szCs w:val="21"/>
        </w:rPr>
        <w:t>2.6 最高投标限价：</w:t>
      </w:r>
      <w:r>
        <w:rPr>
          <w:rFonts w:hint="eastAsia" w:cs="宋体"/>
          <w:b w:val="0"/>
          <w:bCs w:val="0"/>
          <w:kern w:val="0"/>
          <w:sz w:val="21"/>
          <w:szCs w:val="21"/>
          <w:lang w:eastAsia="zh-CN"/>
        </w:rPr>
        <w:t>434169</w:t>
      </w:r>
      <w:r>
        <w:rPr>
          <w:rFonts w:hint="eastAsia" w:ascii="宋体" w:hAnsi="宋体" w:eastAsia="宋体" w:cs="宋体"/>
          <w:b w:val="0"/>
          <w:bCs w:val="0"/>
          <w:kern w:val="0"/>
          <w:sz w:val="21"/>
          <w:szCs w:val="21"/>
        </w:rPr>
        <w:t>元</w:t>
      </w:r>
      <w:r>
        <w:rPr>
          <w:rFonts w:hint="eastAsia" w:cs="宋体"/>
          <w:b w:val="0"/>
          <w:kern w:val="0"/>
          <w:szCs w:val="21"/>
        </w:rPr>
        <w:t>。</w:t>
      </w:r>
    </w:p>
    <w:p w14:paraId="7E6D8721">
      <w:pPr>
        <w:wordWrap w:val="0"/>
        <w:topLinePunct/>
        <w:autoSpaceDN w:val="0"/>
        <w:spacing w:line="400" w:lineRule="exact"/>
        <w:jc w:val="left"/>
        <w:textAlignment w:val="auto"/>
        <w:outlineLvl w:val="1"/>
        <w:rPr>
          <w:rFonts w:cs="宋体"/>
          <w:b/>
          <w:kern w:val="0"/>
          <w:szCs w:val="21"/>
        </w:rPr>
      </w:pPr>
      <w:bookmarkStart w:id="15" w:name="_Toc152042290"/>
      <w:bookmarkStart w:id="16" w:name="_Toc144974482"/>
      <w:bookmarkStart w:id="17" w:name="_Toc179632530"/>
      <w:bookmarkStart w:id="18" w:name="_Toc152045514"/>
      <w:r>
        <w:rPr>
          <w:rFonts w:hint="eastAsia" w:cs="宋体"/>
          <w:b/>
          <w:kern w:val="0"/>
          <w:szCs w:val="21"/>
        </w:rPr>
        <w:t>3.投标人资格要求</w:t>
      </w:r>
      <w:bookmarkEnd w:id="15"/>
      <w:bookmarkEnd w:id="16"/>
      <w:bookmarkEnd w:id="17"/>
      <w:bookmarkEnd w:id="18"/>
    </w:p>
    <w:p w14:paraId="1313BFE7">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bookmarkStart w:id="19" w:name="OLE_LINK2"/>
      <w:r>
        <w:rPr>
          <w:rFonts w:hint="eastAsia" w:cs="宋体"/>
          <w:kern w:val="0"/>
          <w:szCs w:val="21"/>
        </w:rPr>
        <w:t>3.1 具有独立法人资格和有效的安全生产许可证、营业执照；</w:t>
      </w:r>
    </w:p>
    <w:p w14:paraId="7ABBD719">
      <w:pPr>
        <w:ind w:left="199" w:leftChars="95" w:firstLine="210" w:firstLineChars="100"/>
        <w:rPr>
          <w:rFonts w:cs="宋体"/>
          <w:kern w:val="0"/>
          <w:szCs w:val="21"/>
        </w:rPr>
      </w:pPr>
      <w:r>
        <w:rPr>
          <w:rFonts w:hint="eastAsia" w:cs="宋体"/>
          <w:kern w:val="0"/>
          <w:szCs w:val="21"/>
        </w:rPr>
        <w:t>3.2 具备建筑装修装饰工程专业承包二级及以上资质</w:t>
      </w:r>
      <w:r>
        <w:rPr>
          <w:rFonts w:hint="eastAsia" w:cs="宋体"/>
          <w:b/>
          <w:bCs/>
          <w:spacing w:val="-1"/>
        </w:rPr>
        <w:t>（对应资质应在“浙江省建筑市场监管公共服务系统”上资质动态核查结果处于“合格”状态）</w:t>
      </w:r>
      <w:r>
        <w:rPr>
          <w:rFonts w:hint="eastAsia" w:cs="宋体"/>
          <w:kern w:val="0"/>
          <w:szCs w:val="21"/>
        </w:rPr>
        <w:t>，并在人员、设备、资金等方面具有相应的施工能力；</w:t>
      </w:r>
    </w:p>
    <w:p w14:paraId="1EF2FA84">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hint="eastAsia" w:cs="宋体"/>
          <w:kern w:val="0"/>
          <w:szCs w:val="21"/>
        </w:rPr>
      </w:pPr>
      <w:r>
        <w:rPr>
          <w:rFonts w:hint="eastAsia" w:cs="宋体"/>
          <w:kern w:val="0"/>
          <w:szCs w:val="21"/>
        </w:rPr>
        <w:t>3.3 拟派项目经理须具备房屋建筑工程专业二级及以上注册建造师证书及有效的项目经理安全生产考核合格证书（B类）；并在投标文件中提供由投标人为其缴纳的社保缴纳证明（投标截止日前连续3个月）。</w:t>
      </w:r>
    </w:p>
    <w:bookmarkEnd w:id="19"/>
    <w:p w14:paraId="6776CDE5">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3.4技术负责人须具备建筑工程相关专业工程师及以上专业技术职称；并在投标文件中提供由投标人为其缴纳的社保缴纳证明（投标截止日前连续3个月）。</w:t>
      </w:r>
    </w:p>
    <w:p w14:paraId="2A4D8B98">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3.5安全生产管理机构及专职安全管理人员配备符合国家相关法律法规要求；现场安全员不少于 1 名，具备安全生产考核合格证书（C 类）；并在投标文件中提供由投标人为其缴纳的社保缴纳证明（投标截止日前连续3个月）。</w:t>
      </w:r>
    </w:p>
    <w:p w14:paraId="0640364D">
      <w:pPr>
        <w:pStyle w:val="11"/>
        <w:ind w:firstLineChars="200"/>
        <w:rPr>
          <w:rFonts w:cs="宋体"/>
          <w:szCs w:val="21"/>
        </w:rPr>
      </w:pPr>
      <w:r>
        <w:rPr>
          <w:rFonts w:hint="eastAsia" w:cs="宋体"/>
          <w:szCs w:val="21"/>
        </w:rPr>
        <w:t>3.6本次招标要求投标人及其法定代表人、项目负责人不得有失信记录，投标人未被列入建筑市场主体“黑名单”。招标代理人对其投标人失信信息进行查询【具体以“信用中国”网站（www.creditchina.gov.cn）开标当天的查询为准】，若为失信被执行人的，则否决其投标资格。</w:t>
      </w:r>
    </w:p>
    <w:p w14:paraId="7315ACC3">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szCs w:val="21"/>
        </w:rPr>
      </w:pPr>
      <w:r>
        <w:rPr>
          <w:rFonts w:hint="eastAsia" w:cs="宋体"/>
          <w:szCs w:val="21"/>
        </w:rPr>
        <w:t>3.7未被列入安全生产严重失信主体名单，招标代理对投标人安全生产失信信息进行查询(具体以开标当天通过“应急管理部”网站www.mem.gov.cn和“信用中国”网站www.creditchina.gov.cn查询为准)。若被列入安全生产严重失信主体名单或为失信被执行人的，则否决其投标。</w:t>
      </w:r>
    </w:p>
    <w:p w14:paraId="6F75F5AA">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3.8与招标人存在利害关系可能影响招标公正性的法人、其他组织或者个人，不得参加投标；单位负责人为同一人或者存在控股、管理关系的不同单位，不得参加同一标段投标，否则均按否决投标处理。</w:t>
      </w:r>
    </w:p>
    <w:p w14:paraId="2E8B9459">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3.9本次招标</w:t>
      </w:r>
      <w:r>
        <w:rPr>
          <w:rFonts w:hint="eastAsia" w:cs="宋体"/>
          <w:kern w:val="0"/>
          <w:szCs w:val="21"/>
          <w:u w:val="single"/>
        </w:rPr>
        <w:t>不接受</w:t>
      </w:r>
      <w:r>
        <w:rPr>
          <w:rFonts w:hint="eastAsia" w:cs="宋体"/>
          <w:kern w:val="0"/>
          <w:szCs w:val="21"/>
        </w:rPr>
        <w:t>联合体投标，采用资格后审方式。</w:t>
      </w:r>
    </w:p>
    <w:p w14:paraId="5D6FA4A4">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2" w:firstLineChars="200"/>
        <w:textAlignment w:val="auto"/>
        <w:rPr>
          <w:rFonts w:cs="宋体"/>
          <w:b/>
          <w:kern w:val="0"/>
          <w:szCs w:val="21"/>
        </w:rPr>
      </w:pPr>
      <w:r>
        <w:rPr>
          <w:rFonts w:hint="eastAsia" w:cs="宋体"/>
          <w:b/>
          <w:kern w:val="0"/>
          <w:szCs w:val="21"/>
        </w:rPr>
        <w:t>4.招标文件的获取</w:t>
      </w:r>
    </w:p>
    <w:p w14:paraId="682CD480">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 xml:space="preserve">4.1 本项目采用电子招标投标方式，投标人可访问浙江省海港集团电子招标采购平台，从浙江省海港集团、宁波舟山港集团网站（http://www.zjseaport.com/jtww/）进入阳光工程-电子招标采购平台后进行供应商注册，并下载“浙江海港投标管家”。本项目招标文件和补充（答疑、澄 清）、修改文件均通过“浙江海港投标管家”免费下载。 </w:t>
      </w:r>
    </w:p>
    <w:p w14:paraId="30A6CA98">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hint="eastAsia" w:cs="宋体"/>
          <w:kern w:val="0"/>
          <w:szCs w:val="21"/>
        </w:rPr>
      </w:pPr>
      <w:r>
        <w:rPr>
          <w:rFonts w:hint="eastAsia" w:cs="宋体"/>
          <w:kern w:val="0"/>
          <w:szCs w:val="21"/>
        </w:rPr>
        <w:t xml:space="preserve">4.2 </w:t>
      </w:r>
      <w:r>
        <w:rPr>
          <w:rFonts w:hint="eastAsia" w:cs="宋体"/>
          <w:szCs w:val="21"/>
        </w:rPr>
        <w:t>招标文件下载时间</w:t>
      </w:r>
      <w:r>
        <w:rPr>
          <w:rFonts w:hint="eastAsia" w:cs="宋体"/>
          <w:kern w:val="0"/>
          <w:szCs w:val="21"/>
        </w:rPr>
        <w:t>：</w:t>
      </w:r>
      <w:r>
        <w:rPr>
          <w:rFonts w:hint="eastAsia" w:cs="宋体"/>
          <w:b w:val="0"/>
          <w:bCs w:val="0"/>
          <w:kern w:val="0"/>
          <w:szCs w:val="21"/>
          <w:u w:val="none"/>
        </w:rPr>
        <w:t>2026</w:t>
      </w:r>
      <w:r>
        <w:rPr>
          <w:rFonts w:hint="eastAsia" w:cs="宋体"/>
          <w:b w:val="0"/>
          <w:bCs w:val="0"/>
          <w:kern w:val="0"/>
          <w:szCs w:val="21"/>
        </w:rPr>
        <w:t>年</w:t>
      </w:r>
      <w:r>
        <w:rPr>
          <w:rFonts w:hint="eastAsia" w:cs="宋体"/>
          <w:b w:val="0"/>
          <w:bCs w:val="0"/>
          <w:kern w:val="0"/>
          <w:szCs w:val="21"/>
          <w:u w:val="none"/>
        </w:rPr>
        <w:t xml:space="preserve">  </w:t>
      </w:r>
      <w:r>
        <w:rPr>
          <w:rFonts w:hint="eastAsia" w:cs="宋体"/>
          <w:b w:val="0"/>
          <w:bCs w:val="0"/>
          <w:kern w:val="0"/>
          <w:szCs w:val="21"/>
        </w:rPr>
        <w:t>月</w:t>
      </w:r>
      <w:r>
        <w:rPr>
          <w:rFonts w:hint="eastAsia" w:cs="宋体"/>
          <w:b w:val="0"/>
          <w:bCs w:val="0"/>
          <w:kern w:val="0"/>
          <w:szCs w:val="21"/>
          <w:u w:val="none"/>
        </w:rPr>
        <w:t xml:space="preserve">  </w:t>
      </w:r>
      <w:r>
        <w:rPr>
          <w:rFonts w:hint="eastAsia" w:cs="宋体"/>
          <w:b w:val="0"/>
          <w:bCs w:val="0"/>
          <w:kern w:val="0"/>
          <w:szCs w:val="21"/>
        </w:rPr>
        <w:t>日至</w:t>
      </w:r>
      <w:r>
        <w:rPr>
          <w:rFonts w:hint="eastAsia" w:cs="宋体"/>
          <w:b w:val="0"/>
          <w:bCs w:val="0"/>
          <w:kern w:val="0"/>
          <w:szCs w:val="21"/>
          <w:u w:val="none"/>
        </w:rPr>
        <w:t>2026</w:t>
      </w:r>
      <w:r>
        <w:rPr>
          <w:rFonts w:hint="eastAsia" w:cs="宋体"/>
          <w:b w:val="0"/>
          <w:bCs w:val="0"/>
          <w:kern w:val="0"/>
          <w:szCs w:val="21"/>
        </w:rPr>
        <w:t>年</w:t>
      </w:r>
      <w:r>
        <w:rPr>
          <w:rFonts w:hint="eastAsia" w:cs="宋体"/>
          <w:b w:val="0"/>
          <w:bCs w:val="0"/>
          <w:kern w:val="0"/>
          <w:szCs w:val="21"/>
          <w:u w:val="none"/>
        </w:rPr>
        <w:t xml:space="preserve">  </w:t>
      </w:r>
      <w:r>
        <w:rPr>
          <w:rFonts w:hint="eastAsia" w:cs="宋体"/>
          <w:b w:val="0"/>
          <w:bCs w:val="0"/>
          <w:kern w:val="0"/>
          <w:szCs w:val="21"/>
        </w:rPr>
        <w:t>月</w:t>
      </w:r>
      <w:r>
        <w:rPr>
          <w:rFonts w:hint="eastAsia" w:cs="宋体"/>
          <w:b w:val="0"/>
          <w:bCs w:val="0"/>
          <w:kern w:val="0"/>
          <w:szCs w:val="21"/>
          <w:u w:val="none"/>
        </w:rPr>
        <w:t xml:space="preserve">  </w:t>
      </w:r>
      <w:r>
        <w:rPr>
          <w:rFonts w:hint="eastAsia" w:cs="宋体"/>
          <w:b w:val="0"/>
          <w:bCs w:val="0"/>
          <w:kern w:val="0"/>
          <w:szCs w:val="21"/>
        </w:rPr>
        <w:t>日23时59分</w:t>
      </w:r>
      <w:r>
        <w:rPr>
          <w:rFonts w:hint="eastAsia" w:cs="宋体"/>
          <w:kern w:val="0"/>
          <w:szCs w:val="21"/>
        </w:rPr>
        <w:t>。</w:t>
      </w:r>
    </w:p>
    <w:p w14:paraId="7D556A0E">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4.3 未取得浙江省海港集团电子招标采购平台数字证书的投标人，投标前应先办理浙江省海港集团电子招标采购平台 CA 数字证书，具体办理指南及下载链接请至浙江省海港集团电子招标采购平台进行查看。</w:t>
      </w:r>
    </w:p>
    <w:p w14:paraId="157693B6">
      <w:pPr>
        <w:wordWrap w:val="0"/>
        <w:topLinePunct/>
        <w:autoSpaceDN w:val="0"/>
        <w:spacing w:line="400" w:lineRule="exact"/>
        <w:jc w:val="left"/>
        <w:textAlignment w:val="auto"/>
        <w:outlineLvl w:val="1"/>
        <w:rPr>
          <w:rFonts w:cs="宋体"/>
          <w:b/>
          <w:kern w:val="0"/>
          <w:szCs w:val="21"/>
        </w:rPr>
      </w:pPr>
      <w:bookmarkStart w:id="20" w:name="_Toc152045516"/>
      <w:bookmarkStart w:id="21" w:name="_Toc179632532"/>
      <w:bookmarkStart w:id="22" w:name="_Toc152042292"/>
      <w:bookmarkStart w:id="23" w:name="_Toc144974484"/>
      <w:r>
        <w:rPr>
          <w:rFonts w:hint="eastAsia" w:cs="宋体"/>
          <w:b/>
          <w:kern w:val="0"/>
          <w:szCs w:val="21"/>
        </w:rPr>
        <w:t>5. 投标保证金</w:t>
      </w:r>
    </w:p>
    <w:p w14:paraId="37408B9C">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5.1 金额：人民币</w:t>
      </w:r>
      <w:r>
        <w:rPr>
          <w:rFonts w:hint="eastAsia" w:cs="宋体"/>
          <w:b/>
          <w:bCs/>
          <w:kern w:val="0"/>
          <w:szCs w:val="21"/>
        </w:rPr>
        <w:t>捌仟</w:t>
      </w:r>
      <w:r>
        <w:rPr>
          <w:rFonts w:hint="eastAsia" w:cs="宋体"/>
          <w:b/>
          <w:bCs/>
          <w:szCs w:val="21"/>
        </w:rPr>
        <w:t>元整（小写：￥8000.00）</w:t>
      </w:r>
      <w:r>
        <w:rPr>
          <w:rFonts w:hint="eastAsia" w:cs="宋体"/>
          <w:kern w:val="0"/>
          <w:szCs w:val="21"/>
        </w:rPr>
        <w:t>。</w:t>
      </w:r>
    </w:p>
    <w:p w14:paraId="1709D8F4">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5.2 投标人应于</w:t>
      </w:r>
      <w:r>
        <w:rPr>
          <w:rFonts w:hint="eastAsia" w:cs="宋体"/>
          <w:b/>
          <w:bCs/>
          <w:szCs w:val="21"/>
          <w:u w:val="single"/>
        </w:rPr>
        <w:t>2026</w:t>
      </w:r>
      <w:r>
        <w:rPr>
          <w:rFonts w:hint="eastAsia" w:cs="宋体"/>
          <w:b/>
          <w:bCs/>
          <w:szCs w:val="21"/>
        </w:rPr>
        <w:t>年</w:t>
      </w:r>
      <w:r>
        <w:rPr>
          <w:rFonts w:hint="eastAsia" w:cs="宋体"/>
          <w:b/>
          <w:bCs/>
          <w:szCs w:val="21"/>
          <w:u w:val="single"/>
        </w:rPr>
        <w:t xml:space="preserve">  </w:t>
      </w:r>
      <w:r>
        <w:rPr>
          <w:rFonts w:hint="eastAsia" w:cs="宋体"/>
          <w:b/>
          <w:bCs/>
          <w:szCs w:val="21"/>
        </w:rPr>
        <w:t>月</w:t>
      </w:r>
      <w:r>
        <w:rPr>
          <w:rFonts w:hint="eastAsia" w:cs="宋体"/>
          <w:b/>
          <w:bCs/>
          <w:szCs w:val="21"/>
          <w:u w:val="single"/>
        </w:rPr>
        <w:t xml:space="preserve">  </w:t>
      </w:r>
      <w:r>
        <w:rPr>
          <w:rFonts w:hint="eastAsia" w:cs="宋体"/>
          <w:b/>
          <w:bCs/>
          <w:szCs w:val="21"/>
        </w:rPr>
        <w:t>日12时00分</w:t>
      </w:r>
      <w:r>
        <w:rPr>
          <w:rFonts w:hint="eastAsia" w:cs="宋体"/>
          <w:kern w:val="0"/>
          <w:szCs w:val="21"/>
        </w:rPr>
        <w:t>前通过浙江省海港集团电子招标采购平台汇入指定账户。</w:t>
      </w:r>
    </w:p>
    <w:p w14:paraId="231C7FAA">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2" w:firstLineChars="200"/>
        <w:textAlignment w:val="auto"/>
        <w:rPr>
          <w:rFonts w:cs="宋体"/>
          <w:b/>
          <w:bCs/>
          <w:kern w:val="0"/>
          <w:szCs w:val="21"/>
        </w:rPr>
      </w:pPr>
      <w:r>
        <w:rPr>
          <w:rFonts w:hint="eastAsia" w:cs="宋体"/>
          <w:b/>
          <w:bCs/>
          <w:kern w:val="0"/>
          <w:szCs w:val="21"/>
        </w:rPr>
        <w:t>5.3 投标保证金应通过投标单位银行基本账户汇入，否则视为投标保证金无效。</w:t>
      </w:r>
    </w:p>
    <w:p w14:paraId="6AA95136">
      <w:pPr>
        <w:wordWrap w:val="0"/>
        <w:topLinePunct/>
        <w:autoSpaceDN w:val="0"/>
        <w:spacing w:line="400" w:lineRule="exact"/>
        <w:jc w:val="left"/>
        <w:textAlignment w:val="auto"/>
        <w:outlineLvl w:val="1"/>
        <w:rPr>
          <w:rFonts w:cs="宋体"/>
          <w:b/>
          <w:kern w:val="0"/>
          <w:szCs w:val="21"/>
        </w:rPr>
      </w:pPr>
      <w:r>
        <w:rPr>
          <w:rFonts w:hint="eastAsia" w:cs="宋体"/>
          <w:b/>
          <w:kern w:val="0"/>
          <w:szCs w:val="21"/>
        </w:rPr>
        <w:t>6.投标文件的递交</w:t>
      </w:r>
      <w:bookmarkEnd w:id="20"/>
      <w:bookmarkEnd w:id="21"/>
      <w:bookmarkEnd w:id="22"/>
      <w:bookmarkEnd w:id="23"/>
    </w:p>
    <w:p w14:paraId="634CBF34">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bookmarkStart w:id="24" w:name="_Toc179632533"/>
      <w:bookmarkStart w:id="25" w:name="_Toc157499355"/>
      <w:r>
        <w:rPr>
          <w:rFonts w:hint="eastAsia" w:cs="宋体"/>
          <w:kern w:val="0"/>
          <w:szCs w:val="21"/>
        </w:rPr>
        <w:t>6.1 投标文件递交截止时间：</w:t>
      </w:r>
      <w:r>
        <w:rPr>
          <w:rFonts w:hint="eastAsia" w:cs="宋体"/>
          <w:b/>
          <w:szCs w:val="21"/>
          <w:u w:val="single"/>
        </w:rPr>
        <w:t>2026</w:t>
      </w:r>
      <w:r>
        <w:rPr>
          <w:rFonts w:hint="eastAsia" w:cs="宋体"/>
          <w:b/>
          <w:szCs w:val="21"/>
        </w:rPr>
        <w:t>年</w:t>
      </w:r>
      <w:r>
        <w:rPr>
          <w:rFonts w:hint="eastAsia" w:cs="宋体"/>
          <w:b/>
          <w:szCs w:val="21"/>
          <w:u w:val="single"/>
        </w:rPr>
        <w:t xml:space="preserve">  </w:t>
      </w:r>
      <w:r>
        <w:rPr>
          <w:rFonts w:hint="eastAsia" w:cs="宋体"/>
          <w:b/>
          <w:szCs w:val="21"/>
        </w:rPr>
        <w:t>月</w:t>
      </w:r>
      <w:r>
        <w:rPr>
          <w:rFonts w:hint="eastAsia" w:cs="宋体"/>
          <w:b/>
          <w:szCs w:val="21"/>
          <w:u w:val="single"/>
        </w:rPr>
        <w:t xml:space="preserve">  </w:t>
      </w:r>
      <w:r>
        <w:rPr>
          <w:rFonts w:hint="eastAsia" w:cs="宋体"/>
          <w:b/>
          <w:szCs w:val="21"/>
        </w:rPr>
        <w:t>日9时00分</w:t>
      </w:r>
      <w:r>
        <w:rPr>
          <w:rFonts w:hint="eastAsia" w:cs="宋体"/>
          <w:kern w:val="0"/>
          <w:szCs w:val="21"/>
        </w:rPr>
        <w:t>。</w:t>
      </w:r>
    </w:p>
    <w:p w14:paraId="457AC4A9">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 xml:space="preserve">6.2 投标文件递交方式：线上递交方式（投标管家工具）：投标人在投标文件递交时间截止前，将电子投标文件加密后递交至电子招标采购平台。 </w:t>
      </w:r>
    </w:p>
    <w:p w14:paraId="3EABB36D">
      <w:pPr>
        <w:wordWrap w:val="0"/>
        <w:topLinePunct/>
        <w:autoSpaceDN w:val="0"/>
        <w:spacing w:line="400" w:lineRule="exact"/>
        <w:jc w:val="left"/>
        <w:textAlignment w:val="auto"/>
        <w:outlineLvl w:val="1"/>
        <w:rPr>
          <w:rFonts w:cs="宋体"/>
          <w:b/>
          <w:kern w:val="0"/>
          <w:szCs w:val="21"/>
        </w:rPr>
      </w:pPr>
      <w:r>
        <w:rPr>
          <w:rFonts w:hint="eastAsia" w:cs="宋体"/>
          <w:b/>
          <w:kern w:val="0"/>
          <w:szCs w:val="21"/>
        </w:rPr>
        <w:t>7.</w:t>
      </w:r>
      <w:bookmarkEnd w:id="24"/>
      <w:bookmarkEnd w:id="25"/>
      <w:r>
        <w:rPr>
          <w:rFonts w:hint="eastAsia" w:cs="宋体"/>
          <w:b/>
          <w:kern w:val="0"/>
          <w:szCs w:val="21"/>
        </w:rPr>
        <w:t>开标时间地点及注意事项</w:t>
      </w:r>
    </w:p>
    <w:p w14:paraId="0E7617F1">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szCs w:val="21"/>
          <w:shd w:val="clear" w:color="auto" w:fill="FFFFFF"/>
        </w:rPr>
      </w:pPr>
      <w:r>
        <w:rPr>
          <w:rFonts w:hint="eastAsia" w:cs="宋体"/>
          <w:szCs w:val="21"/>
          <w:shd w:val="clear" w:color="auto" w:fill="FFFFFF"/>
        </w:rPr>
        <w:t>7.1 本次招标将于</w:t>
      </w:r>
      <w:bookmarkStart w:id="26" w:name="gxebd_openBidStartTime_1"/>
      <w:r>
        <w:rPr>
          <w:rFonts w:hint="eastAsia" w:cs="宋体"/>
          <w:szCs w:val="21"/>
          <w:shd w:val="clear" w:color="auto" w:fill="FFFFFF"/>
        </w:rPr>
        <w:t>2026年 月 日09时00分</w:t>
      </w:r>
      <w:bookmarkEnd w:id="26"/>
      <w:r>
        <w:rPr>
          <w:rFonts w:hint="eastAsia" w:cs="宋体"/>
          <w:szCs w:val="21"/>
          <w:shd w:val="clear" w:color="auto" w:fill="FFFFFF"/>
        </w:rPr>
        <w:t>在</w:t>
      </w:r>
      <w:bookmarkStart w:id="27" w:name="gxebd_bidOpenAddr_1"/>
      <w:bookmarkEnd w:id="27"/>
      <w:r>
        <w:rPr>
          <w:rFonts w:hint="eastAsia" w:cs="宋体"/>
          <w:szCs w:val="21"/>
          <w:shd w:val="clear" w:color="auto" w:fill="FFFFFF"/>
        </w:rPr>
        <w:t>温州市鹿城区瓯江路海港大厦1幢2楼招标采购中心开标。</w:t>
      </w:r>
    </w:p>
    <w:p w14:paraId="4FE42A2D">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2" w:firstLineChars="200"/>
        <w:textAlignment w:val="auto"/>
        <w:rPr>
          <w:rFonts w:cs="宋体"/>
          <w:b/>
          <w:bCs/>
          <w:szCs w:val="21"/>
        </w:rPr>
      </w:pPr>
      <w:r>
        <w:rPr>
          <w:rFonts w:hint="eastAsia" w:cs="宋体"/>
          <w:b/>
          <w:bCs/>
          <w:szCs w:val="21"/>
        </w:rPr>
        <w:t>7.2 投标人于投标截止时间之后三十分钟内在“浙江海港投标管家” 工具端—进入项目—开标—远程开标模块，点击“确认开标结果”按钮进行确认，如超时未确认，视作投标人已对开标结果确认无误。</w:t>
      </w:r>
    </w:p>
    <w:p w14:paraId="4E3C5195">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2" w:firstLineChars="200"/>
        <w:textAlignment w:val="auto"/>
        <w:rPr>
          <w:rFonts w:cs="宋体"/>
          <w:b/>
          <w:bCs/>
          <w:szCs w:val="21"/>
        </w:rPr>
      </w:pPr>
      <w:r>
        <w:rPr>
          <w:rFonts w:hint="eastAsia" w:cs="宋体"/>
          <w:b/>
          <w:bCs/>
          <w:szCs w:val="21"/>
        </w:rPr>
        <w:t>7.3 本项目采用电子招标，中标单位须在明确中标后、获取中标通知书前将相应的交易服务费缴入平台指定的集团账户（在“投标管家”工具中查看），具体收费标准详见招标文件或平台公告。</w:t>
      </w:r>
    </w:p>
    <w:p w14:paraId="213D49A5">
      <w:pPr>
        <w:wordWrap w:val="0"/>
        <w:topLinePunct/>
        <w:autoSpaceDN w:val="0"/>
        <w:spacing w:line="400" w:lineRule="exact"/>
        <w:ind w:firstLine="422" w:firstLineChars="200"/>
        <w:jc w:val="left"/>
        <w:textAlignment w:val="auto"/>
        <w:outlineLvl w:val="1"/>
        <w:rPr>
          <w:rFonts w:cs="宋体"/>
          <w:b/>
          <w:kern w:val="0"/>
          <w:szCs w:val="21"/>
        </w:rPr>
      </w:pPr>
      <w:bookmarkStart w:id="28" w:name="_Toc152045517"/>
      <w:bookmarkStart w:id="29" w:name="_Toc152042293"/>
      <w:bookmarkStart w:id="30" w:name="_Toc179632534"/>
      <w:bookmarkStart w:id="31" w:name="_Toc144974485"/>
      <w:r>
        <w:rPr>
          <w:rFonts w:hint="eastAsia" w:cs="宋体"/>
          <w:b/>
          <w:kern w:val="0"/>
          <w:szCs w:val="21"/>
        </w:rPr>
        <w:t>8.发布公告的媒介</w:t>
      </w:r>
    </w:p>
    <w:p w14:paraId="10EB88B6">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本次招标公告在浙江海港电子招标采购平台（http://hgdzzb.nbport.com.cn/）、温州港集团有限公司网站</w:t>
      </w:r>
      <w:r>
        <w:rPr>
          <w:rFonts w:hint="eastAsia" w:cs="宋体"/>
          <w:szCs w:val="21"/>
        </w:rPr>
        <w:t>（https://www.wzport.com/wzport/wzgzz/sy/index.html）</w:t>
      </w:r>
      <w:r>
        <w:rPr>
          <w:rFonts w:hint="eastAsia" w:cs="宋体"/>
          <w:kern w:val="0"/>
          <w:szCs w:val="21"/>
        </w:rPr>
        <w:t>上发布。</w:t>
      </w:r>
    </w:p>
    <w:p w14:paraId="29EE2C90">
      <w:pPr>
        <w:wordWrap w:val="0"/>
        <w:topLinePunct/>
        <w:autoSpaceDN w:val="0"/>
        <w:spacing w:line="400" w:lineRule="exact"/>
        <w:ind w:firstLine="422" w:firstLineChars="200"/>
        <w:jc w:val="left"/>
        <w:textAlignment w:val="auto"/>
        <w:outlineLvl w:val="1"/>
        <w:rPr>
          <w:rFonts w:cs="宋体"/>
          <w:b/>
          <w:kern w:val="0"/>
          <w:szCs w:val="21"/>
        </w:rPr>
      </w:pPr>
      <w:r>
        <w:rPr>
          <w:rFonts w:hint="eastAsia" w:cs="宋体"/>
          <w:b/>
          <w:kern w:val="0"/>
          <w:szCs w:val="21"/>
        </w:rPr>
        <w:t>9.联系方式</w:t>
      </w:r>
      <w:bookmarkEnd w:id="28"/>
      <w:bookmarkEnd w:id="29"/>
      <w:bookmarkEnd w:id="30"/>
      <w:bookmarkEnd w:id="31"/>
    </w:p>
    <w:p w14:paraId="278D9D8B">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hint="default" w:eastAsia="宋体" w:cs="宋体"/>
          <w:kern w:val="0"/>
          <w:szCs w:val="21"/>
          <w:lang w:val="en-US" w:eastAsia="zh-CN"/>
        </w:rPr>
      </w:pPr>
      <w:r>
        <w:rPr>
          <w:rFonts w:hint="eastAsia" w:cs="宋体"/>
          <w:kern w:val="0"/>
          <w:szCs w:val="21"/>
        </w:rPr>
        <w:t>9.1</w:t>
      </w:r>
      <w:r>
        <w:rPr>
          <w:rFonts w:hint="eastAsia" w:cs="宋体"/>
          <w:kern w:val="0"/>
          <w:szCs w:val="21"/>
          <w:lang w:val="en-US" w:eastAsia="zh-CN"/>
        </w:rPr>
        <w:t xml:space="preserve"> 招标人信息</w:t>
      </w:r>
    </w:p>
    <w:p w14:paraId="098729C6">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名  称：温州港口服务有限公司</w:t>
      </w:r>
    </w:p>
    <w:p w14:paraId="2DB362DE">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地  址：温州市鹿城区瓯江路1号海港大厦1幢1411室</w:t>
      </w:r>
    </w:p>
    <w:p w14:paraId="27355656">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联系人：陈女士  </w:t>
      </w:r>
    </w:p>
    <w:p w14:paraId="10CE5348">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联系方式：0577-56669089</w:t>
      </w:r>
    </w:p>
    <w:p w14:paraId="15BDCB74">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9.2 招标代理机构信息</w:t>
      </w:r>
    </w:p>
    <w:p w14:paraId="7693B6F9">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名  称：浙江新业项目管理有限公司 </w:t>
      </w:r>
    </w:p>
    <w:p w14:paraId="0872045D">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地  址：温州市瓯海区壹品国际5#楼804、805室</w:t>
      </w:r>
    </w:p>
    <w:p w14:paraId="0A07F736">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联系人：林观亩、何丽萍 </w:t>
      </w:r>
    </w:p>
    <w:p w14:paraId="525DC467">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联系方式：13758801566/13587615520</w:t>
      </w:r>
    </w:p>
    <w:p w14:paraId="3FA8A07F">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异议信息反馈邮箱：157236413@qq.com</w:t>
      </w:r>
    </w:p>
    <w:p w14:paraId="440A1D87">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9.3 招标监督部门：温州港口服务有限公司党群工作部</w:t>
      </w:r>
    </w:p>
    <w:p w14:paraId="2A69CD26">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投诉受理电话：0577-56669288</w:t>
      </w:r>
    </w:p>
    <w:p w14:paraId="2E715649">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kern w:val="0"/>
          <w:szCs w:val="21"/>
        </w:rPr>
      </w:pPr>
      <w:r>
        <w:rPr>
          <w:rFonts w:hint="eastAsia" w:cs="宋体"/>
          <w:kern w:val="0"/>
          <w:szCs w:val="21"/>
        </w:rPr>
        <w:t>9.4 电子招标采购平台咨询电话：0574-27680520</w:t>
      </w:r>
    </w:p>
    <w:p w14:paraId="5A9A1E1B">
      <w:pPr>
        <w:pStyle w:val="10"/>
        <w:tabs>
          <w:tab w:val="left" w:pos="1343"/>
          <w:tab w:val="left" w:pos="2697"/>
          <w:tab w:val="left" w:pos="3264"/>
          <w:tab w:val="left" w:pos="4896"/>
          <w:tab w:val="left" w:pos="6005"/>
          <w:tab w:val="left" w:pos="7085"/>
          <w:tab w:val="left" w:pos="7498"/>
        </w:tabs>
        <w:wordWrap w:val="0"/>
        <w:topLinePunct/>
        <w:autoSpaceDN w:val="0"/>
        <w:spacing w:after="0" w:line="400" w:lineRule="exact"/>
        <w:ind w:firstLine="420" w:firstLineChars="200"/>
        <w:textAlignment w:val="auto"/>
        <w:rPr>
          <w:rFonts w:cs="宋体"/>
          <w:sz w:val="22"/>
          <w:szCs w:val="21"/>
        </w:rPr>
      </w:pPr>
      <w:r>
        <w:rPr>
          <w:rFonts w:hint="eastAsia" w:cs="宋体"/>
          <w:kern w:val="0"/>
          <w:szCs w:val="21"/>
        </w:rPr>
        <w:t>CA咨询热线：400-666-4230</w:t>
      </w:r>
      <w:r>
        <w:rPr>
          <w:rFonts w:hint="eastAsia" w:cs="宋体"/>
          <w:szCs w:val="21"/>
        </w:rPr>
        <w:br w:type="page"/>
      </w:r>
    </w:p>
    <w:p w14:paraId="101975FC">
      <w:pPr>
        <w:pStyle w:val="4"/>
        <w:numPr>
          <w:ilvl w:val="0"/>
          <w:numId w:val="1"/>
        </w:numPr>
        <w:spacing w:before="0" w:after="0"/>
        <w:jc w:val="center"/>
        <w:rPr>
          <w:rFonts w:cs="宋体"/>
        </w:rPr>
      </w:pPr>
      <w:bookmarkStart w:id="32" w:name="_Toc179632544"/>
      <w:bookmarkStart w:id="33" w:name="_Toc13800"/>
      <w:bookmarkStart w:id="34" w:name="_Toc144974495"/>
      <w:bookmarkStart w:id="35" w:name="_Toc152042303"/>
      <w:bookmarkStart w:id="36" w:name="_Toc152045527"/>
      <w:r>
        <w:rPr>
          <w:rFonts w:hint="eastAsia" w:cs="宋体"/>
        </w:rPr>
        <w:t>投标人须知</w:t>
      </w:r>
      <w:bookmarkEnd w:id="32"/>
      <w:bookmarkEnd w:id="33"/>
      <w:bookmarkEnd w:id="34"/>
      <w:bookmarkEnd w:id="35"/>
      <w:bookmarkEnd w:id="36"/>
    </w:p>
    <w:p w14:paraId="727F264F">
      <w:pPr>
        <w:pStyle w:val="25"/>
        <w:jc w:val="center"/>
        <w:rPr>
          <w:rFonts w:ascii="宋体" w:hAnsi="宋体" w:eastAsia="宋体"/>
        </w:rPr>
      </w:pPr>
      <w:bookmarkStart w:id="37" w:name="_Toc179632545"/>
      <w:bookmarkStart w:id="38" w:name="_Toc152042304"/>
      <w:bookmarkStart w:id="39" w:name="_Toc152045528"/>
      <w:bookmarkStart w:id="40" w:name="_Toc144974496"/>
      <w:r>
        <w:rPr>
          <w:rFonts w:hint="eastAsia" w:ascii="宋体" w:hAnsi="宋体" w:eastAsia="宋体"/>
        </w:rPr>
        <w:t>投标人须知前附表</w:t>
      </w:r>
      <w:bookmarkEnd w:id="37"/>
      <w:bookmarkEnd w:id="38"/>
      <w:bookmarkEnd w:id="39"/>
      <w:bookmarkEnd w:id="40"/>
    </w:p>
    <w:tbl>
      <w:tblPr>
        <w:tblStyle w:val="18"/>
        <w:tblW w:w="9889" w:type="dxa"/>
        <w:jc w:val="center"/>
        <w:tblLayout w:type="fixed"/>
        <w:tblCellMar>
          <w:top w:w="0" w:type="dxa"/>
          <w:left w:w="108" w:type="dxa"/>
          <w:bottom w:w="0" w:type="dxa"/>
          <w:right w:w="108" w:type="dxa"/>
        </w:tblCellMar>
      </w:tblPr>
      <w:tblGrid>
        <w:gridCol w:w="1301"/>
        <w:gridCol w:w="650"/>
        <w:gridCol w:w="1701"/>
        <w:gridCol w:w="6237"/>
      </w:tblGrid>
      <w:tr w14:paraId="69F25977">
        <w:tblPrEx>
          <w:tblCellMar>
            <w:top w:w="0" w:type="dxa"/>
            <w:left w:w="108" w:type="dxa"/>
            <w:bottom w:w="0" w:type="dxa"/>
            <w:right w:w="108" w:type="dxa"/>
          </w:tblCellMar>
        </w:tblPrEx>
        <w:trPr>
          <w:trHeight w:val="600" w:hRule="atLeast"/>
          <w:tblHeader/>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481AB1A2">
            <w:pPr>
              <w:jc w:val="center"/>
              <w:rPr>
                <w:rFonts w:cs="宋体"/>
                <w:sz w:val="24"/>
              </w:rPr>
            </w:pPr>
            <w:r>
              <w:rPr>
                <w:rFonts w:hint="eastAsia" w:cs="宋体"/>
                <w:sz w:val="24"/>
              </w:rPr>
              <w:t>条款号</w:t>
            </w:r>
          </w:p>
        </w:tc>
        <w:tc>
          <w:tcPr>
            <w:tcW w:w="2351" w:type="dxa"/>
            <w:gridSpan w:val="2"/>
            <w:tcBorders>
              <w:top w:val="single" w:color="auto" w:sz="4" w:space="0"/>
              <w:left w:val="nil"/>
              <w:bottom w:val="single" w:color="auto" w:sz="4" w:space="0"/>
              <w:right w:val="single" w:color="auto" w:sz="4" w:space="0"/>
            </w:tcBorders>
            <w:noWrap/>
            <w:vAlign w:val="center"/>
          </w:tcPr>
          <w:p w14:paraId="77D798BD">
            <w:pPr>
              <w:jc w:val="center"/>
              <w:rPr>
                <w:rFonts w:cs="宋体"/>
                <w:sz w:val="24"/>
              </w:rPr>
            </w:pPr>
            <w:r>
              <w:rPr>
                <w:rFonts w:hint="eastAsia" w:cs="宋体"/>
                <w:sz w:val="24"/>
              </w:rPr>
              <w:t>条款名称</w:t>
            </w:r>
          </w:p>
        </w:tc>
        <w:tc>
          <w:tcPr>
            <w:tcW w:w="6237" w:type="dxa"/>
            <w:tcBorders>
              <w:top w:val="single" w:color="auto" w:sz="4" w:space="0"/>
              <w:left w:val="nil"/>
              <w:bottom w:val="single" w:color="auto" w:sz="4" w:space="0"/>
              <w:right w:val="single" w:color="auto" w:sz="4" w:space="0"/>
            </w:tcBorders>
            <w:noWrap/>
            <w:vAlign w:val="center"/>
          </w:tcPr>
          <w:p w14:paraId="06B488C9">
            <w:pPr>
              <w:jc w:val="center"/>
              <w:rPr>
                <w:rFonts w:cs="宋体"/>
                <w:sz w:val="24"/>
              </w:rPr>
            </w:pPr>
            <w:r>
              <w:rPr>
                <w:rFonts w:hint="eastAsia" w:cs="宋体"/>
                <w:sz w:val="24"/>
              </w:rPr>
              <w:t>编列内容</w:t>
            </w:r>
          </w:p>
        </w:tc>
      </w:tr>
      <w:tr w14:paraId="53C371C4">
        <w:tblPrEx>
          <w:tblCellMar>
            <w:top w:w="0" w:type="dxa"/>
            <w:left w:w="108" w:type="dxa"/>
            <w:bottom w:w="0" w:type="dxa"/>
            <w:right w:w="108" w:type="dxa"/>
          </w:tblCellMar>
        </w:tblPrEx>
        <w:trPr>
          <w:trHeight w:val="1706"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5DE7AE08">
            <w:pPr>
              <w:jc w:val="center"/>
              <w:rPr>
                <w:rFonts w:cs="宋体"/>
                <w:szCs w:val="21"/>
              </w:rPr>
            </w:pPr>
            <w:r>
              <w:rPr>
                <w:rFonts w:hint="eastAsia" w:cs="宋体"/>
                <w:szCs w:val="21"/>
              </w:rPr>
              <w:t>1.1.2</w:t>
            </w:r>
          </w:p>
        </w:tc>
        <w:tc>
          <w:tcPr>
            <w:tcW w:w="2351" w:type="dxa"/>
            <w:gridSpan w:val="2"/>
            <w:tcBorders>
              <w:top w:val="single" w:color="auto" w:sz="4" w:space="0"/>
              <w:left w:val="nil"/>
              <w:bottom w:val="single" w:color="auto" w:sz="4" w:space="0"/>
              <w:right w:val="single" w:color="auto" w:sz="4" w:space="0"/>
            </w:tcBorders>
            <w:noWrap/>
            <w:vAlign w:val="center"/>
          </w:tcPr>
          <w:p w14:paraId="663D89CE">
            <w:pPr>
              <w:jc w:val="center"/>
              <w:rPr>
                <w:rFonts w:cs="宋体"/>
                <w:szCs w:val="21"/>
              </w:rPr>
            </w:pPr>
            <w:r>
              <w:rPr>
                <w:rFonts w:hint="eastAsia" w:cs="宋体"/>
                <w:szCs w:val="21"/>
              </w:rPr>
              <w:t>招标人</w:t>
            </w:r>
          </w:p>
        </w:tc>
        <w:tc>
          <w:tcPr>
            <w:tcW w:w="6237" w:type="dxa"/>
            <w:tcBorders>
              <w:top w:val="single" w:color="auto" w:sz="4" w:space="0"/>
              <w:left w:val="nil"/>
              <w:bottom w:val="single" w:color="auto" w:sz="4" w:space="0"/>
              <w:right w:val="single" w:color="auto" w:sz="4" w:space="0"/>
            </w:tcBorders>
            <w:noWrap/>
            <w:vAlign w:val="center"/>
          </w:tcPr>
          <w:p w14:paraId="37BD7A07">
            <w:pPr>
              <w:rPr>
                <w:rFonts w:cs="宋体"/>
                <w:szCs w:val="21"/>
              </w:rPr>
            </w:pPr>
            <w:r>
              <w:rPr>
                <w:rFonts w:hint="eastAsia" w:cs="宋体"/>
                <w:szCs w:val="21"/>
              </w:rPr>
              <w:t>名称：温州港口服务有限公司</w:t>
            </w:r>
          </w:p>
          <w:p w14:paraId="625D4992">
            <w:pPr>
              <w:rPr>
                <w:rFonts w:cs="宋体"/>
                <w:szCs w:val="21"/>
              </w:rPr>
            </w:pPr>
            <w:r>
              <w:rPr>
                <w:rFonts w:hint="eastAsia" w:cs="宋体"/>
                <w:szCs w:val="21"/>
              </w:rPr>
              <w:t>地址：温州市鹿城区瓯江路1号海港大厦1幢1411室</w:t>
            </w:r>
          </w:p>
          <w:p w14:paraId="20B7E103">
            <w:pPr>
              <w:rPr>
                <w:rFonts w:cs="宋体"/>
                <w:szCs w:val="21"/>
              </w:rPr>
            </w:pPr>
            <w:r>
              <w:rPr>
                <w:rFonts w:hint="eastAsia" w:cs="宋体"/>
                <w:szCs w:val="21"/>
              </w:rPr>
              <w:t>联系人：</w:t>
            </w:r>
            <w:r>
              <w:rPr>
                <w:rFonts w:hint="eastAsia" w:cs="宋体"/>
                <w:kern w:val="0"/>
                <w:szCs w:val="21"/>
              </w:rPr>
              <w:t>陈女士</w:t>
            </w:r>
          </w:p>
          <w:p w14:paraId="79B8B595">
            <w:pPr>
              <w:rPr>
                <w:rFonts w:cs="宋体"/>
                <w:szCs w:val="21"/>
              </w:rPr>
            </w:pPr>
            <w:r>
              <w:rPr>
                <w:rFonts w:hint="eastAsia" w:cs="宋体"/>
                <w:szCs w:val="21"/>
              </w:rPr>
              <w:t>联系电话：</w:t>
            </w:r>
            <w:r>
              <w:rPr>
                <w:rFonts w:hint="eastAsia" w:cs="宋体"/>
                <w:kern w:val="0"/>
                <w:szCs w:val="21"/>
              </w:rPr>
              <w:t>0577-56669089</w:t>
            </w:r>
          </w:p>
        </w:tc>
      </w:tr>
      <w:tr w14:paraId="6C9D0CC2">
        <w:tblPrEx>
          <w:tblCellMar>
            <w:top w:w="0" w:type="dxa"/>
            <w:left w:w="108" w:type="dxa"/>
            <w:bottom w:w="0" w:type="dxa"/>
            <w:right w:w="108" w:type="dxa"/>
          </w:tblCellMar>
        </w:tblPrEx>
        <w:trPr>
          <w:trHeight w:val="1534"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599C8845">
            <w:pPr>
              <w:jc w:val="center"/>
              <w:rPr>
                <w:rFonts w:cs="宋体"/>
                <w:szCs w:val="21"/>
              </w:rPr>
            </w:pPr>
            <w:r>
              <w:rPr>
                <w:rFonts w:hint="eastAsia" w:cs="宋体"/>
                <w:szCs w:val="21"/>
              </w:rPr>
              <w:t>1.1.3</w:t>
            </w:r>
          </w:p>
        </w:tc>
        <w:tc>
          <w:tcPr>
            <w:tcW w:w="2351" w:type="dxa"/>
            <w:gridSpan w:val="2"/>
            <w:tcBorders>
              <w:top w:val="single" w:color="auto" w:sz="4" w:space="0"/>
              <w:left w:val="nil"/>
              <w:bottom w:val="single" w:color="auto" w:sz="4" w:space="0"/>
              <w:right w:val="single" w:color="auto" w:sz="4" w:space="0"/>
            </w:tcBorders>
            <w:noWrap/>
            <w:vAlign w:val="center"/>
          </w:tcPr>
          <w:p w14:paraId="36EE53E0">
            <w:pPr>
              <w:jc w:val="center"/>
              <w:rPr>
                <w:rFonts w:cs="宋体"/>
                <w:szCs w:val="21"/>
              </w:rPr>
            </w:pPr>
            <w:r>
              <w:rPr>
                <w:rFonts w:hint="eastAsia" w:cs="宋体"/>
                <w:szCs w:val="21"/>
              </w:rPr>
              <w:t>招标代理机构</w:t>
            </w:r>
          </w:p>
        </w:tc>
        <w:tc>
          <w:tcPr>
            <w:tcW w:w="6237" w:type="dxa"/>
            <w:tcBorders>
              <w:top w:val="single" w:color="auto" w:sz="4" w:space="0"/>
              <w:left w:val="nil"/>
              <w:bottom w:val="single" w:color="auto" w:sz="4" w:space="0"/>
              <w:right w:val="single" w:color="auto" w:sz="4" w:space="0"/>
            </w:tcBorders>
            <w:noWrap/>
            <w:vAlign w:val="center"/>
          </w:tcPr>
          <w:p w14:paraId="03970D75">
            <w:pPr>
              <w:rPr>
                <w:rFonts w:cs="宋体"/>
                <w:szCs w:val="21"/>
              </w:rPr>
            </w:pPr>
            <w:r>
              <w:rPr>
                <w:rFonts w:hint="eastAsia" w:cs="宋体"/>
                <w:szCs w:val="21"/>
              </w:rPr>
              <w:t>名称：浙江新业项目管理有限公司</w:t>
            </w:r>
          </w:p>
          <w:p w14:paraId="27F35492">
            <w:pPr>
              <w:rPr>
                <w:rFonts w:cs="宋体"/>
                <w:szCs w:val="21"/>
              </w:rPr>
            </w:pPr>
            <w:r>
              <w:rPr>
                <w:rFonts w:hint="eastAsia" w:cs="宋体"/>
                <w:szCs w:val="21"/>
              </w:rPr>
              <w:t>地址：温州市瓯海区壹品国际5#楼804、805室</w:t>
            </w:r>
          </w:p>
          <w:p w14:paraId="0483A679">
            <w:pPr>
              <w:rPr>
                <w:rFonts w:cs="宋体"/>
                <w:szCs w:val="21"/>
              </w:rPr>
            </w:pPr>
            <w:r>
              <w:rPr>
                <w:rFonts w:hint="eastAsia" w:cs="宋体"/>
                <w:szCs w:val="21"/>
              </w:rPr>
              <w:t>联系人：林观亩、何丽萍</w:t>
            </w:r>
          </w:p>
          <w:p w14:paraId="789DFDC0">
            <w:pPr>
              <w:rPr>
                <w:rFonts w:cs="宋体"/>
                <w:szCs w:val="21"/>
              </w:rPr>
            </w:pPr>
            <w:r>
              <w:rPr>
                <w:rFonts w:hint="eastAsia" w:cs="宋体"/>
                <w:szCs w:val="21"/>
              </w:rPr>
              <w:t>电话：13758801566/13587615520</w:t>
            </w:r>
          </w:p>
        </w:tc>
      </w:tr>
      <w:tr w14:paraId="22A85CC0">
        <w:tblPrEx>
          <w:tblCellMar>
            <w:top w:w="0" w:type="dxa"/>
            <w:left w:w="108" w:type="dxa"/>
            <w:bottom w:w="0" w:type="dxa"/>
            <w:right w:w="108" w:type="dxa"/>
          </w:tblCellMar>
        </w:tblPrEx>
        <w:trPr>
          <w:trHeight w:val="657"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2A13B436">
            <w:pPr>
              <w:jc w:val="center"/>
              <w:rPr>
                <w:rFonts w:cs="宋体"/>
                <w:szCs w:val="21"/>
              </w:rPr>
            </w:pPr>
            <w:r>
              <w:rPr>
                <w:rFonts w:hint="eastAsia" w:cs="宋体"/>
                <w:szCs w:val="21"/>
              </w:rPr>
              <w:t>1.1.4</w:t>
            </w:r>
          </w:p>
        </w:tc>
        <w:tc>
          <w:tcPr>
            <w:tcW w:w="2351" w:type="dxa"/>
            <w:gridSpan w:val="2"/>
            <w:tcBorders>
              <w:top w:val="single" w:color="auto" w:sz="4" w:space="0"/>
              <w:left w:val="nil"/>
              <w:bottom w:val="single" w:color="auto" w:sz="4" w:space="0"/>
              <w:right w:val="single" w:color="auto" w:sz="4" w:space="0"/>
            </w:tcBorders>
            <w:noWrap/>
            <w:vAlign w:val="center"/>
          </w:tcPr>
          <w:p w14:paraId="06438627">
            <w:pPr>
              <w:jc w:val="center"/>
              <w:rPr>
                <w:rFonts w:cs="宋体"/>
                <w:szCs w:val="21"/>
              </w:rPr>
            </w:pPr>
            <w:r>
              <w:rPr>
                <w:rFonts w:hint="eastAsia" w:cs="宋体"/>
                <w:szCs w:val="21"/>
              </w:rPr>
              <w:t>项目名称</w:t>
            </w:r>
          </w:p>
        </w:tc>
        <w:tc>
          <w:tcPr>
            <w:tcW w:w="6237" w:type="dxa"/>
            <w:tcBorders>
              <w:top w:val="single" w:color="auto" w:sz="4" w:space="0"/>
              <w:left w:val="nil"/>
              <w:bottom w:val="single" w:color="auto" w:sz="4" w:space="0"/>
              <w:right w:val="single" w:color="auto" w:sz="4" w:space="0"/>
            </w:tcBorders>
            <w:noWrap/>
            <w:vAlign w:val="center"/>
          </w:tcPr>
          <w:p w14:paraId="57943DAB">
            <w:pPr>
              <w:rPr>
                <w:rFonts w:hint="eastAsia" w:eastAsia="宋体" w:cs="宋体"/>
                <w:szCs w:val="21"/>
                <w:lang w:eastAsia="zh-CN"/>
              </w:rPr>
            </w:pPr>
            <w:r>
              <w:rPr>
                <w:rFonts w:hint="eastAsia" w:cs="宋体"/>
                <w:szCs w:val="21"/>
                <w:lang w:eastAsia="zh-CN"/>
              </w:rPr>
              <w:t>温州港口服务有限公司海港大厦1幢1501室（北）办公用房装修项目</w:t>
            </w:r>
          </w:p>
        </w:tc>
      </w:tr>
      <w:tr w14:paraId="279EA4C1">
        <w:tblPrEx>
          <w:tblCellMar>
            <w:top w:w="0" w:type="dxa"/>
            <w:left w:w="108" w:type="dxa"/>
            <w:bottom w:w="0" w:type="dxa"/>
            <w:right w:w="108" w:type="dxa"/>
          </w:tblCellMar>
        </w:tblPrEx>
        <w:trPr>
          <w:trHeight w:val="882"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62172BC5">
            <w:pPr>
              <w:jc w:val="center"/>
              <w:rPr>
                <w:rFonts w:cs="宋体"/>
                <w:szCs w:val="21"/>
              </w:rPr>
            </w:pPr>
            <w:r>
              <w:rPr>
                <w:rFonts w:hint="eastAsia" w:cs="宋体"/>
                <w:szCs w:val="21"/>
              </w:rPr>
              <w:t>1.1.5</w:t>
            </w:r>
          </w:p>
        </w:tc>
        <w:tc>
          <w:tcPr>
            <w:tcW w:w="2351" w:type="dxa"/>
            <w:gridSpan w:val="2"/>
            <w:tcBorders>
              <w:top w:val="single" w:color="auto" w:sz="4" w:space="0"/>
              <w:left w:val="nil"/>
              <w:bottom w:val="single" w:color="auto" w:sz="4" w:space="0"/>
              <w:right w:val="single" w:color="auto" w:sz="4" w:space="0"/>
            </w:tcBorders>
            <w:noWrap/>
            <w:vAlign w:val="center"/>
          </w:tcPr>
          <w:p w14:paraId="655E63A0">
            <w:pPr>
              <w:jc w:val="center"/>
              <w:rPr>
                <w:rFonts w:cs="宋体"/>
                <w:szCs w:val="21"/>
              </w:rPr>
            </w:pPr>
            <w:r>
              <w:rPr>
                <w:rFonts w:hint="eastAsia" w:cs="宋体"/>
                <w:szCs w:val="21"/>
              </w:rPr>
              <w:t>建设地点</w:t>
            </w:r>
          </w:p>
        </w:tc>
        <w:tc>
          <w:tcPr>
            <w:tcW w:w="6237" w:type="dxa"/>
            <w:tcBorders>
              <w:top w:val="single" w:color="auto" w:sz="4" w:space="0"/>
              <w:left w:val="nil"/>
              <w:bottom w:val="single" w:color="auto" w:sz="4" w:space="0"/>
              <w:right w:val="single" w:color="auto" w:sz="4" w:space="0"/>
            </w:tcBorders>
            <w:noWrap/>
            <w:vAlign w:val="center"/>
          </w:tcPr>
          <w:p w14:paraId="029D1F6C">
            <w:pPr>
              <w:rPr>
                <w:rFonts w:cs="宋体"/>
                <w:szCs w:val="21"/>
              </w:rPr>
            </w:pPr>
            <w:r>
              <w:rPr>
                <w:rFonts w:hint="eastAsia" w:cs="宋体"/>
                <w:szCs w:val="21"/>
              </w:rPr>
              <w:t>本项目位于温州市海港大厦1幢15层北面办公室</w:t>
            </w:r>
          </w:p>
        </w:tc>
      </w:tr>
      <w:tr w14:paraId="7F58BA2E">
        <w:tblPrEx>
          <w:tblCellMar>
            <w:top w:w="0" w:type="dxa"/>
            <w:left w:w="108" w:type="dxa"/>
            <w:bottom w:w="0" w:type="dxa"/>
            <w:right w:w="108" w:type="dxa"/>
          </w:tblCellMar>
        </w:tblPrEx>
        <w:trPr>
          <w:trHeight w:val="561"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3DF2B2E4">
            <w:pPr>
              <w:jc w:val="center"/>
              <w:rPr>
                <w:rFonts w:cs="宋体"/>
                <w:szCs w:val="21"/>
              </w:rPr>
            </w:pPr>
            <w:r>
              <w:rPr>
                <w:rFonts w:hint="eastAsia" w:cs="宋体"/>
                <w:szCs w:val="21"/>
              </w:rPr>
              <w:t>1.2.1</w:t>
            </w:r>
          </w:p>
        </w:tc>
        <w:tc>
          <w:tcPr>
            <w:tcW w:w="2351" w:type="dxa"/>
            <w:gridSpan w:val="2"/>
            <w:tcBorders>
              <w:top w:val="single" w:color="auto" w:sz="4" w:space="0"/>
              <w:left w:val="nil"/>
              <w:bottom w:val="single" w:color="auto" w:sz="4" w:space="0"/>
              <w:right w:val="single" w:color="auto" w:sz="4" w:space="0"/>
            </w:tcBorders>
            <w:noWrap/>
            <w:vAlign w:val="center"/>
          </w:tcPr>
          <w:p w14:paraId="732AD87B">
            <w:pPr>
              <w:jc w:val="center"/>
              <w:rPr>
                <w:rFonts w:cs="宋体"/>
                <w:szCs w:val="21"/>
              </w:rPr>
            </w:pPr>
            <w:r>
              <w:rPr>
                <w:rFonts w:hint="eastAsia" w:cs="宋体"/>
                <w:szCs w:val="21"/>
              </w:rPr>
              <w:t>资金来源</w:t>
            </w:r>
          </w:p>
        </w:tc>
        <w:tc>
          <w:tcPr>
            <w:tcW w:w="6237" w:type="dxa"/>
            <w:tcBorders>
              <w:top w:val="single" w:color="auto" w:sz="4" w:space="0"/>
              <w:left w:val="nil"/>
              <w:bottom w:val="single" w:color="auto" w:sz="4" w:space="0"/>
              <w:right w:val="single" w:color="auto" w:sz="4" w:space="0"/>
            </w:tcBorders>
            <w:noWrap/>
            <w:vAlign w:val="center"/>
          </w:tcPr>
          <w:p w14:paraId="5B4961A8">
            <w:pPr>
              <w:rPr>
                <w:rFonts w:cs="宋体"/>
                <w:szCs w:val="21"/>
              </w:rPr>
            </w:pPr>
            <w:r>
              <w:rPr>
                <w:rFonts w:hint="eastAsia" w:cs="宋体"/>
                <w:szCs w:val="21"/>
              </w:rPr>
              <w:t>自筹</w:t>
            </w:r>
          </w:p>
        </w:tc>
      </w:tr>
      <w:tr w14:paraId="5AC49C33">
        <w:tblPrEx>
          <w:tblCellMar>
            <w:top w:w="0" w:type="dxa"/>
            <w:left w:w="108" w:type="dxa"/>
            <w:bottom w:w="0" w:type="dxa"/>
            <w:right w:w="108" w:type="dxa"/>
          </w:tblCellMar>
        </w:tblPrEx>
        <w:trPr>
          <w:trHeight w:val="697"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0956294C">
            <w:pPr>
              <w:jc w:val="center"/>
              <w:rPr>
                <w:rFonts w:cs="宋体"/>
                <w:szCs w:val="21"/>
              </w:rPr>
            </w:pPr>
            <w:r>
              <w:rPr>
                <w:rFonts w:hint="eastAsia" w:cs="宋体"/>
                <w:szCs w:val="21"/>
              </w:rPr>
              <w:t>1.2.2</w:t>
            </w:r>
          </w:p>
        </w:tc>
        <w:tc>
          <w:tcPr>
            <w:tcW w:w="2351" w:type="dxa"/>
            <w:gridSpan w:val="2"/>
            <w:tcBorders>
              <w:top w:val="single" w:color="auto" w:sz="4" w:space="0"/>
              <w:left w:val="nil"/>
              <w:bottom w:val="single" w:color="auto" w:sz="4" w:space="0"/>
              <w:right w:val="single" w:color="auto" w:sz="4" w:space="0"/>
            </w:tcBorders>
            <w:noWrap/>
            <w:vAlign w:val="center"/>
          </w:tcPr>
          <w:p w14:paraId="098683DF">
            <w:pPr>
              <w:jc w:val="center"/>
              <w:rPr>
                <w:rFonts w:cs="宋体"/>
                <w:szCs w:val="21"/>
              </w:rPr>
            </w:pPr>
            <w:r>
              <w:rPr>
                <w:rFonts w:hint="eastAsia" w:cs="宋体"/>
                <w:szCs w:val="21"/>
              </w:rPr>
              <w:t>出资比例</w:t>
            </w:r>
          </w:p>
        </w:tc>
        <w:tc>
          <w:tcPr>
            <w:tcW w:w="6237" w:type="dxa"/>
            <w:tcBorders>
              <w:top w:val="single" w:color="auto" w:sz="4" w:space="0"/>
              <w:left w:val="nil"/>
              <w:bottom w:val="single" w:color="auto" w:sz="4" w:space="0"/>
              <w:right w:val="single" w:color="auto" w:sz="4" w:space="0"/>
            </w:tcBorders>
            <w:noWrap/>
            <w:vAlign w:val="center"/>
          </w:tcPr>
          <w:p w14:paraId="56A5D68A">
            <w:pPr>
              <w:rPr>
                <w:rFonts w:cs="宋体"/>
                <w:szCs w:val="21"/>
              </w:rPr>
            </w:pPr>
            <w:r>
              <w:rPr>
                <w:rFonts w:hint="eastAsia" w:cs="宋体"/>
                <w:szCs w:val="21"/>
              </w:rPr>
              <w:t>100%</w:t>
            </w:r>
          </w:p>
        </w:tc>
      </w:tr>
      <w:tr w14:paraId="5A3118DD">
        <w:tblPrEx>
          <w:tblCellMar>
            <w:top w:w="0" w:type="dxa"/>
            <w:left w:w="108" w:type="dxa"/>
            <w:bottom w:w="0" w:type="dxa"/>
            <w:right w:w="108" w:type="dxa"/>
          </w:tblCellMar>
        </w:tblPrEx>
        <w:trPr>
          <w:trHeight w:val="693"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2D748330">
            <w:pPr>
              <w:jc w:val="center"/>
              <w:rPr>
                <w:rFonts w:cs="宋体"/>
                <w:szCs w:val="21"/>
              </w:rPr>
            </w:pPr>
            <w:r>
              <w:rPr>
                <w:rFonts w:hint="eastAsia" w:cs="宋体"/>
                <w:szCs w:val="21"/>
              </w:rPr>
              <w:t>1.2.3</w:t>
            </w:r>
          </w:p>
        </w:tc>
        <w:tc>
          <w:tcPr>
            <w:tcW w:w="2351" w:type="dxa"/>
            <w:gridSpan w:val="2"/>
            <w:tcBorders>
              <w:top w:val="single" w:color="auto" w:sz="4" w:space="0"/>
              <w:left w:val="nil"/>
              <w:bottom w:val="single" w:color="auto" w:sz="4" w:space="0"/>
              <w:right w:val="single" w:color="auto" w:sz="4" w:space="0"/>
            </w:tcBorders>
            <w:noWrap/>
            <w:vAlign w:val="center"/>
          </w:tcPr>
          <w:p w14:paraId="1C17EDD0">
            <w:pPr>
              <w:jc w:val="center"/>
              <w:rPr>
                <w:rFonts w:cs="宋体"/>
                <w:szCs w:val="21"/>
              </w:rPr>
            </w:pPr>
            <w:r>
              <w:rPr>
                <w:rFonts w:hint="eastAsia" w:cs="宋体"/>
                <w:szCs w:val="21"/>
              </w:rPr>
              <w:t>资金落实情况</w:t>
            </w:r>
          </w:p>
        </w:tc>
        <w:tc>
          <w:tcPr>
            <w:tcW w:w="6237" w:type="dxa"/>
            <w:tcBorders>
              <w:top w:val="single" w:color="auto" w:sz="4" w:space="0"/>
              <w:left w:val="nil"/>
              <w:bottom w:val="single" w:color="auto" w:sz="4" w:space="0"/>
              <w:right w:val="single" w:color="auto" w:sz="4" w:space="0"/>
            </w:tcBorders>
            <w:noWrap/>
            <w:vAlign w:val="center"/>
          </w:tcPr>
          <w:p w14:paraId="04F30A38">
            <w:pPr>
              <w:rPr>
                <w:rFonts w:cs="宋体"/>
                <w:szCs w:val="21"/>
              </w:rPr>
            </w:pPr>
            <w:r>
              <w:rPr>
                <w:rFonts w:hint="eastAsia" w:cs="宋体"/>
                <w:szCs w:val="21"/>
              </w:rPr>
              <w:t>已落实</w:t>
            </w:r>
          </w:p>
        </w:tc>
      </w:tr>
      <w:tr w14:paraId="754AF102">
        <w:tblPrEx>
          <w:tblCellMar>
            <w:top w:w="0" w:type="dxa"/>
            <w:left w:w="108" w:type="dxa"/>
            <w:bottom w:w="0" w:type="dxa"/>
            <w:right w:w="108" w:type="dxa"/>
          </w:tblCellMar>
        </w:tblPrEx>
        <w:trPr>
          <w:trHeight w:val="1268"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3EDA842A">
            <w:pPr>
              <w:jc w:val="center"/>
              <w:rPr>
                <w:rFonts w:cs="宋体"/>
                <w:szCs w:val="21"/>
              </w:rPr>
            </w:pPr>
            <w:r>
              <w:rPr>
                <w:rFonts w:hint="eastAsia" w:cs="宋体"/>
                <w:szCs w:val="21"/>
              </w:rPr>
              <w:t>1.3.1</w:t>
            </w:r>
          </w:p>
        </w:tc>
        <w:tc>
          <w:tcPr>
            <w:tcW w:w="2351" w:type="dxa"/>
            <w:gridSpan w:val="2"/>
            <w:tcBorders>
              <w:top w:val="single" w:color="auto" w:sz="4" w:space="0"/>
              <w:left w:val="nil"/>
              <w:bottom w:val="single" w:color="auto" w:sz="4" w:space="0"/>
              <w:right w:val="single" w:color="auto" w:sz="4" w:space="0"/>
            </w:tcBorders>
            <w:noWrap/>
            <w:vAlign w:val="center"/>
          </w:tcPr>
          <w:p w14:paraId="3FEC8F5E">
            <w:pPr>
              <w:jc w:val="center"/>
              <w:rPr>
                <w:rFonts w:hint="default" w:eastAsia="宋体" w:cs="宋体"/>
                <w:szCs w:val="21"/>
                <w:lang w:val="en-US" w:eastAsia="zh-CN"/>
              </w:rPr>
            </w:pPr>
            <w:r>
              <w:rPr>
                <w:rFonts w:hint="eastAsia" w:cs="宋体"/>
                <w:szCs w:val="21"/>
                <w:lang w:val="en-US" w:eastAsia="zh-CN"/>
              </w:rPr>
              <w:t>项目概况</w:t>
            </w:r>
          </w:p>
        </w:tc>
        <w:tc>
          <w:tcPr>
            <w:tcW w:w="6237" w:type="dxa"/>
            <w:tcBorders>
              <w:top w:val="single" w:color="auto" w:sz="4" w:space="0"/>
              <w:left w:val="nil"/>
              <w:bottom w:val="single" w:color="auto" w:sz="4" w:space="0"/>
              <w:right w:val="single" w:color="auto" w:sz="4" w:space="0"/>
            </w:tcBorders>
            <w:noWrap/>
            <w:vAlign w:val="center"/>
          </w:tcPr>
          <w:p w14:paraId="749FA868">
            <w:pPr>
              <w:rPr>
                <w:rFonts w:cs="宋体"/>
                <w:szCs w:val="21"/>
              </w:rPr>
            </w:pPr>
            <w:r>
              <w:rPr>
                <w:rFonts w:hint="eastAsia" w:cs="宋体"/>
                <w:szCs w:val="21"/>
              </w:rPr>
              <w:t>包括拆除工程，门窗工程，屋面及防水工程，楼地面装饰工程，墙、柱面装饰与隔断、幕墙工程</w:t>
            </w:r>
            <w:r>
              <w:rPr>
                <w:rFonts w:hint="eastAsia" w:cs="宋体"/>
                <w:szCs w:val="21"/>
                <w:lang w:eastAsia="zh-CN"/>
              </w:rPr>
              <w:t>，</w:t>
            </w:r>
            <w:r>
              <w:rPr>
                <w:rFonts w:hint="eastAsia" w:cs="宋体"/>
                <w:szCs w:val="21"/>
              </w:rPr>
              <w:t>天棚工程，油漆、涂料、裱糊工程，其他装饰工程，弱电系统，消防系统，通风系统，空调系统，给排水系统等，具体招标范围以施工图纸及工程量清单为准。</w:t>
            </w:r>
          </w:p>
        </w:tc>
      </w:tr>
      <w:tr w14:paraId="6AC18AD8">
        <w:tblPrEx>
          <w:tblCellMar>
            <w:top w:w="0" w:type="dxa"/>
            <w:left w:w="108" w:type="dxa"/>
            <w:bottom w:w="0" w:type="dxa"/>
            <w:right w:w="108" w:type="dxa"/>
          </w:tblCellMar>
        </w:tblPrEx>
        <w:trPr>
          <w:trHeight w:val="551"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59CE34C2">
            <w:pPr>
              <w:jc w:val="center"/>
              <w:rPr>
                <w:rFonts w:cs="宋体"/>
                <w:szCs w:val="21"/>
              </w:rPr>
            </w:pPr>
            <w:r>
              <w:rPr>
                <w:rFonts w:hint="eastAsia" w:cs="宋体"/>
                <w:szCs w:val="21"/>
              </w:rPr>
              <w:t>1.3.2</w:t>
            </w:r>
          </w:p>
        </w:tc>
        <w:tc>
          <w:tcPr>
            <w:tcW w:w="2351" w:type="dxa"/>
            <w:gridSpan w:val="2"/>
            <w:tcBorders>
              <w:top w:val="single" w:color="auto" w:sz="4" w:space="0"/>
              <w:left w:val="nil"/>
              <w:bottom w:val="single" w:color="auto" w:sz="4" w:space="0"/>
              <w:right w:val="single" w:color="auto" w:sz="4" w:space="0"/>
            </w:tcBorders>
            <w:noWrap/>
            <w:vAlign w:val="center"/>
          </w:tcPr>
          <w:p w14:paraId="1CEA4C24">
            <w:pPr>
              <w:jc w:val="center"/>
              <w:rPr>
                <w:rFonts w:hint="default" w:eastAsia="宋体" w:cs="宋体"/>
                <w:szCs w:val="21"/>
                <w:lang w:val="en-US" w:eastAsia="zh-CN"/>
              </w:rPr>
            </w:pPr>
            <w:r>
              <w:rPr>
                <w:rFonts w:hint="eastAsia" w:cs="宋体"/>
                <w:szCs w:val="21"/>
                <w:lang w:val="en-US" w:eastAsia="zh-CN"/>
              </w:rPr>
              <w:t>工期要求</w:t>
            </w:r>
          </w:p>
        </w:tc>
        <w:tc>
          <w:tcPr>
            <w:tcW w:w="6237" w:type="dxa"/>
            <w:tcBorders>
              <w:top w:val="single" w:color="auto" w:sz="4" w:space="0"/>
              <w:left w:val="nil"/>
              <w:bottom w:val="single" w:color="auto" w:sz="4" w:space="0"/>
              <w:right w:val="single" w:color="auto" w:sz="4" w:space="0"/>
            </w:tcBorders>
            <w:noWrap/>
            <w:vAlign w:val="center"/>
          </w:tcPr>
          <w:p w14:paraId="1AE7B0CB">
            <w:pPr>
              <w:rPr>
                <w:rFonts w:cs="宋体"/>
                <w:szCs w:val="21"/>
              </w:rPr>
            </w:pPr>
            <w:r>
              <w:rPr>
                <w:rFonts w:hint="eastAsia" w:cs="宋体"/>
                <w:kern w:val="0"/>
                <w:szCs w:val="21"/>
              </w:rPr>
              <w:t>50日历天，接</w:t>
            </w:r>
            <w:r>
              <w:rPr>
                <w:rFonts w:hint="eastAsia" w:cs="宋体"/>
                <w:kern w:val="0"/>
                <w:szCs w:val="21"/>
                <w:lang w:val="en-US" w:eastAsia="zh-CN"/>
              </w:rPr>
              <w:t>招标人</w:t>
            </w:r>
            <w:r>
              <w:rPr>
                <w:rFonts w:hint="eastAsia" w:cs="宋体"/>
                <w:kern w:val="0"/>
                <w:szCs w:val="21"/>
              </w:rPr>
              <w:t>开工令计算工期。</w:t>
            </w:r>
          </w:p>
        </w:tc>
      </w:tr>
      <w:tr w14:paraId="5E1FB3DE">
        <w:tblPrEx>
          <w:tblCellMar>
            <w:top w:w="0" w:type="dxa"/>
            <w:left w:w="108" w:type="dxa"/>
            <w:bottom w:w="0" w:type="dxa"/>
            <w:right w:w="108" w:type="dxa"/>
          </w:tblCellMar>
        </w:tblPrEx>
        <w:trPr>
          <w:trHeight w:val="572"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0AA89026">
            <w:pPr>
              <w:jc w:val="center"/>
              <w:rPr>
                <w:rFonts w:cs="宋体"/>
                <w:szCs w:val="21"/>
              </w:rPr>
            </w:pPr>
            <w:r>
              <w:rPr>
                <w:rFonts w:hint="eastAsia" w:cs="宋体"/>
                <w:szCs w:val="21"/>
              </w:rPr>
              <w:t>1.3.3</w:t>
            </w:r>
          </w:p>
        </w:tc>
        <w:tc>
          <w:tcPr>
            <w:tcW w:w="2351" w:type="dxa"/>
            <w:gridSpan w:val="2"/>
            <w:tcBorders>
              <w:top w:val="single" w:color="auto" w:sz="4" w:space="0"/>
              <w:left w:val="nil"/>
              <w:bottom w:val="single" w:color="auto" w:sz="4" w:space="0"/>
              <w:right w:val="single" w:color="auto" w:sz="4" w:space="0"/>
            </w:tcBorders>
            <w:noWrap/>
            <w:vAlign w:val="center"/>
          </w:tcPr>
          <w:p w14:paraId="16BDABA6">
            <w:pPr>
              <w:jc w:val="center"/>
              <w:rPr>
                <w:rFonts w:cs="宋体"/>
                <w:szCs w:val="21"/>
              </w:rPr>
            </w:pPr>
            <w:r>
              <w:rPr>
                <w:rFonts w:hint="eastAsia" w:cs="宋体"/>
                <w:szCs w:val="21"/>
              </w:rPr>
              <w:t>质量要求</w:t>
            </w:r>
          </w:p>
        </w:tc>
        <w:tc>
          <w:tcPr>
            <w:tcW w:w="6237" w:type="dxa"/>
            <w:tcBorders>
              <w:top w:val="single" w:color="auto" w:sz="4" w:space="0"/>
              <w:left w:val="nil"/>
              <w:bottom w:val="single" w:color="auto" w:sz="4" w:space="0"/>
              <w:right w:val="single" w:color="auto" w:sz="4" w:space="0"/>
            </w:tcBorders>
            <w:noWrap/>
            <w:vAlign w:val="center"/>
          </w:tcPr>
          <w:p w14:paraId="0E728CD5">
            <w:pPr>
              <w:rPr>
                <w:rFonts w:cs="宋体"/>
                <w:szCs w:val="21"/>
              </w:rPr>
            </w:pPr>
            <w:r>
              <w:rPr>
                <w:rFonts w:hint="eastAsia" w:cs="宋体"/>
                <w:szCs w:val="21"/>
              </w:rPr>
              <w:t>合格</w:t>
            </w:r>
          </w:p>
        </w:tc>
      </w:tr>
      <w:tr w14:paraId="0A124069">
        <w:tblPrEx>
          <w:tblCellMar>
            <w:top w:w="0" w:type="dxa"/>
            <w:left w:w="108" w:type="dxa"/>
            <w:bottom w:w="0" w:type="dxa"/>
            <w:right w:w="108" w:type="dxa"/>
          </w:tblCellMar>
        </w:tblPrEx>
        <w:trPr>
          <w:trHeight w:val="4326"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7ED5FA23">
            <w:pPr>
              <w:jc w:val="center"/>
              <w:rPr>
                <w:rFonts w:cs="宋体"/>
                <w:szCs w:val="21"/>
              </w:rPr>
            </w:pPr>
            <w:r>
              <w:rPr>
                <w:rFonts w:hint="eastAsia" w:cs="宋体"/>
                <w:szCs w:val="21"/>
              </w:rPr>
              <w:t>1.4.1</w:t>
            </w:r>
          </w:p>
        </w:tc>
        <w:tc>
          <w:tcPr>
            <w:tcW w:w="2351" w:type="dxa"/>
            <w:gridSpan w:val="2"/>
            <w:tcBorders>
              <w:top w:val="single" w:color="auto" w:sz="4" w:space="0"/>
              <w:left w:val="nil"/>
              <w:bottom w:val="single" w:color="auto" w:sz="4" w:space="0"/>
              <w:right w:val="single" w:color="auto" w:sz="4" w:space="0"/>
            </w:tcBorders>
            <w:noWrap/>
            <w:vAlign w:val="center"/>
          </w:tcPr>
          <w:p w14:paraId="0DE45AEA">
            <w:pPr>
              <w:jc w:val="center"/>
              <w:rPr>
                <w:rFonts w:cs="宋体"/>
                <w:szCs w:val="21"/>
              </w:rPr>
            </w:pPr>
            <w:r>
              <w:rPr>
                <w:rFonts w:hint="eastAsia" w:cs="宋体"/>
                <w:szCs w:val="21"/>
              </w:rPr>
              <w:t>投标人资质条件、能力和信誉</w:t>
            </w:r>
          </w:p>
        </w:tc>
        <w:tc>
          <w:tcPr>
            <w:tcW w:w="6237" w:type="dxa"/>
            <w:tcBorders>
              <w:top w:val="single" w:color="auto" w:sz="4" w:space="0"/>
              <w:left w:val="nil"/>
              <w:bottom w:val="single" w:color="auto" w:sz="4" w:space="0"/>
              <w:right w:val="single" w:color="auto" w:sz="4" w:space="0"/>
            </w:tcBorders>
            <w:noWrap/>
            <w:vAlign w:val="center"/>
          </w:tcPr>
          <w:p w14:paraId="797070E6">
            <w:pPr>
              <w:pStyle w:val="10"/>
              <w:tabs>
                <w:tab w:val="left" w:pos="1343"/>
                <w:tab w:val="left" w:pos="2697"/>
                <w:tab w:val="left" w:pos="3264"/>
                <w:tab w:val="left" w:pos="4896"/>
                <w:tab w:val="left" w:pos="6005"/>
                <w:tab w:val="left" w:pos="7085"/>
                <w:tab w:val="left" w:pos="7498"/>
              </w:tabs>
              <w:wordWrap w:val="0"/>
              <w:topLinePunct/>
              <w:autoSpaceDN w:val="0"/>
              <w:spacing w:line="400" w:lineRule="exact"/>
              <w:textAlignment w:val="auto"/>
              <w:rPr>
                <w:rFonts w:cs="宋体"/>
                <w:szCs w:val="21"/>
              </w:rPr>
            </w:pPr>
            <w:r>
              <w:rPr>
                <w:rFonts w:hint="eastAsia" w:cs="宋体"/>
                <w:szCs w:val="21"/>
              </w:rPr>
              <w:t>（1）资质条件：具备建筑装修装饰工程专业承包二级及以上资质（对应资质应在“浙江省建筑市场监管公共服务系统”上资质动态核查结果处于“合格”状态），并在人员、设备、资金等方面具有相应的施工能力；</w:t>
            </w:r>
          </w:p>
          <w:p w14:paraId="379057E3">
            <w:pPr>
              <w:pStyle w:val="10"/>
              <w:tabs>
                <w:tab w:val="left" w:pos="1343"/>
                <w:tab w:val="left" w:pos="2697"/>
                <w:tab w:val="left" w:pos="3264"/>
                <w:tab w:val="left" w:pos="4896"/>
                <w:tab w:val="left" w:pos="6005"/>
                <w:tab w:val="left" w:pos="7085"/>
                <w:tab w:val="left" w:pos="7498"/>
              </w:tabs>
              <w:wordWrap w:val="0"/>
              <w:topLinePunct/>
              <w:autoSpaceDN w:val="0"/>
              <w:spacing w:line="400" w:lineRule="exact"/>
              <w:textAlignment w:val="auto"/>
              <w:rPr>
                <w:rFonts w:cs="宋体"/>
                <w:szCs w:val="21"/>
              </w:rPr>
            </w:pPr>
            <w:r>
              <w:rPr>
                <w:rFonts w:hint="eastAsia" w:cs="宋体"/>
                <w:szCs w:val="21"/>
              </w:rPr>
              <w:t>（2）财务要求：不要求；</w:t>
            </w:r>
          </w:p>
          <w:p w14:paraId="11345294">
            <w:pPr>
              <w:pStyle w:val="10"/>
              <w:tabs>
                <w:tab w:val="left" w:pos="1343"/>
                <w:tab w:val="left" w:pos="2697"/>
                <w:tab w:val="left" w:pos="3264"/>
                <w:tab w:val="left" w:pos="4896"/>
                <w:tab w:val="left" w:pos="6005"/>
                <w:tab w:val="left" w:pos="7085"/>
                <w:tab w:val="left" w:pos="7498"/>
              </w:tabs>
              <w:wordWrap w:val="0"/>
              <w:topLinePunct/>
              <w:autoSpaceDN w:val="0"/>
              <w:spacing w:line="400" w:lineRule="exact"/>
              <w:textAlignment w:val="auto"/>
              <w:rPr>
                <w:rFonts w:cs="宋体"/>
                <w:szCs w:val="21"/>
              </w:rPr>
            </w:pPr>
            <w:r>
              <w:rPr>
                <w:rFonts w:hint="eastAsia" w:cs="宋体"/>
                <w:szCs w:val="21"/>
              </w:rPr>
              <w:t>（3）业绩要求：不要求；</w:t>
            </w:r>
          </w:p>
          <w:p w14:paraId="41D67A2E">
            <w:pPr>
              <w:pStyle w:val="10"/>
              <w:tabs>
                <w:tab w:val="left" w:pos="1343"/>
                <w:tab w:val="left" w:pos="2697"/>
                <w:tab w:val="left" w:pos="3264"/>
                <w:tab w:val="left" w:pos="4896"/>
                <w:tab w:val="left" w:pos="6005"/>
                <w:tab w:val="left" w:pos="7085"/>
                <w:tab w:val="left" w:pos="7498"/>
              </w:tabs>
              <w:wordWrap w:val="0"/>
              <w:topLinePunct/>
              <w:autoSpaceDN w:val="0"/>
              <w:spacing w:line="400" w:lineRule="exact"/>
              <w:textAlignment w:val="auto"/>
              <w:rPr>
                <w:rFonts w:cs="宋体"/>
                <w:szCs w:val="21"/>
              </w:rPr>
            </w:pPr>
            <w:r>
              <w:rPr>
                <w:rFonts w:hint="eastAsia" w:cs="宋体"/>
                <w:szCs w:val="21"/>
              </w:rPr>
              <w:t>（4）信誉要求：见本章第10.4款；</w:t>
            </w:r>
          </w:p>
          <w:p w14:paraId="258AA0F0">
            <w:pPr>
              <w:pStyle w:val="10"/>
              <w:tabs>
                <w:tab w:val="left" w:pos="1343"/>
                <w:tab w:val="left" w:pos="2697"/>
                <w:tab w:val="left" w:pos="3264"/>
                <w:tab w:val="left" w:pos="4896"/>
                <w:tab w:val="left" w:pos="6005"/>
                <w:tab w:val="left" w:pos="7085"/>
                <w:tab w:val="left" w:pos="7498"/>
              </w:tabs>
              <w:wordWrap w:val="0"/>
              <w:topLinePunct/>
              <w:autoSpaceDN w:val="0"/>
              <w:spacing w:line="400" w:lineRule="exact"/>
              <w:textAlignment w:val="auto"/>
              <w:rPr>
                <w:rFonts w:cs="宋体"/>
                <w:szCs w:val="21"/>
              </w:rPr>
            </w:pPr>
            <w:r>
              <w:rPr>
                <w:rFonts w:hint="eastAsia" w:cs="宋体"/>
                <w:szCs w:val="21"/>
              </w:rPr>
              <w:t>（5）项目经理（建造师，下同）资格：拟派项目经理须具备房屋建筑工程专业贰级及以上注册建造师证书及有效的项目经理安全生产考核合格证书（B类），并在投标文件中提供由投标人为其缴纳的社保缴纳证明（投标截止日前连续</w:t>
            </w:r>
            <w:r>
              <w:rPr>
                <w:rFonts w:cs="宋体"/>
                <w:szCs w:val="21"/>
              </w:rPr>
              <w:t>3个月）</w:t>
            </w:r>
            <w:r>
              <w:rPr>
                <w:rFonts w:hint="eastAsia" w:cs="宋体"/>
                <w:szCs w:val="21"/>
              </w:rPr>
              <w:t>；</w:t>
            </w:r>
          </w:p>
          <w:p w14:paraId="0FF0C85B">
            <w:pPr>
              <w:pStyle w:val="10"/>
              <w:tabs>
                <w:tab w:val="left" w:pos="1343"/>
                <w:tab w:val="left" w:pos="2697"/>
                <w:tab w:val="left" w:pos="3264"/>
                <w:tab w:val="left" w:pos="4896"/>
                <w:tab w:val="left" w:pos="6005"/>
                <w:tab w:val="left" w:pos="7085"/>
                <w:tab w:val="left" w:pos="7498"/>
              </w:tabs>
              <w:wordWrap w:val="0"/>
              <w:topLinePunct/>
              <w:autoSpaceDN w:val="0"/>
              <w:spacing w:line="400" w:lineRule="exact"/>
              <w:ind w:firstLine="0" w:firstLineChars="0"/>
              <w:textAlignment w:val="auto"/>
              <w:rPr>
                <w:rFonts w:cs="宋体"/>
                <w:szCs w:val="21"/>
              </w:rPr>
            </w:pPr>
            <w:r>
              <w:rPr>
                <w:rFonts w:hint="eastAsia" w:cs="宋体"/>
                <w:szCs w:val="21"/>
              </w:rPr>
              <w:t>（6）技术负责人须具备建筑工程相关专业工程师及以上专业技术职称，</w:t>
            </w:r>
            <w:r>
              <w:rPr>
                <w:rFonts w:hint="eastAsia" w:cs="宋体"/>
                <w:kern w:val="0"/>
                <w:szCs w:val="21"/>
              </w:rPr>
              <w:t>并在投标文件中提供由投标人为其缴纳的社保缴纳证明（投标截止日前连续3个月）</w:t>
            </w:r>
            <w:r>
              <w:rPr>
                <w:rFonts w:hint="eastAsia" w:cs="宋体"/>
                <w:szCs w:val="21"/>
              </w:rPr>
              <w:t>；</w:t>
            </w:r>
          </w:p>
          <w:p w14:paraId="442DF239">
            <w:pPr>
              <w:pStyle w:val="10"/>
              <w:tabs>
                <w:tab w:val="left" w:pos="1343"/>
                <w:tab w:val="left" w:pos="2697"/>
                <w:tab w:val="left" w:pos="3264"/>
                <w:tab w:val="left" w:pos="4896"/>
                <w:tab w:val="left" w:pos="6005"/>
                <w:tab w:val="left" w:pos="7085"/>
                <w:tab w:val="left" w:pos="7498"/>
              </w:tabs>
              <w:wordWrap w:val="0"/>
              <w:topLinePunct/>
              <w:autoSpaceDN w:val="0"/>
              <w:spacing w:line="400" w:lineRule="exact"/>
              <w:ind w:firstLine="0" w:firstLineChars="0"/>
              <w:textAlignment w:val="auto"/>
              <w:rPr>
                <w:rFonts w:cs="宋体"/>
                <w:kern w:val="0"/>
                <w:szCs w:val="21"/>
              </w:rPr>
            </w:pPr>
            <w:r>
              <w:rPr>
                <w:rFonts w:hint="eastAsia" w:cs="宋体"/>
                <w:szCs w:val="21"/>
              </w:rPr>
              <w:t>（7）</w:t>
            </w:r>
            <w:r>
              <w:rPr>
                <w:rFonts w:hint="eastAsia" w:cs="宋体"/>
                <w:kern w:val="0"/>
                <w:szCs w:val="21"/>
              </w:rPr>
              <w:t>安全生产管理机构及专职安全管理人员配备符合国家相关法律法规要求；现场安全员不少于 1 名，具备安全生产考核合格证书（C 类），并在投标文件中提供由投标人为其缴纳的社保缴纳证明（投标截止日前连续3个月）；</w:t>
            </w:r>
          </w:p>
          <w:p w14:paraId="7C7F0C01">
            <w:pPr>
              <w:pStyle w:val="10"/>
              <w:tabs>
                <w:tab w:val="left" w:pos="1343"/>
                <w:tab w:val="left" w:pos="2697"/>
                <w:tab w:val="left" w:pos="3264"/>
                <w:tab w:val="left" w:pos="4896"/>
                <w:tab w:val="left" w:pos="6005"/>
                <w:tab w:val="left" w:pos="7085"/>
                <w:tab w:val="left" w:pos="7498"/>
              </w:tabs>
              <w:wordWrap w:val="0"/>
              <w:topLinePunct/>
              <w:autoSpaceDN w:val="0"/>
              <w:spacing w:line="400" w:lineRule="exact"/>
              <w:ind w:firstLine="0" w:firstLineChars="0"/>
              <w:textAlignment w:val="auto"/>
              <w:rPr>
                <w:rFonts w:cs="宋体"/>
                <w:szCs w:val="21"/>
              </w:rPr>
            </w:pPr>
            <w:r>
              <w:rPr>
                <w:rFonts w:hint="eastAsia"/>
              </w:rPr>
              <w:t>（8）其他要求：见本章第10.8款。</w:t>
            </w:r>
          </w:p>
        </w:tc>
      </w:tr>
      <w:tr w14:paraId="193A550A">
        <w:tblPrEx>
          <w:tblCellMar>
            <w:top w:w="0" w:type="dxa"/>
            <w:left w:w="108" w:type="dxa"/>
            <w:bottom w:w="0" w:type="dxa"/>
            <w:right w:w="108" w:type="dxa"/>
          </w:tblCellMar>
        </w:tblPrEx>
        <w:trPr>
          <w:trHeight w:val="722"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40BC67F6">
            <w:pPr>
              <w:jc w:val="center"/>
              <w:rPr>
                <w:rFonts w:cs="宋体"/>
                <w:szCs w:val="21"/>
              </w:rPr>
            </w:pPr>
            <w:r>
              <w:rPr>
                <w:rFonts w:hint="eastAsia" w:cs="宋体"/>
                <w:szCs w:val="21"/>
              </w:rPr>
              <w:t>1.4.2</w:t>
            </w:r>
          </w:p>
        </w:tc>
        <w:tc>
          <w:tcPr>
            <w:tcW w:w="2351" w:type="dxa"/>
            <w:gridSpan w:val="2"/>
            <w:tcBorders>
              <w:top w:val="single" w:color="auto" w:sz="4" w:space="0"/>
              <w:left w:val="nil"/>
              <w:bottom w:val="single" w:color="auto" w:sz="4" w:space="0"/>
              <w:right w:val="single" w:color="auto" w:sz="4" w:space="0"/>
            </w:tcBorders>
            <w:noWrap/>
            <w:vAlign w:val="center"/>
          </w:tcPr>
          <w:p w14:paraId="7705C68F">
            <w:pPr>
              <w:jc w:val="center"/>
              <w:rPr>
                <w:rFonts w:cs="宋体"/>
                <w:szCs w:val="21"/>
              </w:rPr>
            </w:pPr>
            <w:r>
              <w:rPr>
                <w:rFonts w:hint="eastAsia" w:cs="宋体"/>
                <w:szCs w:val="21"/>
              </w:rPr>
              <w:t>是否接受联合体投标</w:t>
            </w:r>
          </w:p>
        </w:tc>
        <w:tc>
          <w:tcPr>
            <w:tcW w:w="6237" w:type="dxa"/>
            <w:tcBorders>
              <w:top w:val="single" w:color="auto" w:sz="4" w:space="0"/>
              <w:left w:val="nil"/>
              <w:bottom w:val="single" w:color="auto" w:sz="4" w:space="0"/>
              <w:right w:val="single" w:color="auto" w:sz="4" w:space="0"/>
            </w:tcBorders>
            <w:noWrap/>
            <w:vAlign w:val="center"/>
          </w:tcPr>
          <w:p w14:paraId="6B6425F0">
            <w:pPr>
              <w:rPr>
                <w:rFonts w:cs="宋体"/>
                <w:szCs w:val="21"/>
              </w:rPr>
            </w:pPr>
            <w:r>
              <w:rPr>
                <w:rFonts w:hint="eastAsia" w:cs="宋体"/>
                <w:szCs w:val="21"/>
              </w:rPr>
              <w:fldChar w:fldCharType="begin"/>
            </w:r>
            <w:r>
              <w:rPr>
                <w:rFonts w:hint="eastAsia" w:cs="宋体"/>
                <w:szCs w:val="21"/>
              </w:rPr>
              <w:instrText xml:space="preserve"> eq \o\ac(□,√)</w:instrText>
            </w:r>
            <w:r>
              <w:rPr>
                <w:rFonts w:hint="eastAsia" w:cs="宋体"/>
                <w:szCs w:val="21"/>
              </w:rPr>
              <w:fldChar w:fldCharType="end"/>
            </w:r>
            <w:r>
              <w:rPr>
                <w:rFonts w:hint="eastAsia" w:cs="宋体"/>
                <w:szCs w:val="21"/>
              </w:rPr>
              <w:t>不接受 </w:t>
            </w:r>
          </w:p>
        </w:tc>
      </w:tr>
      <w:tr w14:paraId="043351D7">
        <w:tblPrEx>
          <w:tblCellMar>
            <w:top w:w="0" w:type="dxa"/>
            <w:left w:w="108" w:type="dxa"/>
            <w:bottom w:w="0" w:type="dxa"/>
            <w:right w:w="108" w:type="dxa"/>
          </w:tblCellMar>
        </w:tblPrEx>
        <w:trPr>
          <w:trHeight w:val="705"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55F5A985">
            <w:pPr>
              <w:jc w:val="center"/>
              <w:rPr>
                <w:rFonts w:cs="宋体"/>
                <w:szCs w:val="21"/>
              </w:rPr>
            </w:pPr>
            <w:r>
              <w:rPr>
                <w:rFonts w:hint="eastAsia" w:cs="宋体"/>
                <w:szCs w:val="21"/>
              </w:rPr>
              <w:t>1.9.1</w:t>
            </w:r>
          </w:p>
        </w:tc>
        <w:tc>
          <w:tcPr>
            <w:tcW w:w="2351" w:type="dxa"/>
            <w:gridSpan w:val="2"/>
            <w:tcBorders>
              <w:top w:val="single" w:color="auto" w:sz="4" w:space="0"/>
              <w:left w:val="nil"/>
              <w:bottom w:val="single" w:color="auto" w:sz="4" w:space="0"/>
              <w:right w:val="single" w:color="auto" w:sz="4" w:space="0"/>
            </w:tcBorders>
            <w:noWrap/>
            <w:vAlign w:val="center"/>
          </w:tcPr>
          <w:p w14:paraId="228F8719">
            <w:pPr>
              <w:jc w:val="center"/>
              <w:rPr>
                <w:rFonts w:cs="宋体"/>
                <w:szCs w:val="21"/>
              </w:rPr>
            </w:pPr>
            <w:r>
              <w:rPr>
                <w:rFonts w:hint="eastAsia" w:cs="宋体"/>
                <w:szCs w:val="21"/>
              </w:rPr>
              <w:t>踏勘现场</w:t>
            </w:r>
          </w:p>
        </w:tc>
        <w:tc>
          <w:tcPr>
            <w:tcW w:w="6237" w:type="dxa"/>
            <w:tcBorders>
              <w:top w:val="single" w:color="auto" w:sz="4" w:space="0"/>
              <w:left w:val="nil"/>
              <w:bottom w:val="single" w:color="auto" w:sz="4" w:space="0"/>
              <w:right w:val="single" w:color="auto" w:sz="4" w:space="0"/>
            </w:tcBorders>
            <w:noWrap/>
            <w:vAlign w:val="center"/>
          </w:tcPr>
          <w:p w14:paraId="2067B919">
            <w:pPr>
              <w:rPr>
                <w:rFonts w:cs="宋体"/>
                <w:szCs w:val="21"/>
              </w:rPr>
            </w:pPr>
            <w:r>
              <w:rPr>
                <w:rFonts w:hint="eastAsia" w:cs="宋体"/>
                <w:szCs w:val="21"/>
              </w:rPr>
              <w:fldChar w:fldCharType="begin"/>
            </w:r>
            <w:r>
              <w:rPr>
                <w:rFonts w:hint="eastAsia" w:cs="宋体"/>
                <w:szCs w:val="21"/>
              </w:rPr>
              <w:instrText xml:space="preserve"> eq \o\ac(□)</w:instrText>
            </w:r>
            <w:r>
              <w:rPr>
                <w:rFonts w:hint="eastAsia" w:cs="宋体"/>
                <w:szCs w:val="21"/>
              </w:rPr>
              <w:fldChar w:fldCharType="end"/>
            </w:r>
            <w:r>
              <w:rPr>
                <w:rFonts w:hint="eastAsia" w:cs="宋体"/>
                <w:szCs w:val="21"/>
              </w:rPr>
              <w:t>组织</w:t>
            </w:r>
          </w:p>
          <w:p w14:paraId="36CA640C">
            <w:pPr>
              <w:rPr>
                <w:rFonts w:cs="宋体"/>
                <w:szCs w:val="21"/>
              </w:rPr>
            </w:pPr>
            <w:r>
              <w:rPr>
                <w:rFonts w:hint="eastAsia" w:cs="宋体"/>
                <w:szCs w:val="21"/>
              </w:rPr>
              <w:fldChar w:fldCharType="begin"/>
            </w:r>
            <w:r>
              <w:rPr>
                <w:rFonts w:hint="eastAsia" w:cs="宋体"/>
                <w:szCs w:val="21"/>
              </w:rPr>
              <w:instrText xml:space="preserve"> eq \o\ac(□,√)</w:instrText>
            </w:r>
            <w:r>
              <w:rPr>
                <w:rFonts w:hint="eastAsia" w:cs="宋体"/>
                <w:szCs w:val="21"/>
              </w:rPr>
              <w:fldChar w:fldCharType="end"/>
            </w:r>
            <w:r>
              <w:rPr>
                <w:rFonts w:hint="eastAsia" w:cs="宋体"/>
                <w:szCs w:val="21"/>
              </w:rPr>
              <w:t>不组织，投标人自行前往现场踏勘</w:t>
            </w:r>
          </w:p>
        </w:tc>
      </w:tr>
      <w:tr w14:paraId="607AF5B9">
        <w:tblPrEx>
          <w:tblCellMar>
            <w:top w:w="0" w:type="dxa"/>
            <w:left w:w="108" w:type="dxa"/>
            <w:bottom w:w="0" w:type="dxa"/>
            <w:right w:w="108" w:type="dxa"/>
          </w:tblCellMar>
        </w:tblPrEx>
        <w:trPr>
          <w:trHeight w:val="581"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06DC8068">
            <w:pPr>
              <w:jc w:val="center"/>
              <w:rPr>
                <w:rFonts w:cs="宋体"/>
                <w:szCs w:val="21"/>
              </w:rPr>
            </w:pPr>
            <w:r>
              <w:rPr>
                <w:rFonts w:hint="eastAsia" w:cs="宋体"/>
                <w:szCs w:val="21"/>
              </w:rPr>
              <w:t>1.10.1</w:t>
            </w:r>
          </w:p>
        </w:tc>
        <w:tc>
          <w:tcPr>
            <w:tcW w:w="2351" w:type="dxa"/>
            <w:gridSpan w:val="2"/>
            <w:tcBorders>
              <w:top w:val="single" w:color="auto" w:sz="4" w:space="0"/>
              <w:left w:val="nil"/>
              <w:bottom w:val="single" w:color="auto" w:sz="4" w:space="0"/>
              <w:right w:val="single" w:color="auto" w:sz="4" w:space="0"/>
            </w:tcBorders>
            <w:noWrap/>
            <w:vAlign w:val="center"/>
          </w:tcPr>
          <w:p w14:paraId="7B91DAC4">
            <w:pPr>
              <w:jc w:val="center"/>
              <w:rPr>
                <w:rFonts w:cs="宋体"/>
                <w:szCs w:val="21"/>
              </w:rPr>
            </w:pPr>
            <w:r>
              <w:rPr>
                <w:rFonts w:hint="eastAsia" w:cs="宋体"/>
                <w:szCs w:val="21"/>
              </w:rPr>
              <w:t>投标预备会</w:t>
            </w:r>
          </w:p>
        </w:tc>
        <w:tc>
          <w:tcPr>
            <w:tcW w:w="6237" w:type="dxa"/>
            <w:tcBorders>
              <w:top w:val="single" w:color="auto" w:sz="4" w:space="0"/>
              <w:left w:val="nil"/>
              <w:bottom w:val="single" w:color="auto" w:sz="4" w:space="0"/>
              <w:right w:val="single" w:color="auto" w:sz="4" w:space="0"/>
            </w:tcBorders>
            <w:noWrap/>
            <w:vAlign w:val="center"/>
          </w:tcPr>
          <w:p w14:paraId="5B75A26B">
            <w:pPr>
              <w:rPr>
                <w:rFonts w:cs="宋体"/>
                <w:szCs w:val="21"/>
              </w:rPr>
            </w:pPr>
            <w:r>
              <w:rPr>
                <w:rFonts w:hint="eastAsia" w:cs="宋体"/>
                <w:szCs w:val="21"/>
              </w:rPr>
              <w:fldChar w:fldCharType="begin"/>
            </w:r>
            <w:r>
              <w:rPr>
                <w:rFonts w:hint="eastAsia" w:cs="宋体"/>
                <w:szCs w:val="21"/>
              </w:rPr>
              <w:instrText xml:space="preserve"> eq \o\ac(□,√)</w:instrText>
            </w:r>
            <w:r>
              <w:rPr>
                <w:rFonts w:hint="eastAsia" w:cs="宋体"/>
                <w:szCs w:val="21"/>
              </w:rPr>
              <w:fldChar w:fldCharType="end"/>
            </w:r>
            <w:r>
              <w:rPr>
                <w:rFonts w:hint="eastAsia" w:cs="宋体"/>
                <w:szCs w:val="21"/>
              </w:rPr>
              <w:t>不召开</w:t>
            </w:r>
          </w:p>
        </w:tc>
      </w:tr>
      <w:tr w14:paraId="541980BA">
        <w:tblPrEx>
          <w:tblCellMar>
            <w:top w:w="0" w:type="dxa"/>
            <w:left w:w="108" w:type="dxa"/>
            <w:bottom w:w="0" w:type="dxa"/>
            <w:right w:w="108" w:type="dxa"/>
          </w:tblCellMar>
        </w:tblPrEx>
        <w:trPr>
          <w:trHeight w:val="1048"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50409371">
            <w:pPr>
              <w:jc w:val="center"/>
              <w:rPr>
                <w:rFonts w:cs="宋体"/>
                <w:szCs w:val="21"/>
              </w:rPr>
            </w:pPr>
            <w:r>
              <w:rPr>
                <w:rFonts w:hint="eastAsia" w:cs="宋体"/>
                <w:szCs w:val="21"/>
              </w:rPr>
              <w:t>1.10.3</w:t>
            </w:r>
          </w:p>
        </w:tc>
        <w:tc>
          <w:tcPr>
            <w:tcW w:w="2351" w:type="dxa"/>
            <w:gridSpan w:val="2"/>
            <w:tcBorders>
              <w:top w:val="single" w:color="auto" w:sz="4" w:space="0"/>
              <w:left w:val="nil"/>
              <w:bottom w:val="single" w:color="auto" w:sz="4" w:space="0"/>
              <w:right w:val="single" w:color="auto" w:sz="4" w:space="0"/>
            </w:tcBorders>
            <w:noWrap/>
            <w:vAlign w:val="center"/>
          </w:tcPr>
          <w:p w14:paraId="0E375957">
            <w:pPr>
              <w:jc w:val="center"/>
              <w:rPr>
                <w:rFonts w:cs="宋体"/>
                <w:szCs w:val="21"/>
              </w:rPr>
            </w:pPr>
            <w:r>
              <w:rPr>
                <w:rFonts w:hint="eastAsia" w:cs="宋体"/>
                <w:szCs w:val="21"/>
              </w:rPr>
              <w:t>招标人书面澄清的时间（若有）</w:t>
            </w:r>
          </w:p>
        </w:tc>
        <w:tc>
          <w:tcPr>
            <w:tcW w:w="6237" w:type="dxa"/>
            <w:tcBorders>
              <w:top w:val="single" w:color="auto" w:sz="4" w:space="0"/>
              <w:left w:val="nil"/>
              <w:bottom w:val="single" w:color="auto" w:sz="4" w:space="0"/>
              <w:right w:val="single" w:color="auto" w:sz="4" w:space="0"/>
            </w:tcBorders>
            <w:noWrap/>
            <w:vAlign w:val="center"/>
          </w:tcPr>
          <w:p w14:paraId="457765AA">
            <w:pPr>
              <w:rPr>
                <w:rFonts w:cs="宋体"/>
                <w:szCs w:val="21"/>
              </w:rPr>
            </w:pPr>
            <w:r>
              <w:rPr>
                <w:rFonts w:hint="eastAsia" w:cs="宋体"/>
                <w:szCs w:val="21"/>
              </w:rPr>
              <w:t>2026年 月 日 17时00分</w:t>
            </w:r>
          </w:p>
        </w:tc>
      </w:tr>
      <w:tr w14:paraId="0C4D522D">
        <w:tblPrEx>
          <w:tblCellMar>
            <w:top w:w="0" w:type="dxa"/>
            <w:left w:w="108" w:type="dxa"/>
            <w:bottom w:w="0" w:type="dxa"/>
            <w:right w:w="108" w:type="dxa"/>
          </w:tblCellMar>
        </w:tblPrEx>
        <w:trPr>
          <w:trHeight w:val="613"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7DB4245C">
            <w:pPr>
              <w:jc w:val="center"/>
              <w:rPr>
                <w:rFonts w:cs="宋体"/>
                <w:szCs w:val="21"/>
              </w:rPr>
            </w:pPr>
            <w:r>
              <w:rPr>
                <w:rFonts w:hint="eastAsia" w:cs="宋体"/>
                <w:szCs w:val="21"/>
              </w:rPr>
              <w:t>1.11</w:t>
            </w:r>
          </w:p>
        </w:tc>
        <w:tc>
          <w:tcPr>
            <w:tcW w:w="2351" w:type="dxa"/>
            <w:gridSpan w:val="2"/>
            <w:tcBorders>
              <w:top w:val="single" w:color="auto" w:sz="4" w:space="0"/>
              <w:left w:val="nil"/>
              <w:bottom w:val="single" w:color="auto" w:sz="4" w:space="0"/>
              <w:right w:val="single" w:color="auto" w:sz="4" w:space="0"/>
            </w:tcBorders>
            <w:noWrap/>
            <w:vAlign w:val="center"/>
          </w:tcPr>
          <w:p w14:paraId="65E79C2D">
            <w:pPr>
              <w:jc w:val="center"/>
              <w:rPr>
                <w:rFonts w:cs="宋体"/>
                <w:szCs w:val="21"/>
              </w:rPr>
            </w:pPr>
            <w:r>
              <w:rPr>
                <w:rFonts w:hint="eastAsia" w:cs="宋体"/>
                <w:szCs w:val="21"/>
              </w:rPr>
              <w:t>分包</w:t>
            </w:r>
          </w:p>
        </w:tc>
        <w:tc>
          <w:tcPr>
            <w:tcW w:w="6237" w:type="dxa"/>
            <w:tcBorders>
              <w:top w:val="single" w:color="auto" w:sz="4" w:space="0"/>
              <w:left w:val="nil"/>
              <w:bottom w:val="single" w:color="auto" w:sz="4" w:space="0"/>
              <w:right w:val="single" w:color="auto" w:sz="4" w:space="0"/>
            </w:tcBorders>
            <w:noWrap/>
            <w:vAlign w:val="center"/>
          </w:tcPr>
          <w:p w14:paraId="3C5085CC">
            <w:pPr>
              <w:jc w:val="left"/>
              <w:rPr>
                <w:rFonts w:cs="宋体"/>
                <w:szCs w:val="21"/>
              </w:rPr>
            </w:pPr>
            <w:r>
              <w:rPr>
                <w:rFonts w:hint="eastAsia" w:cs="宋体"/>
                <w:szCs w:val="21"/>
              </w:rPr>
              <w:fldChar w:fldCharType="begin"/>
            </w:r>
            <w:r>
              <w:rPr>
                <w:rFonts w:hint="eastAsia" w:cs="宋体"/>
                <w:szCs w:val="21"/>
              </w:rPr>
              <w:instrText xml:space="preserve"> eq \o\ac(□,√)</w:instrText>
            </w:r>
            <w:r>
              <w:rPr>
                <w:rFonts w:hint="eastAsia" w:cs="宋体"/>
                <w:szCs w:val="21"/>
              </w:rPr>
              <w:fldChar w:fldCharType="end"/>
            </w:r>
            <w:r>
              <w:rPr>
                <w:rFonts w:hint="eastAsia" w:cs="宋体"/>
                <w:szCs w:val="21"/>
              </w:rPr>
              <w:t>不允许。</w:t>
            </w:r>
          </w:p>
        </w:tc>
      </w:tr>
      <w:tr w14:paraId="5887ACB7">
        <w:tblPrEx>
          <w:tblCellMar>
            <w:top w:w="0" w:type="dxa"/>
            <w:left w:w="108" w:type="dxa"/>
            <w:bottom w:w="0" w:type="dxa"/>
            <w:right w:w="108" w:type="dxa"/>
          </w:tblCellMar>
        </w:tblPrEx>
        <w:trPr>
          <w:trHeight w:val="1745"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7C3C4614">
            <w:pPr>
              <w:jc w:val="center"/>
              <w:rPr>
                <w:rFonts w:cs="宋体"/>
                <w:b/>
                <w:bCs/>
                <w:szCs w:val="21"/>
              </w:rPr>
            </w:pPr>
            <w:r>
              <w:rPr>
                <w:rFonts w:hint="eastAsia" w:cs="宋体"/>
                <w:b/>
                <w:bCs/>
                <w:szCs w:val="21"/>
              </w:rPr>
              <w:t>1.12</w:t>
            </w:r>
          </w:p>
        </w:tc>
        <w:tc>
          <w:tcPr>
            <w:tcW w:w="2351" w:type="dxa"/>
            <w:gridSpan w:val="2"/>
            <w:tcBorders>
              <w:top w:val="single" w:color="auto" w:sz="4" w:space="0"/>
              <w:left w:val="nil"/>
              <w:bottom w:val="single" w:color="auto" w:sz="4" w:space="0"/>
              <w:right w:val="single" w:color="auto" w:sz="4" w:space="0"/>
            </w:tcBorders>
            <w:noWrap/>
            <w:vAlign w:val="center"/>
          </w:tcPr>
          <w:p w14:paraId="0078257C">
            <w:pPr>
              <w:jc w:val="center"/>
              <w:rPr>
                <w:rFonts w:cs="宋体"/>
                <w:b/>
                <w:bCs/>
                <w:szCs w:val="21"/>
              </w:rPr>
            </w:pPr>
            <w:r>
              <w:rPr>
                <w:rFonts w:hint="eastAsia" w:cs="宋体"/>
                <w:b/>
                <w:bCs/>
                <w:szCs w:val="21"/>
              </w:rPr>
              <w:t>偏离</w:t>
            </w:r>
          </w:p>
        </w:tc>
        <w:tc>
          <w:tcPr>
            <w:tcW w:w="6237" w:type="dxa"/>
            <w:tcBorders>
              <w:top w:val="single" w:color="auto" w:sz="4" w:space="0"/>
              <w:left w:val="nil"/>
              <w:bottom w:val="single" w:color="auto" w:sz="4" w:space="0"/>
              <w:right w:val="single" w:color="auto" w:sz="4" w:space="0"/>
            </w:tcBorders>
            <w:noWrap/>
            <w:vAlign w:val="center"/>
          </w:tcPr>
          <w:p w14:paraId="30D5D398">
            <w:pPr>
              <w:rPr>
                <w:rFonts w:cs="宋体"/>
                <w:b/>
                <w:bCs/>
                <w:szCs w:val="21"/>
              </w:rPr>
            </w:pPr>
            <w:r>
              <w:rPr>
                <w:rFonts w:hint="eastAsia" w:cs="宋体"/>
                <w:b/>
                <w:bCs/>
                <w:szCs w:val="21"/>
              </w:rPr>
              <w:t>计算偏差绝对值累计少于投标总价3%的视为已经分配在其他项目中而不予以调整，计算偏差绝对值累计大于等于投标总价3%的经评标委员会认定后作否决投标处理。其它偏差按招标文件相关规定执行。</w:t>
            </w:r>
          </w:p>
        </w:tc>
      </w:tr>
      <w:tr w14:paraId="7F92F59A">
        <w:tblPrEx>
          <w:tblCellMar>
            <w:top w:w="0" w:type="dxa"/>
            <w:left w:w="108" w:type="dxa"/>
            <w:bottom w:w="0" w:type="dxa"/>
            <w:right w:w="108" w:type="dxa"/>
          </w:tblCellMar>
        </w:tblPrEx>
        <w:trPr>
          <w:trHeight w:val="1252"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1EE30389">
            <w:pPr>
              <w:jc w:val="center"/>
              <w:rPr>
                <w:rFonts w:cs="宋体"/>
                <w:szCs w:val="21"/>
              </w:rPr>
            </w:pPr>
            <w:r>
              <w:rPr>
                <w:rFonts w:hint="eastAsia" w:cs="宋体"/>
                <w:szCs w:val="21"/>
              </w:rPr>
              <w:t>2.1</w:t>
            </w:r>
          </w:p>
        </w:tc>
        <w:tc>
          <w:tcPr>
            <w:tcW w:w="2351" w:type="dxa"/>
            <w:gridSpan w:val="2"/>
            <w:tcBorders>
              <w:top w:val="single" w:color="auto" w:sz="4" w:space="0"/>
              <w:left w:val="nil"/>
              <w:bottom w:val="single" w:color="auto" w:sz="4" w:space="0"/>
              <w:right w:val="single" w:color="auto" w:sz="4" w:space="0"/>
            </w:tcBorders>
            <w:noWrap/>
            <w:vAlign w:val="center"/>
          </w:tcPr>
          <w:p w14:paraId="3280B96F">
            <w:pPr>
              <w:jc w:val="center"/>
              <w:rPr>
                <w:rFonts w:cs="宋体"/>
                <w:szCs w:val="21"/>
              </w:rPr>
            </w:pPr>
            <w:r>
              <w:rPr>
                <w:rFonts w:hint="eastAsia" w:cs="宋体"/>
                <w:szCs w:val="21"/>
              </w:rPr>
              <w:t>构成招标文件的其他材料</w:t>
            </w:r>
          </w:p>
        </w:tc>
        <w:tc>
          <w:tcPr>
            <w:tcW w:w="6237" w:type="dxa"/>
            <w:tcBorders>
              <w:top w:val="single" w:color="auto" w:sz="4" w:space="0"/>
              <w:left w:val="nil"/>
              <w:bottom w:val="single" w:color="auto" w:sz="4" w:space="0"/>
              <w:right w:val="single" w:color="auto" w:sz="4" w:space="0"/>
            </w:tcBorders>
            <w:noWrap/>
            <w:vAlign w:val="center"/>
          </w:tcPr>
          <w:p w14:paraId="29198F42">
            <w:pPr>
              <w:rPr>
                <w:rFonts w:cs="宋体"/>
                <w:szCs w:val="21"/>
              </w:rPr>
            </w:pPr>
            <w:r>
              <w:rPr>
                <w:rFonts w:hint="eastAsia" w:cs="宋体"/>
                <w:szCs w:val="21"/>
              </w:rPr>
              <w:t>（1）工程量清单</w:t>
            </w:r>
          </w:p>
          <w:p w14:paraId="11AE5935">
            <w:pPr>
              <w:rPr>
                <w:rFonts w:cs="宋体"/>
                <w:szCs w:val="21"/>
              </w:rPr>
            </w:pPr>
            <w:r>
              <w:rPr>
                <w:rFonts w:hint="eastAsia" w:cs="宋体"/>
                <w:szCs w:val="21"/>
              </w:rPr>
              <w:t>（2）图纸</w:t>
            </w:r>
          </w:p>
          <w:p w14:paraId="4B9CF738">
            <w:pPr>
              <w:pStyle w:val="24"/>
              <w:rPr>
                <w:rFonts w:cs="宋体"/>
                <w:sz w:val="21"/>
                <w:szCs w:val="21"/>
                <w:lang w:val="en-US"/>
              </w:rPr>
            </w:pPr>
            <w:r>
              <w:rPr>
                <w:rFonts w:hint="eastAsia" w:cs="宋体"/>
                <w:sz w:val="21"/>
                <w:szCs w:val="21"/>
              </w:rPr>
              <w:t>（</w:t>
            </w:r>
            <w:r>
              <w:rPr>
                <w:rFonts w:hint="eastAsia" w:cs="宋体"/>
                <w:sz w:val="21"/>
                <w:szCs w:val="21"/>
                <w:lang w:val="en-US"/>
              </w:rPr>
              <w:t>3</w:t>
            </w:r>
            <w:r>
              <w:rPr>
                <w:rFonts w:hint="eastAsia" w:cs="宋体"/>
                <w:sz w:val="21"/>
                <w:szCs w:val="21"/>
              </w:rPr>
              <w:t>）</w:t>
            </w:r>
            <w:r>
              <w:rPr>
                <w:rFonts w:hint="eastAsia" w:cs="宋体"/>
                <w:sz w:val="21"/>
                <w:szCs w:val="21"/>
                <w:lang w:val="en-US"/>
              </w:rPr>
              <w:t>其他组成招标文件内容</w:t>
            </w:r>
          </w:p>
        </w:tc>
      </w:tr>
      <w:tr w14:paraId="29308AD7">
        <w:tblPrEx>
          <w:tblCellMar>
            <w:top w:w="0" w:type="dxa"/>
            <w:left w:w="108" w:type="dxa"/>
            <w:bottom w:w="0" w:type="dxa"/>
            <w:right w:w="108" w:type="dxa"/>
          </w:tblCellMar>
        </w:tblPrEx>
        <w:trPr>
          <w:trHeight w:val="4500"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50AD6433">
            <w:pPr>
              <w:jc w:val="center"/>
              <w:rPr>
                <w:rFonts w:cs="宋体"/>
                <w:szCs w:val="21"/>
              </w:rPr>
            </w:pPr>
            <w:r>
              <w:rPr>
                <w:rFonts w:hint="eastAsia" w:cs="宋体"/>
                <w:szCs w:val="21"/>
              </w:rPr>
              <w:t>2.2.1</w:t>
            </w:r>
          </w:p>
        </w:tc>
        <w:tc>
          <w:tcPr>
            <w:tcW w:w="2351" w:type="dxa"/>
            <w:gridSpan w:val="2"/>
            <w:tcBorders>
              <w:top w:val="single" w:color="auto" w:sz="4" w:space="0"/>
              <w:left w:val="nil"/>
              <w:bottom w:val="single" w:color="auto" w:sz="4" w:space="0"/>
              <w:right w:val="single" w:color="auto" w:sz="4" w:space="0"/>
            </w:tcBorders>
            <w:noWrap/>
            <w:vAlign w:val="center"/>
          </w:tcPr>
          <w:p w14:paraId="558E021B">
            <w:pPr>
              <w:pStyle w:val="24"/>
              <w:spacing w:line="288" w:lineRule="auto"/>
              <w:rPr>
                <w:rFonts w:cs="宋体"/>
                <w:sz w:val="21"/>
                <w:szCs w:val="21"/>
                <w:lang w:val="en-US"/>
              </w:rPr>
            </w:pPr>
            <w:r>
              <w:rPr>
                <w:rFonts w:hint="eastAsia" w:cs="宋体"/>
                <w:sz w:val="21"/>
                <w:szCs w:val="21"/>
                <w:lang w:val="en-US"/>
              </w:rPr>
              <w:t>投标人要求澄清招标文件的截止时间</w:t>
            </w:r>
          </w:p>
        </w:tc>
        <w:tc>
          <w:tcPr>
            <w:tcW w:w="6237" w:type="dxa"/>
            <w:tcBorders>
              <w:top w:val="single" w:color="auto" w:sz="4" w:space="0"/>
              <w:left w:val="nil"/>
              <w:bottom w:val="single" w:color="auto" w:sz="4" w:space="0"/>
              <w:right w:val="single" w:color="auto" w:sz="4" w:space="0"/>
            </w:tcBorders>
            <w:noWrap/>
            <w:vAlign w:val="center"/>
          </w:tcPr>
          <w:p w14:paraId="376551B6">
            <w:pPr>
              <w:pStyle w:val="24"/>
              <w:spacing w:line="288" w:lineRule="auto"/>
              <w:rPr>
                <w:rFonts w:cs="宋体"/>
                <w:sz w:val="21"/>
                <w:szCs w:val="21"/>
                <w:lang w:val="en-US"/>
              </w:rPr>
            </w:pPr>
            <w:r>
              <w:rPr>
                <w:rFonts w:hint="eastAsia" w:cs="宋体"/>
                <w:sz w:val="21"/>
                <w:szCs w:val="21"/>
                <w:lang w:val="en-US"/>
              </w:rPr>
              <w:t>1.招标人对已发出的招标文件进行必要的澄清、修改、补充等时，将在招标公告规定的投标截止时间10日前，将在浙江省海港集团、宁波舟山港集团网站（http://hgdzzb.nbport.com.cn/）、温州港集团有限公司网站（https://www.wzport.com/wzport/wzgzz/yggc/zbgg/index.htm）上发布向所有投标人公告信息，投标人应自行查看上述内容，不须作收到确认，澄清、修改、补充的内容作为招标文件的组成部分。招标人根据实际情况，作出延长投标截止时间和开标时间的决定，并发布变更公告。</w:t>
            </w:r>
          </w:p>
          <w:p w14:paraId="6128ADDA">
            <w:pPr>
              <w:pStyle w:val="24"/>
              <w:spacing w:line="288" w:lineRule="auto"/>
              <w:rPr>
                <w:rFonts w:cs="宋体"/>
                <w:sz w:val="21"/>
                <w:szCs w:val="21"/>
                <w:lang w:val="en-US"/>
              </w:rPr>
            </w:pPr>
            <w:r>
              <w:rPr>
                <w:rFonts w:hint="eastAsia" w:cs="宋体"/>
                <w:sz w:val="21"/>
                <w:szCs w:val="21"/>
                <w:lang w:val="en-US"/>
              </w:rPr>
              <w:t>2.购买招标文件的潜在投标人对招标文件有异议，应在投标截止时间10日前书面提出。逾期提出的将不予受理。对招标文件的异议应有法定代表人或其委托代理人签字，并盖投标人公章和注明日期。</w:t>
            </w:r>
          </w:p>
          <w:p w14:paraId="54837D0B">
            <w:pPr>
              <w:pStyle w:val="24"/>
              <w:spacing w:line="288" w:lineRule="auto"/>
              <w:rPr>
                <w:rFonts w:cs="宋体"/>
                <w:sz w:val="21"/>
                <w:szCs w:val="21"/>
                <w:lang w:val="en-US"/>
              </w:rPr>
            </w:pPr>
            <w:r>
              <w:rPr>
                <w:rFonts w:hint="eastAsia" w:cs="宋体"/>
                <w:sz w:val="21"/>
                <w:szCs w:val="21"/>
                <w:lang w:val="en-US"/>
              </w:rPr>
              <w:t>3.没有提出异议且又参与了该项目投标的服务商将被视为完全认同招标文件。</w:t>
            </w:r>
          </w:p>
        </w:tc>
      </w:tr>
      <w:tr w14:paraId="439925BD">
        <w:tblPrEx>
          <w:tblCellMar>
            <w:top w:w="0" w:type="dxa"/>
            <w:left w:w="108" w:type="dxa"/>
            <w:bottom w:w="0" w:type="dxa"/>
            <w:right w:w="108" w:type="dxa"/>
          </w:tblCellMar>
        </w:tblPrEx>
        <w:trPr>
          <w:trHeight w:val="1846"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736252F4">
            <w:pPr>
              <w:jc w:val="center"/>
              <w:rPr>
                <w:rFonts w:cs="宋体"/>
                <w:szCs w:val="21"/>
              </w:rPr>
            </w:pPr>
            <w:r>
              <w:rPr>
                <w:rFonts w:hint="eastAsia" w:cs="宋体"/>
                <w:szCs w:val="21"/>
              </w:rPr>
              <w:t>2.2.2</w:t>
            </w:r>
          </w:p>
        </w:tc>
        <w:tc>
          <w:tcPr>
            <w:tcW w:w="2351" w:type="dxa"/>
            <w:gridSpan w:val="2"/>
            <w:tcBorders>
              <w:top w:val="single" w:color="auto" w:sz="4" w:space="0"/>
              <w:left w:val="nil"/>
              <w:bottom w:val="single" w:color="auto" w:sz="4" w:space="0"/>
              <w:right w:val="single" w:color="auto" w:sz="4" w:space="0"/>
            </w:tcBorders>
            <w:noWrap/>
            <w:vAlign w:val="center"/>
          </w:tcPr>
          <w:p w14:paraId="27ADC798">
            <w:pPr>
              <w:jc w:val="center"/>
              <w:rPr>
                <w:rFonts w:cs="宋体"/>
                <w:szCs w:val="21"/>
              </w:rPr>
            </w:pPr>
            <w:r>
              <w:rPr>
                <w:rFonts w:hint="eastAsia" w:cs="宋体"/>
                <w:szCs w:val="21"/>
              </w:rPr>
              <w:t>投标人确认收到招标文件澄清的时间和方式</w:t>
            </w:r>
          </w:p>
        </w:tc>
        <w:tc>
          <w:tcPr>
            <w:tcW w:w="6237" w:type="dxa"/>
            <w:tcBorders>
              <w:top w:val="single" w:color="auto" w:sz="4" w:space="0"/>
              <w:left w:val="nil"/>
              <w:bottom w:val="single" w:color="auto" w:sz="4" w:space="0"/>
              <w:right w:val="single" w:color="auto" w:sz="4" w:space="0"/>
            </w:tcBorders>
            <w:noWrap/>
            <w:vAlign w:val="center"/>
          </w:tcPr>
          <w:p w14:paraId="6979D52A">
            <w:pPr>
              <w:rPr>
                <w:rFonts w:cs="宋体"/>
                <w:szCs w:val="21"/>
              </w:rPr>
            </w:pPr>
            <w:r>
              <w:rPr>
                <w:rFonts w:hint="eastAsia" w:cs="宋体"/>
                <w:szCs w:val="21"/>
              </w:rPr>
              <w:t>本工程招标文件的澄清、修改、补充等内容在浙江省海港集团、宁波舟山港集团网站上发布信息向所有投标人公告，投标人应自行察看并下载上述内容，不须作收到确认。请各投标人关注网站上的补充答疑，已公布的补充答疑投标人未查看的，投标人自行承担其后果。</w:t>
            </w:r>
          </w:p>
        </w:tc>
      </w:tr>
      <w:tr w14:paraId="61F9E6D5">
        <w:tblPrEx>
          <w:tblCellMar>
            <w:top w:w="0" w:type="dxa"/>
            <w:left w:w="108" w:type="dxa"/>
            <w:bottom w:w="0" w:type="dxa"/>
            <w:right w:w="108" w:type="dxa"/>
          </w:tblCellMar>
        </w:tblPrEx>
        <w:trPr>
          <w:trHeight w:val="210"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6491E6DC">
            <w:pPr>
              <w:jc w:val="center"/>
              <w:rPr>
                <w:rFonts w:cs="宋体"/>
                <w:szCs w:val="21"/>
              </w:rPr>
            </w:pPr>
            <w:r>
              <w:rPr>
                <w:rFonts w:hint="eastAsia" w:cs="宋体"/>
                <w:szCs w:val="21"/>
              </w:rPr>
              <w:t>3.1.1</w:t>
            </w:r>
          </w:p>
        </w:tc>
        <w:tc>
          <w:tcPr>
            <w:tcW w:w="2351" w:type="dxa"/>
            <w:gridSpan w:val="2"/>
            <w:tcBorders>
              <w:top w:val="single" w:color="auto" w:sz="4" w:space="0"/>
              <w:left w:val="nil"/>
              <w:bottom w:val="single" w:color="auto" w:sz="4" w:space="0"/>
              <w:right w:val="single" w:color="auto" w:sz="4" w:space="0"/>
            </w:tcBorders>
            <w:noWrap/>
            <w:vAlign w:val="center"/>
          </w:tcPr>
          <w:p w14:paraId="634B6429">
            <w:pPr>
              <w:jc w:val="center"/>
              <w:rPr>
                <w:rFonts w:cs="宋体"/>
                <w:szCs w:val="21"/>
              </w:rPr>
            </w:pPr>
            <w:r>
              <w:rPr>
                <w:rFonts w:hint="eastAsia" w:cs="宋体"/>
                <w:szCs w:val="21"/>
              </w:rPr>
              <w:t>投标文件包括的内容</w:t>
            </w:r>
          </w:p>
        </w:tc>
        <w:tc>
          <w:tcPr>
            <w:tcW w:w="6237" w:type="dxa"/>
            <w:tcBorders>
              <w:top w:val="single" w:color="auto" w:sz="4" w:space="0"/>
              <w:left w:val="nil"/>
              <w:bottom w:val="single" w:color="auto" w:sz="4" w:space="0"/>
              <w:right w:val="single" w:color="auto" w:sz="4" w:space="0"/>
            </w:tcBorders>
            <w:noWrap/>
            <w:vAlign w:val="center"/>
          </w:tcPr>
          <w:p w14:paraId="34F1E56C">
            <w:pPr>
              <w:rPr>
                <w:rFonts w:cs="宋体"/>
                <w:szCs w:val="21"/>
              </w:rPr>
            </w:pPr>
            <w:r>
              <w:rPr>
                <w:rFonts w:hint="eastAsia" w:cs="宋体"/>
                <w:szCs w:val="21"/>
              </w:rPr>
              <w:fldChar w:fldCharType="begin"/>
            </w:r>
            <w:r>
              <w:rPr>
                <w:rFonts w:hint="eastAsia" w:cs="宋体"/>
                <w:szCs w:val="21"/>
              </w:rPr>
              <w:instrText xml:space="preserve"> eq \o\ac(□,√)</w:instrText>
            </w:r>
            <w:r>
              <w:rPr>
                <w:rFonts w:hint="eastAsia" w:cs="宋体"/>
                <w:szCs w:val="21"/>
              </w:rPr>
              <w:fldChar w:fldCharType="end"/>
            </w:r>
            <w:r>
              <w:rPr>
                <w:rFonts w:hint="eastAsia" w:cs="宋体"/>
                <w:szCs w:val="21"/>
              </w:rPr>
              <w:t>商务标</w:t>
            </w:r>
          </w:p>
          <w:p w14:paraId="7D35FCF6">
            <w:pPr>
              <w:pStyle w:val="26"/>
              <w:numPr>
                <w:ilvl w:val="0"/>
                <w:numId w:val="2"/>
              </w:numPr>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投标函；</w:t>
            </w:r>
          </w:p>
          <w:p w14:paraId="2456B5C6">
            <w:pPr>
              <w:pStyle w:val="26"/>
              <w:numPr>
                <w:ilvl w:val="0"/>
                <w:numId w:val="2"/>
              </w:numPr>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法定代表人身份证明</w:t>
            </w:r>
            <w:r>
              <w:rPr>
                <w:rFonts w:hint="eastAsia" w:cs="宋体"/>
              </w:rPr>
              <w:t>、授权委托书</w:t>
            </w:r>
          </w:p>
          <w:p w14:paraId="3D49510C">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3.已标价工程量清单，包括：</w:t>
            </w:r>
          </w:p>
          <w:p w14:paraId="77977C8B">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1）投标报价封面</w:t>
            </w:r>
          </w:p>
          <w:p w14:paraId="3B5A78C7">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2）投标报价扉页</w:t>
            </w:r>
          </w:p>
          <w:p w14:paraId="150F2EA6">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3）工程量清单编制说明</w:t>
            </w:r>
          </w:p>
          <w:p w14:paraId="56821365">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4）投标报价费用表</w:t>
            </w:r>
          </w:p>
          <w:p w14:paraId="2E37A3F2">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5）单位（专业）工程投标报价费用表</w:t>
            </w:r>
          </w:p>
          <w:p w14:paraId="2E07CDCF">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6）分部分项工程和施工技术措施费项目清单与计价表</w:t>
            </w:r>
          </w:p>
          <w:p w14:paraId="5A16B589">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7）施工组织（总价）措施项目清单与计价表</w:t>
            </w:r>
          </w:p>
          <w:p w14:paraId="4E70BB49">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8）其他项目清单与计价汇总表</w:t>
            </w:r>
          </w:p>
          <w:p w14:paraId="0D3A441B">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9）暂列金额明细表</w:t>
            </w:r>
          </w:p>
          <w:p w14:paraId="276902E6">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10）材料（工程设备）暂估单价及调整表</w:t>
            </w:r>
          </w:p>
          <w:p w14:paraId="148E41D4">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11）专业工程暂估价表</w:t>
            </w:r>
          </w:p>
          <w:p w14:paraId="64DFD042">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12）专项技术措施暂估价表</w:t>
            </w:r>
          </w:p>
          <w:p w14:paraId="27A01CB8">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13）计日工表</w:t>
            </w:r>
          </w:p>
          <w:p w14:paraId="2AB79343">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14）总承包服务费计价表</w:t>
            </w:r>
          </w:p>
          <w:p w14:paraId="62C2B117">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15）主要工日一览表</w:t>
            </w:r>
          </w:p>
          <w:p w14:paraId="3C315AB9">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16）主要机械台班一览表</w:t>
            </w:r>
          </w:p>
          <w:p w14:paraId="6D27D873">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17）综合单价计算表</w:t>
            </w:r>
          </w:p>
          <w:p w14:paraId="1E535A8F">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18）投标材料设备品牌选用表</w:t>
            </w:r>
          </w:p>
          <w:p w14:paraId="249264CE">
            <w:pPr>
              <w:pStyle w:val="26"/>
              <w:wordWrap w:val="0"/>
              <w:topLinePunct/>
              <w:autoSpaceDN w:val="0"/>
              <w:snapToGrid w:val="0"/>
              <w:spacing w:line="240" w:lineRule="auto"/>
              <w:ind w:left="105" w:leftChars="50" w:right="105" w:rightChars="50"/>
              <w:textAlignment w:val="auto"/>
              <w:rPr>
                <w:rFonts w:cs="宋体"/>
                <w:b/>
                <w:szCs w:val="21"/>
              </w:rPr>
            </w:pPr>
            <w:r>
              <w:rPr>
                <w:rFonts w:hint="eastAsia" w:cs="宋体"/>
                <w:b/>
                <w:szCs w:val="21"/>
              </w:rPr>
              <w:t>（中标单位在中标后7日内提供2套纸质文本、一套软件版）</w:t>
            </w:r>
          </w:p>
          <w:p w14:paraId="0D3EDEE3">
            <w:pPr>
              <w:rPr>
                <w:rFonts w:cs="宋体"/>
                <w:szCs w:val="21"/>
              </w:rPr>
            </w:pPr>
            <w:r>
              <w:rPr>
                <w:rFonts w:hint="eastAsia" w:cs="宋体"/>
                <w:szCs w:val="21"/>
              </w:rPr>
              <w:fldChar w:fldCharType="begin"/>
            </w:r>
            <w:r>
              <w:rPr>
                <w:rFonts w:hint="eastAsia" w:cs="宋体"/>
                <w:szCs w:val="21"/>
              </w:rPr>
              <w:instrText xml:space="preserve"> eq \o\ac(□)</w:instrText>
            </w:r>
            <w:r>
              <w:rPr>
                <w:rFonts w:hint="eastAsia" w:cs="宋体"/>
                <w:szCs w:val="21"/>
              </w:rPr>
              <w:fldChar w:fldCharType="end"/>
            </w:r>
            <w:r>
              <w:rPr>
                <w:rFonts w:hint="eastAsia" w:cs="宋体"/>
                <w:szCs w:val="21"/>
              </w:rPr>
              <w:t>技术标</w:t>
            </w:r>
          </w:p>
          <w:p w14:paraId="77746521">
            <w:pPr>
              <w:pStyle w:val="11"/>
              <w:ind w:firstLine="0" w:firstLineChars="0"/>
              <w:rPr>
                <w:rFonts w:cs="宋体"/>
                <w:szCs w:val="21"/>
              </w:rPr>
            </w:pPr>
            <w:r>
              <w:rPr>
                <w:rFonts w:hint="eastAsia" w:cs="宋体"/>
                <w:szCs w:val="21"/>
              </w:rPr>
              <w:fldChar w:fldCharType="begin"/>
            </w:r>
            <w:r>
              <w:rPr>
                <w:rFonts w:hint="eastAsia" w:cs="宋体"/>
                <w:szCs w:val="21"/>
              </w:rPr>
              <w:instrText xml:space="preserve"> eq \o\ac(□,</w:instrText>
            </w:r>
            <w:r>
              <w:rPr>
                <w:rFonts w:hint="eastAsia" w:cs="宋体"/>
                <w:position w:val="2"/>
                <w:szCs w:val="21"/>
              </w:rPr>
              <w:instrText xml:space="preserve">√</w:instrText>
            </w:r>
            <w:r>
              <w:rPr>
                <w:rFonts w:hint="eastAsia" w:cs="宋体"/>
                <w:szCs w:val="21"/>
              </w:rPr>
              <w:instrText xml:space="preserve">)</w:instrText>
            </w:r>
            <w:r>
              <w:rPr>
                <w:rFonts w:hint="eastAsia" w:cs="宋体"/>
                <w:szCs w:val="21"/>
              </w:rPr>
              <w:fldChar w:fldCharType="end"/>
            </w:r>
            <w:r>
              <w:rPr>
                <w:rFonts w:hint="eastAsia" w:cs="宋体"/>
                <w:szCs w:val="21"/>
              </w:rPr>
              <w:t>资格审查资料</w:t>
            </w:r>
          </w:p>
          <w:p w14:paraId="4B06C64D">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（一）投标人基本情况表</w:t>
            </w:r>
          </w:p>
          <w:p w14:paraId="248201ED">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（二）项目管理机构一览表</w:t>
            </w:r>
          </w:p>
          <w:p w14:paraId="08B3B522">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（三）未被列入失信被执行人名单、重大税收违法案件当事人名单、未列入建筑市场主体“黑名单”、未被列入安全生产严重失信主体名单的承诺函</w:t>
            </w:r>
          </w:p>
          <w:p w14:paraId="33B88DB7">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（四）企业《安全生产许可证》证书副本、营业执照扫描件</w:t>
            </w:r>
          </w:p>
          <w:p w14:paraId="4F445D8B">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五）具备建筑装修装饰工程专业承包二级及以上资质证书副本扫描件、浙江省建筑市场监管公共服务系统”上，参与投标资质的“资质动态核查证明（证明要求：核查发布日期为投标截止日当周或前一周的任一个周一，动态核查结果：合格）</w:t>
            </w:r>
          </w:p>
          <w:p w14:paraId="0509345D">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（六）项目</w:t>
            </w:r>
            <w:r>
              <w:rPr>
                <w:rFonts w:hint="eastAsia" w:cs="宋体"/>
                <w:bCs/>
                <w:szCs w:val="21"/>
                <w:lang w:val="en-US" w:eastAsia="zh-CN"/>
              </w:rPr>
              <w:t>经理</w:t>
            </w:r>
            <w:r>
              <w:rPr>
                <w:rFonts w:hint="eastAsia" w:cs="宋体"/>
                <w:bCs/>
                <w:szCs w:val="21"/>
              </w:rPr>
              <w:t>具有有效的房屋建筑工程专业二级及以上注册建造师证书及有效的项目经理安全生产考核合格证书（B类）及社保证明扫描件（投标截止日前连续</w:t>
            </w:r>
            <w:r>
              <w:rPr>
                <w:rFonts w:cs="宋体"/>
                <w:bCs/>
                <w:szCs w:val="21"/>
              </w:rPr>
              <w:t>3个月</w:t>
            </w:r>
            <w:r>
              <w:rPr>
                <w:rFonts w:hint="eastAsia" w:cs="宋体"/>
                <w:bCs/>
                <w:szCs w:val="21"/>
              </w:rPr>
              <w:t>）</w:t>
            </w:r>
          </w:p>
          <w:p w14:paraId="20181B6F">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（七）技术负责人身份证复印件、职称证书复印件或电子打印件及社保证明复印件（</w:t>
            </w:r>
            <w:r>
              <w:rPr>
                <w:rFonts w:hint="eastAsia" w:cs="宋体"/>
                <w:kern w:val="0"/>
                <w:szCs w:val="21"/>
              </w:rPr>
              <w:t>投标截止日前连续3个月</w:t>
            </w:r>
            <w:r>
              <w:rPr>
                <w:rFonts w:hint="eastAsia" w:cs="宋体"/>
                <w:bCs/>
                <w:szCs w:val="21"/>
              </w:rPr>
              <w:t>）</w:t>
            </w:r>
          </w:p>
          <w:p w14:paraId="59D9F21F">
            <w:pPr>
              <w:pStyle w:val="26"/>
              <w:wordWrap w:val="0"/>
              <w:topLinePunct/>
              <w:autoSpaceDN w:val="0"/>
              <w:snapToGrid w:val="0"/>
              <w:spacing w:line="240" w:lineRule="auto"/>
              <w:ind w:left="105" w:leftChars="50" w:right="105" w:rightChars="50"/>
              <w:textAlignment w:val="auto"/>
              <w:rPr>
                <w:rFonts w:cs="宋体"/>
                <w:bCs/>
                <w:szCs w:val="21"/>
              </w:rPr>
            </w:pPr>
            <w:r>
              <w:rPr>
                <w:rFonts w:hint="eastAsia" w:cs="宋体"/>
                <w:bCs/>
                <w:szCs w:val="21"/>
              </w:rPr>
              <w:t>（八）项目专职安全员身份证复印件、安全生产考核合格证书（C 类）复印件或电子打印件及社保证明复印件（</w:t>
            </w:r>
            <w:r>
              <w:rPr>
                <w:rFonts w:hint="eastAsia" w:cs="宋体"/>
                <w:kern w:val="0"/>
                <w:szCs w:val="21"/>
              </w:rPr>
              <w:t>投标截止日前连续3个月</w:t>
            </w:r>
            <w:r>
              <w:rPr>
                <w:rFonts w:hint="eastAsia" w:cs="宋体"/>
                <w:bCs/>
                <w:szCs w:val="21"/>
              </w:rPr>
              <w:t>）</w:t>
            </w:r>
          </w:p>
          <w:p w14:paraId="58AE82EE">
            <w:pPr>
              <w:rPr>
                <w:rFonts w:cs="宋体"/>
              </w:rPr>
            </w:pPr>
            <w:r>
              <w:rPr>
                <w:rFonts w:hint="eastAsia" w:cs="宋体"/>
              </w:rPr>
              <w:t>（九）投标承诺函</w:t>
            </w:r>
          </w:p>
          <w:p w14:paraId="2E6D33B9">
            <w:pPr>
              <w:rPr>
                <w:rFonts w:cs="宋体"/>
              </w:rPr>
            </w:pPr>
            <w:r>
              <w:rPr>
                <w:rFonts w:hint="eastAsia" w:cs="宋体"/>
              </w:rPr>
              <w:t>（十）企业主要负责人的“三类人员”A类证书，企业主要负责人包括企业法定代表人、企业分管安全生产的副经理。</w:t>
            </w:r>
          </w:p>
          <w:p w14:paraId="6191D68A">
            <w:pPr>
              <w:rPr>
                <w:rFonts w:cs="宋体"/>
              </w:rPr>
            </w:pPr>
            <w:r>
              <w:rPr>
                <w:rFonts w:hint="eastAsia" w:cs="宋体"/>
              </w:rPr>
              <w:t>（十一）企业分管安全生产副经理的任职文件扫描件</w:t>
            </w:r>
          </w:p>
          <w:p w14:paraId="0B2BF1D8">
            <w:pPr>
              <w:rPr>
                <w:rFonts w:cs="宋体"/>
              </w:rPr>
            </w:pPr>
            <w:r>
              <w:rPr>
                <w:rFonts w:hint="eastAsia" w:cs="宋体"/>
              </w:rPr>
              <w:t>（十二）其他材料（如有）</w:t>
            </w:r>
          </w:p>
          <w:p w14:paraId="42A4DD30">
            <w:pPr>
              <w:pStyle w:val="26"/>
              <w:wordWrap w:val="0"/>
              <w:topLinePunct/>
              <w:autoSpaceDN w:val="0"/>
              <w:snapToGrid w:val="0"/>
              <w:spacing w:line="240" w:lineRule="auto"/>
              <w:ind w:right="105" w:rightChars="50"/>
              <w:textAlignment w:val="auto"/>
              <w:rPr>
                <w:rFonts w:hint="eastAsia" w:cs="宋体"/>
                <w:szCs w:val="21"/>
              </w:rPr>
            </w:pPr>
          </w:p>
        </w:tc>
      </w:tr>
      <w:tr w14:paraId="7B03D6F4">
        <w:tblPrEx>
          <w:tblCellMar>
            <w:top w:w="0" w:type="dxa"/>
            <w:left w:w="108" w:type="dxa"/>
            <w:bottom w:w="0" w:type="dxa"/>
            <w:right w:w="108" w:type="dxa"/>
          </w:tblCellMar>
        </w:tblPrEx>
        <w:trPr>
          <w:trHeight w:val="716"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4C66DC90">
            <w:pPr>
              <w:jc w:val="center"/>
              <w:rPr>
                <w:rFonts w:cs="宋体"/>
                <w:szCs w:val="21"/>
              </w:rPr>
            </w:pPr>
            <w:r>
              <w:rPr>
                <w:rFonts w:hint="eastAsia" w:cs="宋体"/>
                <w:szCs w:val="21"/>
              </w:rPr>
              <w:t>3.3.1</w:t>
            </w:r>
          </w:p>
        </w:tc>
        <w:tc>
          <w:tcPr>
            <w:tcW w:w="2351" w:type="dxa"/>
            <w:gridSpan w:val="2"/>
            <w:tcBorders>
              <w:top w:val="single" w:color="auto" w:sz="4" w:space="0"/>
              <w:left w:val="nil"/>
              <w:bottom w:val="single" w:color="auto" w:sz="4" w:space="0"/>
              <w:right w:val="single" w:color="auto" w:sz="4" w:space="0"/>
            </w:tcBorders>
            <w:noWrap/>
            <w:vAlign w:val="center"/>
          </w:tcPr>
          <w:p w14:paraId="070F532E">
            <w:pPr>
              <w:jc w:val="center"/>
              <w:rPr>
                <w:rFonts w:cs="宋体"/>
                <w:szCs w:val="21"/>
              </w:rPr>
            </w:pPr>
            <w:r>
              <w:rPr>
                <w:rFonts w:hint="eastAsia" w:cs="宋体"/>
                <w:szCs w:val="21"/>
              </w:rPr>
              <w:t>投标有效期</w:t>
            </w:r>
          </w:p>
        </w:tc>
        <w:tc>
          <w:tcPr>
            <w:tcW w:w="6237" w:type="dxa"/>
            <w:tcBorders>
              <w:top w:val="single" w:color="auto" w:sz="4" w:space="0"/>
              <w:left w:val="nil"/>
              <w:bottom w:val="single" w:color="auto" w:sz="4" w:space="0"/>
              <w:right w:val="single" w:color="auto" w:sz="4" w:space="0"/>
            </w:tcBorders>
            <w:noWrap/>
            <w:vAlign w:val="center"/>
          </w:tcPr>
          <w:p w14:paraId="46FD4762">
            <w:pPr>
              <w:rPr>
                <w:rFonts w:cs="宋体"/>
                <w:szCs w:val="21"/>
              </w:rPr>
            </w:pPr>
            <w:r>
              <w:rPr>
                <w:rFonts w:hint="eastAsia" w:cs="宋体"/>
                <w:szCs w:val="21"/>
              </w:rPr>
              <w:t>90个日历天</w:t>
            </w:r>
          </w:p>
        </w:tc>
      </w:tr>
      <w:tr w14:paraId="6E2DDEC1">
        <w:tblPrEx>
          <w:tblCellMar>
            <w:top w:w="0" w:type="dxa"/>
            <w:left w:w="108" w:type="dxa"/>
            <w:bottom w:w="0" w:type="dxa"/>
            <w:right w:w="108" w:type="dxa"/>
          </w:tblCellMar>
        </w:tblPrEx>
        <w:trPr>
          <w:trHeight w:val="2416"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790B86D7">
            <w:pPr>
              <w:jc w:val="center"/>
              <w:rPr>
                <w:rFonts w:cs="宋体"/>
                <w:szCs w:val="21"/>
              </w:rPr>
            </w:pPr>
            <w:r>
              <w:rPr>
                <w:rFonts w:hint="eastAsia" w:cs="宋体"/>
                <w:szCs w:val="21"/>
              </w:rPr>
              <w:t>3.4</w:t>
            </w:r>
          </w:p>
        </w:tc>
        <w:tc>
          <w:tcPr>
            <w:tcW w:w="2351" w:type="dxa"/>
            <w:gridSpan w:val="2"/>
            <w:tcBorders>
              <w:top w:val="single" w:color="auto" w:sz="4" w:space="0"/>
              <w:left w:val="nil"/>
              <w:bottom w:val="single" w:color="auto" w:sz="4" w:space="0"/>
              <w:right w:val="single" w:color="auto" w:sz="4" w:space="0"/>
            </w:tcBorders>
            <w:noWrap/>
            <w:vAlign w:val="center"/>
          </w:tcPr>
          <w:p w14:paraId="61E183D9">
            <w:pPr>
              <w:jc w:val="center"/>
              <w:rPr>
                <w:rFonts w:cs="宋体"/>
                <w:szCs w:val="21"/>
              </w:rPr>
            </w:pPr>
            <w:r>
              <w:rPr>
                <w:rFonts w:hint="eastAsia" w:cs="宋体"/>
                <w:szCs w:val="21"/>
              </w:rPr>
              <w:t>投标保证金</w:t>
            </w:r>
          </w:p>
        </w:tc>
        <w:tc>
          <w:tcPr>
            <w:tcW w:w="6237" w:type="dxa"/>
            <w:tcBorders>
              <w:top w:val="single" w:color="auto" w:sz="4" w:space="0"/>
              <w:left w:val="nil"/>
              <w:bottom w:val="single" w:color="auto" w:sz="4" w:space="0"/>
              <w:right w:val="single" w:color="auto" w:sz="4" w:space="0"/>
            </w:tcBorders>
            <w:noWrap/>
            <w:vAlign w:val="center"/>
          </w:tcPr>
          <w:p w14:paraId="55D7E69A">
            <w:pPr>
              <w:rPr>
                <w:rFonts w:cs="宋体"/>
                <w:szCs w:val="21"/>
              </w:rPr>
            </w:pPr>
            <w:r>
              <w:rPr>
                <w:rFonts w:hint="eastAsia" w:cs="宋体"/>
                <w:szCs w:val="21"/>
              </w:rPr>
              <w:t>是否要求投标人递交投标保证金：</w:t>
            </w:r>
            <w:r>
              <w:rPr>
                <w:rFonts w:hint="eastAsia" w:cs="宋体"/>
                <w:szCs w:val="21"/>
              </w:rPr>
              <w:sym w:font="Wingdings" w:char="F0FE"/>
            </w:r>
            <w:r>
              <w:rPr>
                <w:rFonts w:hint="eastAsia" w:cs="宋体"/>
                <w:szCs w:val="21"/>
              </w:rPr>
              <w:t>要求</w:t>
            </w:r>
          </w:p>
          <w:p w14:paraId="74DF8C51">
            <w:pPr>
              <w:rPr>
                <w:rFonts w:cs="宋体"/>
                <w:szCs w:val="21"/>
              </w:rPr>
            </w:pPr>
            <w:r>
              <w:rPr>
                <w:rFonts w:hint="eastAsia" w:cs="宋体"/>
                <w:szCs w:val="21"/>
              </w:rPr>
              <w:t>金额：</w:t>
            </w:r>
            <w:r>
              <w:rPr>
                <w:rFonts w:hint="eastAsia" w:cs="宋体"/>
                <w:kern w:val="0"/>
                <w:szCs w:val="21"/>
              </w:rPr>
              <w:t>大写人民币捌仟元整（小写：￥8000.00）</w:t>
            </w:r>
            <w:r>
              <w:rPr>
                <w:rFonts w:hint="eastAsia" w:cs="宋体"/>
                <w:szCs w:val="21"/>
              </w:rPr>
              <w:t>。</w:t>
            </w:r>
          </w:p>
          <w:p w14:paraId="54F2BA86">
            <w:pPr>
              <w:rPr>
                <w:rFonts w:cs="宋体"/>
                <w:szCs w:val="21"/>
              </w:rPr>
            </w:pPr>
            <w:r>
              <w:rPr>
                <w:rFonts w:hint="eastAsia" w:cs="宋体"/>
                <w:szCs w:val="21"/>
              </w:rPr>
              <w:t>必须在2026年 月   日16:00分（开标前一天）前通过浙江省海港集团电子招标采购平台汇入指定账户。</w:t>
            </w:r>
          </w:p>
          <w:p w14:paraId="52AA0668">
            <w:pPr>
              <w:rPr>
                <w:rFonts w:cs="宋体"/>
                <w:bCs/>
                <w:szCs w:val="21"/>
              </w:rPr>
            </w:pPr>
            <w:r>
              <w:rPr>
                <w:rFonts w:hint="eastAsia" w:cs="宋体"/>
                <w:szCs w:val="21"/>
              </w:rPr>
              <w:t>注：（投标保证金应通过投标单位银行基本账户汇入，否则视为投标保证金无效。</w:t>
            </w:r>
            <w:r>
              <w:rPr>
                <w:rFonts w:hint="eastAsia" w:cs="宋体"/>
                <w:bCs/>
                <w:szCs w:val="21"/>
              </w:rPr>
              <w:t>)</w:t>
            </w:r>
          </w:p>
        </w:tc>
      </w:tr>
      <w:tr w14:paraId="74913D17">
        <w:tblPrEx>
          <w:tblCellMar>
            <w:top w:w="0" w:type="dxa"/>
            <w:left w:w="108" w:type="dxa"/>
            <w:bottom w:w="0" w:type="dxa"/>
            <w:right w:w="108" w:type="dxa"/>
          </w:tblCellMar>
        </w:tblPrEx>
        <w:trPr>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258DAF43">
            <w:pPr>
              <w:jc w:val="center"/>
              <w:rPr>
                <w:rFonts w:cs="宋体"/>
                <w:szCs w:val="21"/>
              </w:rPr>
            </w:pPr>
            <w:r>
              <w:rPr>
                <w:rFonts w:hint="eastAsia" w:cs="宋体"/>
                <w:szCs w:val="21"/>
              </w:rPr>
              <w:t>3.5.2</w:t>
            </w:r>
          </w:p>
        </w:tc>
        <w:tc>
          <w:tcPr>
            <w:tcW w:w="2351" w:type="dxa"/>
            <w:gridSpan w:val="2"/>
            <w:tcBorders>
              <w:top w:val="single" w:color="auto" w:sz="4" w:space="0"/>
              <w:left w:val="nil"/>
              <w:bottom w:val="single" w:color="auto" w:sz="4" w:space="0"/>
              <w:right w:val="single" w:color="auto" w:sz="4" w:space="0"/>
            </w:tcBorders>
            <w:noWrap/>
            <w:vAlign w:val="center"/>
          </w:tcPr>
          <w:p w14:paraId="185E20A6">
            <w:pPr>
              <w:jc w:val="center"/>
              <w:rPr>
                <w:rFonts w:cs="宋体"/>
                <w:szCs w:val="21"/>
              </w:rPr>
            </w:pPr>
            <w:r>
              <w:rPr>
                <w:rFonts w:hint="eastAsia" w:cs="宋体"/>
                <w:szCs w:val="21"/>
              </w:rPr>
              <w:t>近年财务状况的年份要求</w:t>
            </w:r>
          </w:p>
        </w:tc>
        <w:tc>
          <w:tcPr>
            <w:tcW w:w="6237" w:type="dxa"/>
            <w:tcBorders>
              <w:top w:val="single" w:color="auto" w:sz="4" w:space="0"/>
              <w:left w:val="nil"/>
              <w:bottom w:val="single" w:color="auto" w:sz="4" w:space="0"/>
              <w:right w:val="single" w:color="auto" w:sz="4" w:space="0"/>
            </w:tcBorders>
            <w:noWrap/>
            <w:vAlign w:val="center"/>
          </w:tcPr>
          <w:p w14:paraId="5F471735">
            <w:pPr>
              <w:pStyle w:val="9"/>
              <w:rPr>
                <w:rFonts w:cs="宋体"/>
                <w:sz w:val="21"/>
                <w:szCs w:val="21"/>
              </w:rPr>
            </w:pPr>
            <w:r>
              <w:rPr>
                <w:rFonts w:hint="eastAsia" w:cs="宋体"/>
                <w:sz w:val="21"/>
                <w:szCs w:val="21"/>
              </w:rPr>
              <w:fldChar w:fldCharType="begin"/>
            </w:r>
            <w:r>
              <w:rPr>
                <w:rFonts w:hint="eastAsia" w:cs="宋体"/>
                <w:sz w:val="21"/>
                <w:szCs w:val="21"/>
              </w:rPr>
              <w:instrText xml:space="preserve"> eq \o\ac(□,√)</w:instrText>
            </w:r>
            <w:r>
              <w:rPr>
                <w:rFonts w:hint="eastAsia" w:cs="宋体"/>
                <w:sz w:val="21"/>
                <w:szCs w:val="21"/>
              </w:rPr>
              <w:fldChar w:fldCharType="end"/>
            </w:r>
            <w:r>
              <w:rPr>
                <w:rFonts w:hint="eastAsia" w:cs="宋体"/>
                <w:sz w:val="21"/>
                <w:szCs w:val="21"/>
              </w:rPr>
              <w:t>不要求</w:t>
            </w:r>
          </w:p>
        </w:tc>
      </w:tr>
      <w:tr w14:paraId="502C6BE7">
        <w:tblPrEx>
          <w:tblCellMar>
            <w:top w:w="0" w:type="dxa"/>
            <w:left w:w="108" w:type="dxa"/>
            <w:bottom w:w="0" w:type="dxa"/>
            <w:right w:w="108" w:type="dxa"/>
          </w:tblCellMar>
        </w:tblPrEx>
        <w:trPr>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7CDD69EC">
            <w:pPr>
              <w:jc w:val="center"/>
              <w:rPr>
                <w:rFonts w:cs="宋体"/>
                <w:szCs w:val="21"/>
              </w:rPr>
            </w:pPr>
            <w:r>
              <w:rPr>
                <w:rFonts w:hint="eastAsia" w:cs="宋体"/>
                <w:szCs w:val="21"/>
              </w:rPr>
              <w:t>3.5.4</w:t>
            </w:r>
          </w:p>
        </w:tc>
        <w:tc>
          <w:tcPr>
            <w:tcW w:w="2351" w:type="dxa"/>
            <w:gridSpan w:val="2"/>
            <w:tcBorders>
              <w:top w:val="single" w:color="auto" w:sz="4" w:space="0"/>
              <w:left w:val="nil"/>
              <w:bottom w:val="single" w:color="auto" w:sz="4" w:space="0"/>
              <w:right w:val="single" w:color="auto" w:sz="4" w:space="0"/>
            </w:tcBorders>
            <w:noWrap/>
            <w:vAlign w:val="center"/>
          </w:tcPr>
          <w:p w14:paraId="2A137575">
            <w:pPr>
              <w:jc w:val="center"/>
              <w:rPr>
                <w:rFonts w:cs="宋体"/>
                <w:szCs w:val="21"/>
              </w:rPr>
            </w:pPr>
            <w:r>
              <w:rPr>
                <w:rFonts w:hint="eastAsia" w:cs="宋体"/>
                <w:szCs w:val="21"/>
              </w:rPr>
              <w:t>正在施工和新承接的项目要求</w:t>
            </w:r>
          </w:p>
        </w:tc>
        <w:tc>
          <w:tcPr>
            <w:tcW w:w="6237" w:type="dxa"/>
            <w:tcBorders>
              <w:top w:val="single" w:color="auto" w:sz="4" w:space="0"/>
              <w:left w:val="nil"/>
              <w:bottom w:val="single" w:color="auto" w:sz="4" w:space="0"/>
              <w:right w:val="single" w:color="auto" w:sz="4" w:space="0"/>
            </w:tcBorders>
            <w:noWrap/>
            <w:vAlign w:val="center"/>
          </w:tcPr>
          <w:p w14:paraId="7E39823F">
            <w:pPr>
              <w:pStyle w:val="9"/>
              <w:rPr>
                <w:rFonts w:cs="宋体"/>
                <w:sz w:val="21"/>
                <w:szCs w:val="21"/>
              </w:rPr>
            </w:pPr>
            <w:r>
              <w:rPr>
                <w:rFonts w:hint="eastAsia" w:cs="宋体"/>
                <w:sz w:val="21"/>
                <w:szCs w:val="21"/>
              </w:rPr>
              <w:fldChar w:fldCharType="begin"/>
            </w:r>
            <w:r>
              <w:rPr>
                <w:rFonts w:hint="eastAsia" w:cs="宋体"/>
                <w:sz w:val="21"/>
                <w:szCs w:val="21"/>
              </w:rPr>
              <w:instrText xml:space="preserve"> eq \o\ac(□,√)</w:instrText>
            </w:r>
            <w:r>
              <w:rPr>
                <w:rFonts w:hint="eastAsia" w:cs="宋体"/>
                <w:sz w:val="21"/>
                <w:szCs w:val="21"/>
              </w:rPr>
              <w:fldChar w:fldCharType="end"/>
            </w:r>
            <w:r>
              <w:rPr>
                <w:rFonts w:hint="eastAsia" w:cs="宋体"/>
                <w:sz w:val="21"/>
                <w:szCs w:val="21"/>
              </w:rPr>
              <w:t>不要求</w:t>
            </w:r>
          </w:p>
        </w:tc>
      </w:tr>
      <w:tr w14:paraId="6B26541F">
        <w:tblPrEx>
          <w:tblCellMar>
            <w:top w:w="0" w:type="dxa"/>
            <w:left w:w="108" w:type="dxa"/>
            <w:bottom w:w="0" w:type="dxa"/>
            <w:right w:w="108" w:type="dxa"/>
          </w:tblCellMar>
        </w:tblPrEx>
        <w:trPr>
          <w:trHeight w:val="470"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73468BB8">
            <w:pPr>
              <w:jc w:val="center"/>
              <w:rPr>
                <w:rFonts w:cs="宋体"/>
                <w:szCs w:val="21"/>
              </w:rPr>
            </w:pPr>
            <w:r>
              <w:rPr>
                <w:rFonts w:hint="eastAsia" w:cs="宋体"/>
                <w:szCs w:val="21"/>
              </w:rPr>
              <w:t>3.5.5</w:t>
            </w:r>
          </w:p>
        </w:tc>
        <w:tc>
          <w:tcPr>
            <w:tcW w:w="2351" w:type="dxa"/>
            <w:gridSpan w:val="2"/>
            <w:tcBorders>
              <w:top w:val="single" w:color="auto" w:sz="4" w:space="0"/>
              <w:left w:val="nil"/>
              <w:bottom w:val="single" w:color="auto" w:sz="4" w:space="0"/>
              <w:right w:val="single" w:color="auto" w:sz="4" w:space="0"/>
            </w:tcBorders>
            <w:noWrap/>
            <w:vAlign w:val="center"/>
          </w:tcPr>
          <w:p w14:paraId="436DBFC6">
            <w:pPr>
              <w:jc w:val="center"/>
              <w:rPr>
                <w:rFonts w:cs="宋体"/>
                <w:szCs w:val="21"/>
              </w:rPr>
            </w:pPr>
            <w:r>
              <w:rPr>
                <w:rFonts w:hint="eastAsia" w:cs="宋体"/>
                <w:szCs w:val="21"/>
              </w:rPr>
              <w:t>近年发生的诉讼及仲裁情况的年份要求</w:t>
            </w:r>
          </w:p>
        </w:tc>
        <w:tc>
          <w:tcPr>
            <w:tcW w:w="6237" w:type="dxa"/>
            <w:tcBorders>
              <w:top w:val="single" w:color="auto" w:sz="4" w:space="0"/>
              <w:left w:val="nil"/>
              <w:bottom w:val="single" w:color="auto" w:sz="4" w:space="0"/>
              <w:right w:val="single" w:color="auto" w:sz="4" w:space="0"/>
            </w:tcBorders>
            <w:noWrap/>
            <w:vAlign w:val="center"/>
          </w:tcPr>
          <w:p w14:paraId="3D88F8B2">
            <w:pPr>
              <w:pStyle w:val="9"/>
              <w:rPr>
                <w:rFonts w:cs="宋体"/>
                <w:sz w:val="21"/>
                <w:szCs w:val="21"/>
              </w:rPr>
            </w:pPr>
            <w:r>
              <w:rPr>
                <w:rFonts w:hint="eastAsia" w:cs="宋体"/>
                <w:sz w:val="21"/>
                <w:szCs w:val="21"/>
              </w:rPr>
              <w:fldChar w:fldCharType="begin"/>
            </w:r>
            <w:r>
              <w:rPr>
                <w:rFonts w:hint="eastAsia" w:cs="宋体"/>
                <w:sz w:val="21"/>
                <w:szCs w:val="21"/>
              </w:rPr>
              <w:instrText xml:space="preserve"> eq \o\ac(□,√)</w:instrText>
            </w:r>
            <w:r>
              <w:rPr>
                <w:rFonts w:hint="eastAsia" w:cs="宋体"/>
                <w:sz w:val="21"/>
                <w:szCs w:val="21"/>
              </w:rPr>
              <w:fldChar w:fldCharType="end"/>
            </w:r>
            <w:r>
              <w:rPr>
                <w:rFonts w:hint="eastAsia" w:cs="宋体"/>
                <w:sz w:val="21"/>
                <w:szCs w:val="21"/>
              </w:rPr>
              <w:t>不要求</w:t>
            </w:r>
          </w:p>
        </w:tc>
      </w:tr>
      <w:tr w14:paraId="2EC804CE">
        <w:tblPrEx>
          <w:tblCellMar>
            <w:top w:w="0" w:type="dxa"/>
            <w:left w:w="108" w:type="dxa"/>
            <w:bottom w:w="0" w:type="dxa"/>
            <w:right w:w="108" w:type="dxa"/>
          </w:tblCellMar>
        </w:tblPrEx>
        <w:trPr>
          <w:trHeight w:val="712"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17E30116">
            <w:pPr>
              <w:jc w:val="center"/>
              <w:rPr>
                <w:rFonts w:cs="宋体"/>
                <w:szCs w:val="21"/>
              </w:rPr>
            </w:pPr>
            <w:r>
              <w:rPr>
                <w:rFonts w:hint="eastAsia" w:cs="宋体"/>
                <w:szCs w:val="21"/>
              </w:rPr>
              <w:t>3.5.13</w:t>
            </w:r>
          </w:p>
        </w:tc>
        <w:tc>
          <w:tcPr>
            <w:tcW w:w="2351" w:type="dxa"/>
            <w:gridSpan w:val="2"/>
            <w:tcBorders>
              <w:top w:val="single" w:color="auto" w:sz="4" w:space="0"/>
              <w:left w:val="nil"/>
              <w:bottom w:val="single" w:color="auto" w:sz="4" w:space="0"/>
              <w:right w:val="single" w:color="auto" w:sz="4" w:space="0"/>
            </w:tcBorders>
            <w:noWrap/>
            <w:vAlign w:val="center"/>
          </w:tcPr>
          <w:p w14:paraId="013BB2AC">
            <w:pPr>
              <w:jc w:val="center"/>
              <w:rPr>
                <w:rFonts w:cs="宋体"/>
                <w:szCs w:val="21"/>
              </w:rPr>
            </w:pPr>
            <w:r>
              <w:rPr>
                <w:rFonts w:hint="eastAsia" w:cs="宋体"/>
                <w:szCs w:val="21"/>
              </w:rPr>
              <w:t>资格审查其他材料</w:t>
            </w:r>
          </w:p>
        </w:tc>
        <w:tc>
          <w:tcPr>
            <w:tcW w:w="6237" w:type="dxa"/>
            <w:tcBorders>
              <w:top w:val="single" w:color="auto" w:sz="4" w:space="0"/>
              <w:left w:val="nil"/>
              <w:bottom w:val="single" w:color="auto" w:sz="4" w:space="0"/>
              <w:right w:val="single" w:color="auto" w:sz="4" w:space="0"/>
            </w:tcBorders>
            <w:noWrap/>
            <w:vAlign w:val="center"/>
          </w:tcPr>
          <w:p w14:paraId="5D319C89">
            <w:pPr>
              <w:rPr>
                <w:rFonts w:cs="宋体"/>
                <w:szCs w:val="21"/>
              </w:rPr>
            </w:pPr>
            <w:r>
              <w:rPr>
                <w:rFonts w:hint="eastAsia" w:cs="宋体"/>
                <w:szCs w:val="21"/>
              </w:rPr>
              <w:t>/</w:t>
            </w:r>
          </w:p>
        </w:tc>
      </w:tr>
      <w:tr w14:paraId="24F39A21">
        <w:tblPrEx>
          <w:tblCellMar>
            <w:top w:w="0" w:type="dxa"/>
            <w:left w:w="108" w:type="dxa"/>
            <w:bottom w:w="0" w:type="dxa"/>
            <w:right w:w="108" w:type="dxa"/>
          </w:tblCellMar>
        </w:tblPrEx>
        <w:trPr>
          <w:trHeight w:val="583"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1C9759F0">
            <w:pPr>
              <w:jc w:val="center"/>
              <w:rPr>
                <w:rFonts w:cs="宋体"/>
                <w:szCs w:val="21"/>
              </w:rPr>
            </w:pPr>
            <w:r>
              <w:rPr>
                <w:rFonts w:hint="eastAsia" w:cs="宋体"/>
                <w:szCs w:val="21"/>
              </w:rPr>
              <w:t>3.6</w:t>
            </w:r>
          </w:p>
        </w:tc>
        <w:tc>
          <w:tcPr>
            <w:tcW w:w="2351" w:type="dxa"/>
            <w:gridSpan w:val="2"/>
            <w:tcBorders>
              <w:top w:val="single" w:color="auto" w:sz="4" w:space="0"/>
              <w:left w:val="nil"/>
              <w:bottom w:val="single" w:color="auto" w:sz="4" w:space="0"/>
              <w:right w:val="single" w:color="auto" w:sz="4" w:space="0"/>
            </w:tcBorders>
            <w:noWrap/>
            <w:vAlign w:val="center"/>
          </w:tcPr>
          <w:p w14:paraId="784E7DDF">
            <w:pPr>
              <w:jc w:val="center"/>
              <w:rPr>
                <w:rFonts w:cs="宋体"/>
                <w:szCs w:val="21"/>
              </w:rPr>
            </w:pPr>
            <w:r>
              <w:rPr>
                <w:rFonts w:hint="eastAsia" w:cs="宋体"/>
                <w:szCs w:val="21"/>
              </w:rPr>
              <w:t>是否允许递交备选投标方案</w:t>
            </w:r>
          </w:p>
        </w:tc>
        <w:tc>
          <w:tcPr>
            <w:tcW w:w="6237" w:type="dxa"/>
            <w:tcBorders>
              <w:top w:val="single" w:color="auto" w:sz="4" w:space="0"/>
              <w:left w:val="nil"/>
              <w:bottom w:val="single" w:color="auto" w:sz="4" w:space="0"/>
              <w:right w:val="single" w:color="auto" w:sz="4" w:space="0"/>
            </w:tcBorders>
            <w:noWrap/>
            <w:vAlign w:val="center"/>
          </w:tcPr>
          <w:p w14:paraId="103B2476">
            <w:pPr>
              <w:rPr>
                <w:rFonts w:cs="宋体"/>
                <w:szCs w:val="21"/>
              </w:rPr>
            </w:pPr>
            <w:r>
              <w:rPr>
                <w:rFonts w:hint="eastAsia" w:cs="宋体"/>
                <w:szCs w:val="21"/>
              </w:rPr>
              <w:fldChar w:fldCharType="begin"/>
            </w:r>
            <w:r>
              <w:rPr>
                <w:rFonts w:hint="eastAsia" w:cs="宋体"/>
                <w:szCs w:val="21"/>
              </w:rPr>
              <w:instrText xml:space="preserve"> eq \o\ac(□,√)</w:instrText>
            </w:r>
            <w:r>
              <w:rPr>
                <w:rFonts w:hint="eastAsia" w:cs="宋体"/>
                <w:szCs w:val="21"/>
              </w:rPr>
              <w:fldChar w:fldCharType="end"/>
            </w:r>
            <w:r>
              <w:rPr>
                <w:rFonts w:hint="eastAsia" w:cs="宋体"/>
                <w:szCs w:val="21"/>
              </w:rPr>
              <w:t>不允许</w:t>
            </w:r>
          </w:p>
        </w:tc>
      </w:tr>
      <w:tr w14:paraId="49C65723">
        <w:tblPrEx>
          <w:tblCellMar>
            <w:top w:w="0" w:type="dxa"/>
            <w:left w:w="108" w:type="dxa"/>
            <w:bottom w:w="0" w:type="dxa"/>
            <w:right w:w="108" w:type="dxa"/>
          </w:tblCellMar>
        </w:tblPrEx>
        <w:trPr>
          <w:trHeight w:val="1809"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52AA574B">
            <w:pPr>
              <w:jc w:val="center"/>
              <w:rPr>
                <w:rFonts w:cs="宋体"/>
                <w:szCs w:val="21"/>
              </w:rPr>
            </w:pPr>
            <w:r>
              <w:rPr>
                <w:rFonts w:hint="eastAsia" w:cs="宋体"/>
                <w:szCs w:val="21"/>
              </w:rPr>
              <w:t>3.7.3</w:t>
            </w:r>
          </w:p>
        </w:tc>
        <w:tc>
          <w:tcPr>
            <w:tcW w:w="2351" w:type="dxa"/>
            <w:gridSpan w:val="2"/>
            <w:tcBorders>
              <w:top w:val="single" w:color="auto" w:sz="4" w:space="0"/>
              <w:left w:val="nil"/>
              <w:bottom w:val="single" w:color="auto" w:sz="4" w:space="0"/>
              <w:right w:val="single" w:color="auto" w:sz="4" w:space="0"/>
            </w:tcBorders>
            <w:noWrap/>
            <w:vAlign w:val="center"/>
          </w:tcPr>
          <w:p w14:paraId="7FBFCEB9">
            <w:pPr>
              <w:jc w:val="center"/>
              <w:rPr>
                <w:rFonts w:cs="宋体"/>
                <w:szCs w:val="21"/>
              </w:rPr>
            </w:pPr>
            <w:r>
              <w:rPr>
                <w:rFonts w:hint="eastAsia" w:cs="宋体"/>
                <w:szCs w:val="21"/>
              </w:rPr>
              <w:t>签字或盖章要求</w:t>
            </w:r>
          </w:p>
        </w:tc>
        <w:tc>
          <w:tcPr>
            <w:tcW w:w="6237" w:type="dxa"/>
            <w:tcBorders>
              <w:top w:val="single" w:color="auto" w:sz="4" w:space="0"/>
              <w:left w:val="nil"/>
              <w:bottom w:val="single" w:color="auto" w:sz="4" w:space="0"/>
              <w:right w:val="single" w:color="auto" w:sz="4" w:space="0"/>
            </w:tcBorders>
            <w:noWrap/>
            <w:vAlign w:val="center"/>
          </w:tcPr>
          <w:p w14:paraId="5B3922AF">
            <w:pPr>
              <w:rPr>
                <w:rFonts w:cs="宋体"/>
                <w:szCs w:val="21"/>
              </w:rPr>
            </w:pPr>
            <w:r>
              <w:rPr>
                <w:rFonts w:hint="eastAsia" w:cs="宋体"/>
                <w:szCs w:val="21"/>
              </w:rPr>
              <w:t>1.投标文件格式文件要求投标人盖章、法定代表人印章的地方，投标人均应加盖投标人的单位电子印章。</w:t>
            </w:r>
          </w:p>
          <w:p w14:paraId="0F5754BF">
            <w:pPr>
              <w:rPr>
                <w:rFonts w:cs="宋体"/>
                <w:szCs w:val="21"/>
              </w:rPr>
            </w:pPr>
            <w:r>
              <w:rPr>
                <w:rFonts w:hint="eastAsia" w:cs="宋体"/>
                <w:szCs w:val="21"/>
              </w:rPr>
              <w:t>2.投标文件所附证书证件、业绩证明文件、投标保证金等证明材料用原件复制件并加盖投标单位电子印章。</w:t>
            </w:r>
          </w:p>
        </w:tc>
      </w:tr>
      <w:tr w14:paraId="74CEFD7B">
        <w:tblPrEx>
          <w:tblCellMar>
            <w:top w:w="0" w:type="dxa"/>
            <w:left w:w="108" w:type="dxa"/>
            <w:bottom w:w="0" w:type="dxa"/>
            <w:right w:w="108" w:type="dxa"/>
          </w:tblCellMar>
        </w:tblPrEx>
        <w:trPr>
          <w:trHeight w:val="1194"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29011E98">
            <w:pPr>
              <w:jc w:val="center"/>
              <w:rPr>
                <w:rFonts w:cs="宋体"/>
                <w:szCs w:val="21"/>
              </w:rPr>
            </w:pPr>
            <w:r>
              <w:rPr>
                <w:rFonts w:hint="eastAsia" w:cs="宋体"/>
                <w:szCs w:val="21"/>
              </w:rPr>
              <w:t>3.7.3</w:t>
            </w:r>
          </w:p>
        </w:tc>
        <w:tc>
          <w:tcPr>
            <w:tcW w:w="2351" w:type="dxa"/>
            <w:gridSpan w:val="2"/>
            <w:tcBorders>
              <w:top w:val="single" w:color="auto" w:sz="4" w:space="0"/>
              <w:left w:val="nil"/>
              <w:bottom w:val="single" w:color="auto" w:sz="4" w:space="0"/>
              <w:right w:val="single" w:color="auto" w:sz="4" w:space="0"/>
            </w:tcBorders>
            <w:noWrap/>
            <w:vAlign w:val="center"/>
          </w:tcPr>
          <w:p w14:paraId="5EDF37E0">
            <w:pPr>
              <w:jc w:val="center"/>
              <w:rPr>
                <w:rFonts w:cs="宋体"/>
                <w:szCs w:val="21"/>
              </w:rPr>
            </w:pPr>
            <w:r>
              <w:rPr>
                <w:rFonts w:hint="eastAsia" w:cs="宋体"/>
                <w:szCs w:val="21"/>
              </w:rPr>
              <w:t>电子投标文件</w:t>
            </w:r>
          </w:p>
          <w:p w14:paraId="5912701C">
            <w:pPr>
              <w:jc w:val="center"/>
              <w:rPr>
                <w:rFonts w:cs="宋体"/>
                <w:szCs w:val="21"/>
              </w:rPr>
            </w:pPr>
            <w:r>
              <w:rPr>
                <w:rFonts w:hint="eastAsia" w:cs="宋体"/>
                <w:szCs w:val="21"/>
              </w:rPr>
              <w:t>的制作</w:t>
            </w:r>
          </w:p>
        </w:tc>
        <w:tc>
          <w:tcPr>
            <w:tcW w:w="6237" w:type="dxa"/>
            <w:tcBorders>
              <w:top w:val="single" w:color="auto" w:sz="4" w:space="0"/>
              <w:left w:val="nil"/>
              <w:bottom w:val="single" w:color="auto" w:sz="4" w:space="0"/>
              <w:right w:val="single" w:color="auto" w:sz="4" w:space="0"/>
            </w:tcBorders>
            <w:noWrap/>
            <w:vAlign w:val="center"/>
          </w:tcPr>
          <w:p w14:paraId="34E06DAC">
            <w:pPr>
              <w:rPr>
                <w:rFonts w:cs="宋体"/>
                <w:szCs w:val="21"/>
              </w:rPr>
            </w:pPr>
            <w:r>
              <w:rPr>
                <w:rFonts w:hint="eastAsia" w:cs="宋体"/>
                <w:szCs w:val="21"/>
              </w:rPr>
              <w:t>从浙江省海港集团、宁波舟山港集团网站（http://www.zjseaport.com/jtww/）进入阳光工程-电子招标采购平台，下载“浙江海港投标管家”及操作手册。</w:t>
            </w:r>
          </w:p>
        </w:tc>
      </w:tr>
      <w:tr w14:paraId="50E59E83">
        <w:tblPrEx>
          <w:tblCellMar>
            <w:top w:w="0" w:type="dxa"/>
            <w:left w:w="108" w:type="dxa"/>
            <w:bottom w:w="0" w:type="dxa"/>
            <w:right w:w="108" w:type="dxa"/>
          </w:tblCellMar>
        </w:tblPrEx>
        <w:trPr>
          <w:trHeight w:val="671"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2487CCD8">
            <w:pPr>
              <w:jc w:val="center"/>
              <w:rPr>
                <w:rFonts w:cs="宋体"/>
                <w:szCs w:val="21"/>
              </w:rPr>
            </w:pPr>
            <w:r>
              <w:rPr>
                <w:rFonts w:hint="eastAsia" w:cs="宋体"/>
                <w:szCs w:val="21"/>
              </w:rPr>
              <w:t>4.1.1</w:t>
            </w:r>
          </w:p>
        </w:tc>
        <w:tc>
          <w:tcPr>
            <w:tcW w:w="2351" w:type="dxa"/>
            <w:gridSpan w:val="2"/>
            <w:tcBorders>
              <w:top w:val="single" w:color="auto" w:sz="4" w:space="0"/>
              <w:left w:val="nil"/>
              <w:bottom w:val="single" w:color="auto" w:sz="4" w:space="0"/>
              <w:right w:val="single" w:color="auto" w:sz="4" w:space="0"/>
            </w:tcBorders>
            <w:noWrap/>
            <w:vAlign w:val="center"/>
          </w:tcPr>
          <w:p w14:paraId="1EF73F3F">
            <w:pPr>
              <w:jc w:val="center"/>
              <w:rPr>
                <w:rFonts w:cs="宋体"/>
                <w:szCs w:val="21"/>
              </w:rPr>
            </w:pPr>
            <w:r>
              <w:rPr>
                <w:rFonts w:hint="eastAsia" w:cs="宋体"/>
                <w:szCs w:val="21"/>
              </w:rPr>
              <w:t>投标截止时间</w:t>
            </w:r>
          </w:p>
        </w:tc>
        <w:tc>
          <w:tcPr>
            <w:tcW w:w="6237" w:type="dxa"/>
            <w:tcBorders>
              <w:top w:val="single" w:color="auto" w:sz="4" w:space="0"/>
              <w:left w:val="nil"/>
              <w:bottom w:val="single" w:color="auto" w:sz="4" w:space="0"/>
              <w:right w:val="single" w:color="auto" w:sz="4" w:space="0"/>
            </w:tcBorders>
            <w:noWrap/>
            <w:vAlign w:val="center"/>
          </w:tcPr>
          <w:p w14:paraId="4CCC65CF">
            <w:pPr>
              <w:rPr>
                <w:rFonts w:cs="宋体"/>
                <w:szCs w:val="21"/>
              </w:rPr>
            </w:pPr>
            <w:r>
              <w:rPr>
                <w:rFonts w:hint="eastAsia" w:cs="宋体"/>
                <w:szCs w:val="21"/>
              </w:rPr>
              <w:t>见招标公告</w:t>
            </w:r>
          </w:p>
        </w:tc>
      </w:tr>
      <w:tr w14:paraId="19B1A975">
        <w:tblPrEx>
          <w:tblCellMar>
            <w:top w:w="0" w:type="dxa"/>
            <w:left w:w="108" w:type="dxa"/>
            <w:bottom w:w="0" w:type="dxa"/>
            <w:right w:w="108" w:type="dxa"/>
          </w:tblCellMar>
        </w:tblPrEx>
        <w:trPr>
          <w:trHeight w:val="376"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1CB69E4E">
            <w:pPr>
              <w:jc w:val="center"/>
              <w:rPr>
                <w:rFonts w:cs="宋体"/>
                <w:szCs w:val="21"/>
              </w:rPr>
            </w:pPr>
            <w:r>
              <w:rPr>
                <w:rFonts w:hint="eastAsia" w:cs="宋体"/>
                <w:szCs w:val="21"/>
              </w:rPr>
              <w:t>4.1.2</w:t>
            </w:r>
          </w:p>
        </w:tc>
        <w:tc>
          <w:tcPr>
            <w:tcW w:w="2351" w:type="dxa"/>
            <w:gridSpan w:val="2"/>
            <w:tcBorders>
              <w:top w:val="single" w:color="auto" w:sz="4" w:space="0"/>
              <w:left w:val="nil"/>
              <w:bottom w:val="single" w:color="auto" w:sz="4" w:space="0"/>
              <w:right w:val="single" w:color="auto" w:sz="4" w:space="0"/>
            </w:tcBorders>
            <w:noWrap/>
            <w:vAlign w:val="center"/>
          </w:tcPr>
          <w:p w14:paraId="7F1D07D4">
            <w:pPr>
              <w:jc w:val="center"/>
              <w:rPr>
                <w:rFonts w:cs="宋体"/>
                <w:szCs w:val="21"/>
              </w:rPr>
            </w:pPr>
            <w:r>
              <w:rPr>
                <w:rFonts w:hint="eastAsia" w:cs="宋体"/>
                <w:szCs w:val="21"/>
              </w:rPr>
              <w:t>递交投标文件的地点</w:t>
            </w:r>
          </w:p>
        </w:tc>
        <w:tc>
          <w:tcPr>
            <w:tcW w:w="6237" w:type="dxa"/>
            <w:tcBorders>
              <w:top w:val="single" w:color="auto" w:sz="4" w:space="0"/>
              <w:left w:val="nil"/>
              <w:bottom w:val="single" w:color="auto" w:sz="4" w:space="0"/>
              <w:right w:val="single" w:color="auto" w:sz="4" w:space="0"/>
            </w:tcBorders>
            <w:noWrap/>
            <w:vAlign w:val="center"/>
          </w:tcPr>
          <w:p w14:paraId="1BA3B8C9">
            <w:pPr>
              <w:rPr>
                <w:rFonts w:cs="宋体"/>
                <w:szCs w:val="21"/>
              </w:rPr>
            </w:pPr>
            <w:r>
              <w:rPr>
                <w:rFonts w:hint="eastAsia" w:cs="宋体"/>
                <w:szCs w:val="21"/>
              </w:rPr>
              <w:t>见招标公告</w:t>
            </w:r>
          </w:p>
        </w:tc>
      </w:tr>
      <w:tr w14:paraId="3D205FF2">
        <w:tblPrEx>
          <w:tblCellMar>
            <w:top w:w="0" w:type="dxa"/>
            <w:left w:w="108" w:type="dxa"/>
            <w:bottom w:w="0" w:type="dxa"/>
            <w:right w:w="108" w:type="dxa"/>
          </w:tblCellMar>
        </w:tblPrEx>
        <w:trPr>
          <w:trHeight w:val="204"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1B983BF2">
            <w:pPr>
              <w:jc w:val="center"/>
              <w:rPr>
                <w:rFonts w:cs="宋体"/>
                <w:szCs w:val="21"/>
              </w:rPr>
            </w:pPr>
            <w:r>
              <w:rPr>
                <w:rFonts w:hint="eastAsia" w:cs="宋体"/>
                <w:szCs w:val="21"/>
              </w:rPr>
              <w:t>4.2.2</w:t>
            </w:r>
          </w:p>
        </w:tc>
        <w:tc>
          <w:tcPr>
            <w:tcW w:w="2351" w:type="dxa"/>
            <w:gridSpan w:val="2"/>
            <w:tcBorders>
              <w:top w:val="single" w:color="auto" w:sz="4" w:space="0"/>
              <w:left w:val="nil"/>
              <w:bottom w:val="single" w:color="auto" w:sz="4" w:space="0"/>
              <w:right w:val="single" w:color="auto" w:sz="4" w:space="0"/>
            </w:tcBorders>
            <w:noWrap/>
            <w:vAlign w:val="center"/>
          </w:tcPr>
          <w:p w14:paraId="65D9E244">
            <w:pPr>
              <w:jc w:val="center"/>
              <w:rPr>
                <w:rFonts w:cs="宋体"/>
                <w:szCs w:val="21"/>
              </w:rPr>
            </w:pPr>
            <w:r>
              <w:rPr>
                <w:rFonts w:hint="eastAsia" w:cs="宋体"/>
                <w:szCs w:val="21"/>
              </w:rPr>
              <w:t>递交投标文件地点</w:t>
            </w:r>
          </w:p>
        </w:tc>
        <w:tc>
          <w:tcPr>
            <w:tcW w:w="6237" w:type="dxa"/>
            <w:tcBorders>
              <w:top w:val="single" w:color="auto" w:sz="4" w:space="0"/>
              <w:left w:val="nil"/>
              <w:bottom w:val="single" w:color="auto" w:sz="4" w:space="0"/>
              <w:right w:val="single" w:color="auto" w:sz="4" w:space="0"/>
            </w:tcBorders>
            <w:noWrap/>
            <w:vAlign w:val="center"/>
          </w:tcPr>
          <w:p w14:paraId="586945B1">
            <w:pPr>
              <w:rPr>
                <w:rFonts w:cs="宋体"/>
                <w:szCs w:val="21"/>
              </w:rPr>
            </w:pPr>
            <w:r>
              <w:rPr>
                <w:rFonts w:hint="eastAsia" w:cs="宋体"/>
                <w:szCs w:val="21"/>
              </w:rPr>
              <w:t>本项目通过“浙江省海港集团电子招标采购平台”实行在线投标响应（电子投标）。</w:t>
            </w:r>
          </w:p>
        </w:tc>
      </w:tr>
      <w:tr w14:paraId="7A3CDA32">
        <w:tblPrEx>
          <w:tblCellMar>
            <w:top w:w="0" w:type="dxa"/>
            <w:left w:w="108" w:type="dxa"/>
            <w:bottom w:w="0" w:type="dxa"/>
            <w:right w:w="108" w:type="dxa"/>
          </w:tblCellMar>
        </w:tblPrEx>
        <w:trPr>
          <w:trHeight w:val="713"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5B78E644">
            <w:pPr>
              <w:jc w:val="center"/>
              <w:rPr>
                <w:rFonts w:cs="宋体"/>
                <w:szCs w:val="21"/>
              </w:rPr>
            </w:pPr>
            <w:r>
              <w:rPr>
                <w:rFonts w:hint="eastAsia" w:cs="宋体"/>
                <w:szCs w:val="21"/>
              </w:rPr>
              <w:t>4.2.3</w:t>
            </w:r>
          </w:p>
        </w:tc>
        <w:tc>
          <w:tcPr>
            <w:tcW w:w="2351" w:type="dxa"/>
            <w:gridSpan w:val="2"/>
            <w:tcBorders>
              <w:top w:val="single" w:color="auto" w:sz="4" w:space="0"/>
              <w:left w:val="nil"/>
              <w:bottom w:val="single" w:color="auto" w:sz="4" w:space="0"/>
              <w:right w:val="single" w:color="auto" w:sz="4" w:space="0"/>
            </w:tcBorders>
            <w:noWrap/>
            <w:vAlign w:val="center"/>
          </w:tcPr>
          <w:p w14:paraId="591603EA">
            <w:pPr>
              <w:jc w:val="center"/>
              <w:rPr>
                <w:rFonts w:cs="宋体"/>
                <w:szCs w:val="21"/>
              </w:rPr>
            </w:pPr>
            <w:r>
              <w:rPr>
                <w:rFonts w:hint="eastAsia" w:cs="宋体"/>
                <w:szCs w:val="21"/>
              </w:rPr>
              <w:t>是否退还投标文件</w:t>
            </w:r>
          </w:p>
        </w:tc>
        <w:tc>
          <w:tcPr>
            <w:tcW w:w="6237" w:type="dxa"/>
            <w:tcBorders>
              <w:top w:val="single" w:color="auto" w:sz="4" w:space="0"/>
              <w:left w:val="nil"/>
              <w:bottom w:val="single" w:color="auto" w:sz="4" w:space="0"/>
              <w:right w:val="single" w:color="auto" w:sz="4" w:space="0"/>
            </w:tcBorders>
            <w:noWrap/>
            <w:vAlign w:val="center"/>
          </w:tcPr>
          <w:p w14:paraId="0C7A92BA">
            <w:pPr>
              <w:rPr>
                <w:rFonts w:cs="宋体"/>
                <w:kern w:val="0"/>
                <w:szCs w:val="21"/>
              </w:rPr>
            </w:pPr>
            <w:r>
              <w:rPr>
                <w:rFonts w:hint="eastAsia" w:cs="宋体"/>
                <w:szCs w:val="21"/>
              </w:rPr>
              <w:fldChar w:fldCharType="begin"/>
            </w:r>
            <w:r>
              <w:rPr>
                <w:rFonts w:hint="eastAsia" w:cs="宋体"/>
                <w:szCs w:val="21"/>
              </w:rPr>
              <w:instrText xml:space="preserve"> eq \o\ac(□,√)</w:instrText>
            </w:r>
            <w:r>
              <w:rPr>
                <w:rFonts w:hint="eastAsia" w:cs="宋体"/>
                <w:szCs w:val="21"/>
              </w:rPr>
              <w:fldChar w:fldCharType="end"/>
            </w:r>
            <w:r>
              <w:rPr>
                <w:rFonts w:hint="eastAsia" w:cs="宋体"/>
                <w:szCs w:val="21"/>
              </w:rPr>
              <w:t>否，资料、证书原件除外</w:t>
            </w:r>
          </w:p>
        </w:tc>
      </w:tr>
      <w:tr w14:paraId="00073427">
        <w:tblPrEx>
          <w:tblCellMar>
            <w:top w:w="0" w:type="dxa"/>
            <w:left w:w="108" w:type="dxa"/>
            <w:bottom w:w="0" w:type="dxa"/>
            <w:right w:w="108" w:type="dxa"/>
          </w:tblCellMar>
        </w:tblPrEx>
        <w:trPr>
          <w:trHeight w:val="618"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77DCFBEE">
            <w:pPr>
              <w:jc w:val="center"/>
              <w:rPr>
                <w:rFonts w:cs="宋体"/>
                <w:szCs w:val="21"/>
              </w:rPr>
            </w:pPr>
            <w:r>
              <w:rPr>
                <w:rFonts w:hint="eastAsia" w:cs="宋体"/>
                <w:szCs w:val="21"/>
              </w:rPr>
              <w:t>5.1</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14:paraId="43747CC4">
            <w:pPr>
              <w:jc w:val="center"/>
              <w:rPr>
                <w:rFonts w:cs="宋体"/>
                <w:szCs w:val="21"/>
              </w:rPr>
            </w:pPr>
            <w:r>
              <w:rPr>
                <w:rFonts w:hint="eastAsia" w:cs="宋体"/>
                <w:szCs w:val="21"/>
              </w:rPr>
              <w:t>开标时间和地点</w:t>
            </w:r>
          </w:p>
        </w:tc>
        <w:tc>
          <w:tcPr>
            <w:tcW w:w="6237" w:type="dxa"/>
            <w:tcBorders>
              <w:top w:val="single" w:color="auto" w:sz="4" w:space="0"/>
              <w:left w:val="single" w:color="auto" w:sz="4" w:space="0"/>
              <w:bottom w:val="single" w:color="auto" w:sz="4" w:space="0"/>
              <w:right w:val="single" w:color="auto" w:sz="4" w:space="0"/>
            </w:tcBorders>
            <w:noWrap/>
            <w:vAlign w:val="center"/>
          </w:tcPr>
          <w:p w14:paraId="65F0ADD8">
            <w:pPr>
              <w:rPr>
                <w:rFonts w:cs="宋体"/>
                <w:szCs w:val="21"/>
              </w:rPr>
            </w:pPr>
            <w:r>
              <w:rPr>
                <w:rFonts w:hint="eastAsia" w:cs="宋体"/>
                <w:szCs w:val="21"/>
              </w:rPr>
              <w:t>开标时间：同投标截止时间</w:t>
            </w:r>
          </w:p>
          <w:p w14:paraId="0826BA0C">
            <w:pPr>
              <w:rPr>
                <w:rFonts w:cs="宋体"/>
                <w:szCs w:val="21"/>
              </w:rPr>
            </w:pPr>
            <w:r>
              <w:rPr>
                <w:rFonts w:hint="eastAsia" w:cs="宋体"/>
                <w:szCs w:val="21"/>
              </w:rPr>
              <w:t>开标地点：浙江省海港集团电子招标采购平台在线开启</w:t>
            </w:r>
          </w:p>
        </w:tc>
      </w:tr>
      <w:tr w14:paraId="6C979A74">
        <w:tblPrEx>
          <w:tblCellMar>
            <w:top w:w="0" w:type="dxa"/>
            <w:left w:w="108" w:type="dxa"/>
            <w:bottom w:w="0" w:type="dxa"/>
            <w:right w:w="108" w:type="dxa"/>
          </w:tblCellMar>
        </w:tblPrEx>
        <w:trPr>
          <w:trHeight w:val="507"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0E1FE627">
            <w:pPr>
              <w:jc w:val="center"/>
              <w:rPr>
                <w:rFonts w:cs="宋体"/>
                <w:szCs w:val="21"/>
              </w:rPr>
            </w:pPr>
            <w:r>
              <w:rPr>
                <w:rFonts w:hint="eastAsia" w:cs="宋体"/>
                <w:szCs w:val="21"/>
              </w:rPr>
              <w:t>5.2</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14:paraId="7F5DB0E4">
            <w:pPr>
              <w:jc w:val="center"/>
              <w:rPr>
                <w:rFonts w:cs="宋体"/>
                <w:szCs w:val="21"/>
              </w:rPr>
            </w:pPr>
            <w:r>
              <w:rPr>
                <w:rFonts w:hint="eastAsia" w:cs="宋体"/>
                <w:szCs w:val="21"/>
              </w:rPr>
              <w:t>开标程序</w:t>
            </w:r>
          </w:p>
        </w:tc>
        <w:tc>
          <w:tcPr>
            <w:tcW w:w="6237" w:type="dxa"/>
            <w:tcBorders>
              <w:top w:val="single" w:color="auto" w:sz="4" w:space="0"/>
              <w:left w:val="single" w:color="auto" w:sz="4" w:space="0"/>
              <w:bottom w:val="single" w:color="auto" w:sz="4" w:space="0"/>
              <w:right w:val="single" w:color="auto" w:sz="4" w:space="0"/>
            </w:tcBorders>
            <w:noWrap/>
            <w:vAlign w:val="center"/>
          </w:tcPr>
          <w:p w14:paraId="7C223098">
            <w:pPr>
              <w:rPr>
                <w:rFonts w:cs="宋体"/>
                <w:szCs w:val="21"/>
              </w:rPr>
            </w:pPr>
            <w:r>
              <w:rPr>
                <w:rFonts w:hint="eastAsia" w:cs="宋体"/>
                <w:szCs w:val="21"/>
              </w:rPr>
              <w:t>开标顺序：线上开标，同时开启。</w:t>
            </w:r>
          </w:p>
        </w:tc>
      </w:tr>
      <w:tr w14:paraId="23817B15">
        <w:tblPrEx>
          <w:tblCellMar>
            <w:top w:w="0" w:type="dxa"/>
            <w:left w:w="108" w:type="dxa"/>
            <w:bottom w:w="0" w:type="dxa"/>
            <w:right w:w="108" w:type="dxa"/>
          </w:tblCellMar>
        </w:tblPrEx>
        <w:trPr>
          <w:trHeight w:val="1009"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03CD4C36">
            <w:pPr>
              <w:jc w:val="center"/>
              <w:rPr>
                <w:rFonts w:cs="宋体"/>
                <w:szCs w:val="21"/>
              </w:rPr>
            </w:pPr>
            <w:r>
              <w:rPr>
                <w:rFonts w:hint="eastAsia" w:cs="宋体"/>
                <w:szCs w:val="21"/>
              </w:rPr>
              <w:t>6.1.1</w:t>
            </w:r>
          </w:p>
        </w:tc>
        <w:tc>
          <w:tcPr>
            <w:tcW w:w="2351" w:type="dxa"/>
            <w:gridSpan w:val="2"/>
            <w:tcBorders>
              <w:top w:val="single" w:color="auto" w:sz="4" w:space="0"/>
              <w:left w:val="nil"/>
              <w:bottom w:val="single" w:color="auto" w:sz="4" w:space="0"/>
              <w:right w:val="single" w:color="auto" w:sz="4" w:space="0"/>
            </w:tcBorders>
            <w:noWrap/>
            <w:vAlign w:val="center"/>
          </w:tcPr>
          <w:p w14:paraId="3EA592A1">
            <w:pPr>
              <w:jc w:val="center"/>
              <w:rPr>
                <w:rFonts w:cs="宋体"/>
                <w:szCs w:val="21"/>
              </w:rPr>
            </w:pPr>
            <w:r>
              <w:rPr>
                <w:rFonts w:hint="eastAsia" w:cs="宋体"/>
                <w:szCs w:val="21"/>
              </w:rPr>
              <w:t>评标委员会的组建</w:t>
            </w:r>
          </w:p>
        </w:tc>
        <w:tc>
          <w:tcPr>
            <w:tcW w:w="6237" w:type="dxa"/>
            <w:tcBorders>
              <w:top w:val="single" w:color="auto" w:sz="4" w:space="0"/>
              <w:left w:val="nil"/>
              <w:bottom w:val="single" w:color="auto" w:sz="4" w:space="0"/>
              <w:right w:val="single" w:color="auto" w:sz="4" w:space="0"/>
            </w:tcBorders>
            <w:noWrap/>
            <w:vAlign w:val="center"/>
          </w:tcPr>
          <w:p w14:paraId="2193AA88">
            <w:pPr>
              <w:rPr>
                <w:rFonts w:cs="宋体"/>
                <w:szCs w:val="21"/>
              </w:rPr>
            </w:pPr>
            <w:r>
              <w:rPr>
                <w:rFonts w:hint="eastAsia" w:cs="宋体"/>
                <w:szCs w:val="21"/>
              </w:rPr>
              <w:t>评标委员会构成：</w:t>
            </w:r>
            <w:r>
              <w:rPr>
                <w:rFonts w:hint="eastAsia" w:cs="宋体"/>
                <w:szCs w:val="21"/>
                <w:u w:val="single"/>
              </w:rPr>
              <w:t>5</w:t>
            </w:r>
            <w:r>
              <w:rPr>
                <w:rFonts w:hint="eastAsia" w:cs="宋体"/>
                <w:szCs w:val="21"/>
              </w:rPr>
              <w:t>人</w:t>
            </w:r>
          </w:p>
          <w:p w14:paraId="6ADEF917">
            <w:pPr>
              <w:rPr>
                <w:rFonts w:cs="宋体"/>
                <w:szCs w:val="21"/>
              </w:rPr>
            </w:pPr>
            <w:r>
              <w:rPr>
                <w:rFonts w:hint="eastAsia" w:cs="宋体"/>
                <w:szCs w:val="21"/>
              </w:rPr>
              <w:t>评标专家确定方式：按规定组建。</w:t>
            </w:r>
          </w:p>
        </w:tc>
      </w:tr>
      <w:tr w14:paraId="6B44904D">
        <w:tblPrEx>
          <w:tblCellMar>
            <w:top w:w="0" w:type="dxa"/>
            <w:left w:w="108" w:type="dxa"/>
            <w:bottom w:w="0" w:type="dxa"/>
            <w:right w:w="108" w:type="dxa"/>
          </w:tblCellMar>
        </w:tblPrEx>
        <w:trPr>
          <w:trHeight w:val="700" w:hRule="atLeast"/>
          <w:jc w:val="center"/>
        </w:trPr>
        <w:tc>
          <w:tcPr>
            <w:tcW w:w="1301" w:type="dxa"/>
            <w:tcBorders>
              <w:top w:val="single" w:color="auto" w:sz="4" w:space="0"/>
              <w:left w:val="single" w:color="auto" w:sz="4" w:space="0"/>
              <w:right w:val="single" w:color="auto" w:sz="4" w:space="0"/>
            </w:tcBorders>
            <w:noWrap/>
            <w:vAlign w:val="center"/>
          </w:tcPr>
          <w:p w14:paraId="01C61635">
            <w:pPr>
              <w:jc w:val="center"/>
              <w:rPr>
                <w:rFonts w:cs="宋体"/>
                <w:szCs w:val="21"/>
              </w:rPr>
            </w:pPr>
            <w:r>
              <w:rPr>
                <w:rFonts w:hint="eastAsia" w:cs="宋体"/>
                <w:szCs w:val="21"/>
              </w:rPr>
              <w:t>7.1</w:t>
            </w:r>
          </w:p>
        </w:tc>
        <w:tc>
          <w:tcPr>
            <w:tcW w:w="2351" w:type="dxa"/>
            <w:gridSpan w:val="2"/>
            <w:tcBorders>
              <w:top w:val="single" w:color="auto" w:sz="4" w:space="0"/>
              <w:left w:val="nil"/>
              <w:right w:val="single" w:color="auto" w:sz="4" w:space="0"/>
            </w:tcBorders>
            <w:noWrap/>
            <w:vAlign w:val="center"/>
          </w:tcPr>
          <w:p w14:paraId="15492364">
            <w:pPr>
              <w:jc w:val="center"/>
              <w:rPr>
                <w:rFonts w:cs="宋体"/>
                <w:szCs w:val="21"/>
              </w:rPr>
            </w:pPr>
            <w:r>
              <w:rPr>
                <w:rFonts w:hint="eastAsia" w:cs="宋体"/>
                <w:szCs w:val="21"/>
              </w:rPr>
              <w:t>是否授权评标委员会确定中标人</w:t>
            </w:r>
          </w:p>
        </w:tc>
        <w:tc>
          <w:tcPr>
            <w:tcW w:w="6237" w:type="dxa"/>
            <w:tcBorders>
              <w:top w:val="single" w:color="auto" w:sz="4" w:space="0"/>
              <w:left w:val="nil"/>
              <w:right w:val="single" w:color="auto" w:sz="4" w:space="0"/>
            </w:tcBorders>
            <w:noWrap/>
            <w:vAlign w:val="center"/>
          </w:tcPr>
          <w:p w14:paraId="2839074D">
            <w:pPr>
              <w:rPr>
                <w:rFonts w:cs="宋体"/>
                <w:szCs w:val="21"/>
                <w:u w:val="single"/>
              </w:rPr>
            </w:pPr>
            <w:r>
              <w:rPr>
                <w:rFonts w:hint="eastAsia" w:cs="宋体"/>
                <w:szCs w:val="21"/>
              </w:rPr>
              <w:t>推荐的中标候选人数：</w:t>
            </w:r>
            <w:r>
              <w:rPr>
                <w:rFonts w:hint="eastAsia" w:cs="宋体"/>
                <w:szCs w:val="21"/>
                <w:u w:val="single"/>
              </w:rPr>
              <w:t xml:space="preserve"> 1 </w:t>
            </w:r>
          </w:p>
        </w:tc>
      </w:tr>
      <w:tr w14:paraId="749D27C6">
        <w:tblPrEx>
          <w:tblCellMar>
            <w:top w:w="0" w:type="dxa"/>
            <w:left w:w="108" w:type="dxa"/>
            <w:bottom w:w="0" w:type="dxa"/>
            <w:right w:w="108" w:type="dxa"/>
          </w:tblCellMar>
        </w:tblPrEx>
        <w:trPr>
          <w:trHeight w:val="630"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755DA23D">
            <w:pPr>
              <w:jc w:val="center"/>
              <w:rPr>
                <w:rFonts w:cs="宋体"/>
                <w:szCs w:val="21"/>
              </w:rPr>
            </w:pPr>
            <w:r>
              <w:rPr>
                <w:rFonts w:hint="eastAsia" w:cs="宋体"/>
                <w:szCs w:val="21"/>
              </w:rPr>
              <w:t>7.3.1</w:t>
            </w:r>
          </w:p>
        </w:tc>
        <w:tc>
          <w:tcPr>
            <w:tcW w:w="2351" w:type="dxa"/>
            <w:gridSpan w:val="2"/>
            <w:tcBorders>
              <w:top w:val="single" w:color="auto" w:sz="4" w:space="0"/>
              <w:left w:val="nil"/>
              <w:bottom w:val="single" w:color="auto" w:sz="4" w:space="0"/>
              <w:right w:val="single" w:color="auto" w:sz="4" w:space="0"/>
            </w:tcBorders>
            <w:noWrap/>
            <w:vAlign w:val="center"/>
          </w:tcPr>
          <w:p w14:paraId="19A3B5B1">
            <w:pPr>
              <w:jc w:val="center"/>
              <w:rPr>
                <w:rFonts w:cs="宋体"/>
                <w:szCs w:val="21"/>
              </w:rPr>
            </w:pPr>
            <w:r>
              <w:rPr>
                <w:rFonts w:hint="eastAsia" w:cs="宋体"/>
                <w:szCs w:val="21"/>
              </w:rPr>
              <w:t>履约担保</w:t>
            </w:r>
          </w:p>
        </w:tc>
        <w:tc>
          <w:tcPr>
            <w:tcW w:w="6237" w:type="dxa"/>
            <w:tcBorders>
              <w:top w:val="single" w:color="auto" w:sz="4" w:space="0"/>
              <w:left w:val="nil"/>
              <w:bottom w:val="single" w:color="auto" w:sz="4" w:space="0"/>
              <w:right w:val="single" w:color="auto" w:sz="4" w:space="0"/>
            </w:tcBorders>
            <w:noWrap/>
            <w:vAlign w:val="center"/>
          </w:tcPr>
          <w:p w14:paraId="4AA793F1">
            <w:pPr>
              <w:rPr>
                <w:rFonts w:cs="宋体"/>
                <w:szCs w:val="21"/>
              </w:rPr>
            </w:pPr>
            <w:r>
              <w:rPr>
                <w:rFonts w:hint="eastAsia" w:cs="宋体"/>
                <w:szCs w:val="21"/>
              </w:rPr>
              <w:t>履约担保的形式：银行转账</w:t>
            </w:r>
          </w:p>
          <w:p w14:paraId="5D9FC106">
            <w:pPr>
              <w:rPr>
                <w:rFonts w:cs="宋体"/>
                <w:szCs w:val="21"/>
              </w:rPr>
            </w:pPr>
            <w:r>
              <w:rPr>
                <w:rFonts w:hint="eastAsia" w:cs="宋体"/>
                <w:szCs w:val="21"/>
              </w:rPr>
              <w:t>履约担保的金额：工程合同价款的2%。</w:t>
            </w:r>
          </w:p>
        </w:tc>
      </w:tr>
      <w:tr w14:paraId="1A9C34FE">
        <w:tblPrEx>
          <w:tblCellMar>
            <w:top w:w="0" w:type="dxa"/>
            <w:left w:w="108" w:type="dxa"/>
            <w:bottom w:w="0" w:type="dxa"/>
            <w:right w:w="108" w:type="dxa"/>
          </w:tblCellMar>
        </w:tblPrEx>
        <w:trPr>
          <w:trHeight w:val="465" w:hRule="atLeast"/>
          <w:jc w:val="center"/>
        </w:trPr>
        <w:tc>
          <w:tcPr>
            <w:tcW w:w="9889" w:type="dxa"/>
            <w:gridSpan w:val="4"/>
            <w:tcBorders>
              <w:top w:val="single" w:color="auto" w:sz="4" w:space="0"/>
              <w:left w:val="single" w:color="auto" w:sz="4" w:space="0"/>
              <w:bottom w:val="single" w:color="auto" w:sz="4" w:space="0"/>
              <w:right w:val="single" w:color="auto" w:sz="4" w:space="0"/>
            </w:tcBorders>
            <w:noWrap/>
            <w:vAlign w:val="center"/>
          </w:tcPr>
          <w:p w14:paraId="3615EAF3">
            <w:pPr>
              <w:rPr>
                <w:rFonts w:cs="宋体"/>
                <w:szCs w:val="21"/>
              </w:rPr>
            </w:pPr>
            <w:r>
              <w:rPr>
                <w:rFonts w:hint="eastAsia" w:cs="宋体"/>
                <w:szCs w:val="21"/>
              </w:rPr>
              <w:t>10.需要补充的其他内容</w:t>
            </w:r>
          </w:p>
        </w:tc>
      </w:tr>
      <w:tr w14:paraId="0A3CDF1F">
        <w:tblPrEx>
          <w:tblCellMar>
            <w:top w:w="0" w:type="dxa"/>
            <w:left w:w="108" w:type="dxa"/>
            <w:bottom w:w="0" w:type="dxa"/>
            <w:right w:w="108" w:type="dxa"/>
          </w:tblCellMar>
        </w:tblPrEx>
        <w:trPr>
          <w:trHeight w:val="520"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7BB1DD14">
            <w:pPr>
              <w:jc w:val="center"/>
              <w:rPr>
                <w:rFonts w:cs="宋体"/>
                <w:szCs w:val="21"/>
              </w:rPr>
            </w:pPr>
            <w:r>
              <w:rPr>
                <w:rFonts w:hint="eastAsia" w:cs="宋体"/>
                <w:szCs w:val="21"/>
              </w:rPr>
              <w:t>10.2</w:t>
            </w:r>
          </w:p>
        </w:tc>
        <w:tc>
          <w:tcPr>
            <w:tcW w:w="2351" w:type="dxa"/>
            <w:gridSpan w:val="2"/>
            <w:tcBorders>
              <w:top w:val="single" w:color="auto" w:sz="4" w:space="0"/>
              <w:left w:val="nil"/>
              <w:bottom w:val="single" w:color="auto" w:sz="4" w:space="0"/>
              <w:right w:val="single" w:color="auto" w:sz="4" w:space="0"/>
            </w:tcBorders>
            <w:noWrap/>
            <w:vAlign w:val="center"/>
          </w:tcPr>
          <w:p w14:paraId="5FAEEB4A">
            <w:pPr>
              <w:jc w:val="center"/>
              <w:rPr>
                <w:rFonts w:cs="宋体"/>
                <w:szCs w:val="21"/>
              </w:rPr>
            </w:pPr>
            <w:r>
              <w:rPr>
                <w:rFonts w:hint="eastAsia" w:cs="宋体"/>
                <w:szCs w:val="21"/>
              </w:rPr>
              <w:t>工程造价</w:t>
            </w:r>
          </w:p>
        </w:tc>
        <w:tc>
          <w:tcPr>
            <w:tcW w:w="6237" w:type="dxa"/>
            <w:tcBorders>
              <w:top w:val="single" w:color="auto" w:sz="4" w:space="0"/>
              <w:left w:val="nil"/>
              <w:bottom w:val="single" w:color="auto" w:sz="4" w:space="0"/>
              <w:right w:val="single" w:color="auto" w:sz="4" w:space="0"/>
            </w:tcBorders>
            <w:noWrap/>
            <w:vAlign w:val="center"/>
          </w:tcPr>
          <w:p w14:paraId="63EABEA9">
            <w:pPr>
              <w:rPr>
                <w:rFonts w:cs="宋体"/>
                <w:szCs w:val="21"/>
              </w:rPr>
            </w:pPr>
            <w:r>
              <w:rPr>
                <w:rFonts w:hint="eastAsia" w:cs="宋体"/>
                <w:szCs w:val="21"/>
              </w:rPr>
              <w:t>本工程最高投标限价</w:t>
            </w:r>
            <w:r>
              <w:rPr>
                <w:rFonts w:hint="eastAsia" w:cs="宋体"/>
                <w:b w:val="0"/>
                <w:bCs w:val="0"/>
                <w:sz w:val="21"/>
                <w:szCs w:val="21"/>
                <w:lang w:eastAsia="zh-CN"/>
              </w:rPr>
              <w:t>434169</w:t>
            </w:r>
            <w:r>
              <w:rPr>
                <w:rFonts w:hint="eastAsia" w:cs="宋体"/>
                <w:szCs w:val="21"/>
              </w:rPr>
              <w:t>元。</w:t>
            </w:r>
          </w:p>
        </w:tc>
      </w:tr>
      <w:tr w14:paraId="40751FC1">
        <w:tblPrEx>
          <w:tblCellMar>
            <w:top w:w="0" w:type="dxa"/>
            <w:left w:w="108" w:type="dxa"/>
            <w:bottom w:w="0" w:type="dxa"/>
            <w:right w:w="108" w:type="dxa"/>
          </w:tblCellMar>
        </w:tblPrEx>
        <w:trPr>
          <w:trHeight w:val="1036" w:hRule="atLeast"/>
          <w:jc w:val="center"/>
        </w:trPr>
        <w:tc>
          <w:tcPr>
            <w:tcW w:w="1301" w:type="dxa"/>
            <w:tcBorders>
              <w:top w:val="single" w:color="auto" w:sz="4" w:space="0"/>
              <w:left w:val="single" w:color="auto" w:sz="4" w:space="0"/>
              <w:bottom w:val="single" w:color="auto" w:sz="4" w:space="0"/>
              <w:right w:val="single" w:color="auto" w:sz="4" w:space="0"/>
            </w:tcBorders>
            <w:noWrap/>
            <w:vAlign w:val="center"/>
          </w:tcPr>
          <w:p w14:paraId="665D17B3">
            <w:pPr>
              <w:jc w:val="center"/>
              <w:rPr>
                <w:rFonts w:cs="宋体"/>
                <w:szCs w:val="21"/>
              </w:rPr>
            </w:pPr>
            <w:r>
              <w:rPr>
                <w:rFonts w:hint="eastAsia" w:cs="宋体"/>
                <w:szCs w:val="21"/>
              </w:rPr>
              <w:t>10.12</w:t>
            </w:r>
          </w:p>
        </w:tc>
        <w:tc>
          <w:tcPr>
            <w:tcW w:w="2351" w:type="dxa"/>
            <w:gridSpan w:val="2"/>
            <w:tcBorders>
              <w:top w:val="single" w:color="auto" w:sz="4" w:space="0"/>
              <w:left w:val="nil"/>
              <w:bottom w:val="single" w:color="auto" w:sz="4" w:space="0"/>
              <w:right w:val="single" w:color="auto" w:sz="4" w:space="0"/>
            </w:tcBorders>
            <w:noWrap/>
            <w:vAlign w:val="center"/>
          </w:tcPr>
          <w:p w14:paraId="773C654E">
            <w:pPr>
              <w:jc w:val="center"/>
              <w:rPr>
                <w:rFonts w:cs="宋体"/>
                <w:szCs w:val="21"/>
              </w:rPr>
            </w:pPr>
            <w:r>
              <w:rPr>
                <w:rFonts w:hint="eastAsia" w:cs="宋体"/>
                <w:szCs w:val="21"/>
              </w:rPr>
              <w:t>创文明标化目标</w:t>
            </w:r>
          </w:p>
        </w:tc>
        <w:tc>
          <w:tcPr>
            <w:tcW w:w="6237" w:type="dxa"/>
            <w:tcBorders>
              <w:top w:val="single" w:color="auto" w:sz="4" w:space="0"/>
              <w:left w:val="nil"/>
              <w:bottom w:val="single" w:color="auto" w:sz="4" w:space="0"/>
              <w:right w:val="single" w:color="auto" w:sz="4" w:space="0"/>
            </w:tcBorders>
            <w:noWrap/>
            <w:vAlign w:val="center"/>
          </w:tcPr>
          <w:p w14:paraId="1D89F59E">
            <w:pPr>
              <w:rPr>
                <w:rFonts w:cs="宋体"/>
                <w:szCs w:val="21"/>
              </w:rPr>
            </w:pPr>
            <w:r>
              <w:rPr>
                <w:rFonts w:hint="eastAsia" w:cs="宋体"/>
                <w:szCs w:val="21"/>
              </w:rPr>
              <w:t>本工程对创标化工地不做要求，中标人必须按有关规定做好文明施工，保证施工场地清洁，若施工期间对场地造成污染,需当天清洁，符合环境卫生管理要求，承担自身原因造成的损失和罚款。</w:t>
            </w:r>
          </w:p>
        </w:tc>
      </w:tr>
      <w:tr w14:paraId="0102E95B">
        <w:tblPrEx>
          <w:tblCellMar>
            <w:top w:w="0" w:type="dxa"/>
            <w:left w:w="108" w:type="dxa"/>
            <w:bottom w:w="0" w:type="dxa"/>
            <w:right w:w="108" w:type="dxa"/>
          </w:tblCellMar>
        </w:tblPrEx>
        <w:trPr>
          <w:trHeight w:val="531" w:hRule="atLeast"/>
          <w:jc w:val="center"/>
        </w:trPr>
        <w:tc>
          <w:tcPr>
            <w:tcW w:w="1301" w:type="dxa"/>
            <w:vMerge w:val="restart"/>
            <w:tcBorders>
              <w:left w:val="single" w:color="auto" w:sz="4" w:space="0"/>
              <w:bottom w:val="single" w:color="auto" w:sz="4" w:space="0"/>
              <w:right w:val="single" w:color="auto" w:sz="4" w:space="0"/>
            </w:tcBorders>
            <w:noWrap/>
            <w:vAlign w:val="center"/>
          </w:tcPr>
          <w:p w14:paraId="2B494EDC">
            <w:pPr>
              <w:jc w:val="center"/>
              <w:rPr>
                <w:rFonts w:cs="宋体"/>
                <w:szCs w:val="21"/>
              </w:rPr>
            </w:pPr>
            <w:r>
              <w:rPr>
                <w:rFonts w:hint="eastAsia" w:cs="宋体"/>
                <w:szCs w:val="21"/>
              </w:rPr>
              <w:t>10.13</w:t>
            </w:r>
          </w:p>
        </w:tc>
        <w:tc>
          <w:tcPr>
            <w:tcW w:w="650" w:type="dxa"/>
            <w:vMerge w:val="restart"/>
            <w:tcBorders>
              <w:left w:val="single" w:color="auto" w:sz="4" w:space="0"/>
              <w:bottom w:val="single" w:color="auto" w:sz="4" w:space="0"/>
              <w:right w:val="single" w:color="auto" w:sz="4" w:space="0"/>
            </w:tcBorders>
            <w:noWrap/>
            <w:vAlign w:val="center"/>
          </w:tcPr>
          <w:p w14:paraId="0CC11E99">
            <w:pPr>
              <w:jc w:val="center"/>
              <w:rPr>
                <w:rFonts w:cs="宋体"/>
                <w:szCs w:val="21"/>
              </w:rPr>
            </w:pPr>
            <w:r>
              <w:rPr>
                <w:rFonts w:hint="eastAsia" w:cs="宋体"/>
                <w:szCs w:val="21"/>
              </w:rPr>
              <w:t>招标人补充的其他内容</w:t>
            </w:r>
          </w:p>
        </w:tc>
        <w:tc>
          <w:tcPr>
            <w:tcW w:w="1701" w:type="dxa"/>
            <w:tcBorders>
              <w:top w:val="single" w:color="auto" w:sz="4" w:space="0"/>
              <w:left w:val="single" w:color="auto" w:sz="4" w:space="0"/>
              <w:bottom w:val="single" w:color="auto" w:sz="4" w:space="0"/>
              <w:right w:val="single" w:color="auto" w:sz="4" w:space="0"/>
            </w:tcBorders>
            <w:noWrap/>
            <w:vAlign w:val="center"/>
          </w:tcPr>
          <w:p w14:paraId="667E095F">
            <w:pPr>
              <w:jc w:val="center"/>
              <w:rPr>
                <w:rFonts w:cs="宋体"/>
                <w:szCs w:val="21"/>
              </w:rPr>
            </w:pPr>
            <w:r>
              <w:rPr>
                <w:rFonts w:hint="eastAsia" w:cs="宋体"/>
                <w:szCs w:val="21"/>
              </w:rPr>
              <w:t>1、采用计税方法</w:t>
            </w:r>
          </w:p>
        </w:tc>
        <w:tc>
          <w:tcPr>
            <w:tcW w:w="6237" w:type="dxa"/>
            <w:tcBorders>
              <w:top w:val="single" w:color="auto" w:sz="4" w:space="0"/>
              <w:left w:val="nil"/>
              <w:bottom w:val="single" w:color="auto" w:sz="4" w:space="0"/>
              <w:right w:val="single" w:color="auto" w:sz="4" w:space="0"/>
            </w:tcBorders>
            <w:noWrap/>
            <w:vAlign w:val="center"/>
          </w:tcPr>
          <w:p w14:paraId="0AD2F60B">
            <w:pPr>
              <w:rPr>
                <w:rFonts w:cs="宋体"/>
                <w:szCs w:val="21"/>
              </w:rPr>
            </w:pPr>
            <w:r>
              <w:rPr>
                <w:rFonts w:hint="eastAsia" w:cs="宋体"/>
                <w:szCs w:val="21"/>
              </w:rPr>
              <w:fldChar w:fldCharType="begin"/>
            </w:r>
            <w:r>
              <w:rPr>
                <w:rFonts w:hint="eastAsia" w:cs="宋体"/>
                <w:szCs w:val="21"/>
              </w:rPr>
              <w:instrText xml:space="preserve"> eq \o\ac(□,√)</w:instrText>
            </w:r>
            <w:r>
              <w:rPr>
                <w:rFonts w:hint="eastAsia" w:cs="宋体"/>
                <w:szCs w:val="21"/>
              </w:rPr>
              <w:fldChar w:fldCharType="end"/>
            </w:r>
            <w:r>
              <w:rPr>
                <w:rFonts w:hint="eastAsia" w:cs="宋体"/>
                <w:szCs w:val="21"/>
              </w:rPr>
              <w:t>一般计税方法 ，中标人需提供增值税专用发票</w:t>
            </w:r>
          </w:p>
        </w:tc>
      </w:tr>
      <w:tr w14:paraId="69F1014B">
        <w:tblPrEx>
          <w:tblCellMar>
            <w:top w:w="0" w:type="dxa"/>
            <w:left w:w="108" w:type="dxa"/>
            <w:bottom w:w="0" w:type="dxa"/>
            <w:right w:w="108" w:type="dxa"/>
          </w:tblCellMar>
        </w:tblPrEx>
        <w:trPr>
          <w:trHeight w:val="2822" w:hRule="atLeast"/>
          <w:jc w:val="center"/>
        </w:trPr>
        <w:tc>
          <w:tcPr>
            <w:tcW w:w="1301" w:type="dxa"/>
            <w:vMerge w:val="continue"/>
            <w:tcBorders>
              <w:top w:val="single" w:color="auto" w:sz="4" w:space="0"/>
              <w:left w:val="single" w:color="auto" w:sz="4" w:space="0"/>
              <w:bottom w:val="single" w:color="auto" w:sz="4" w:space="0"/>
              <w:right w:val="single" w:color="auto" w:sz="4" w:space="0"/>
            </w:tcBorders>
            <w:noWrap/>
            <w:vAlign w:val="center"/>
          </w:tcPr>
          <w:p w14:paraId="3E2F7416">
            <w:pPr>
              <w:jc w:val="center"/>
              <w:rPr>
                <w:rFonts w:cs="宋体"/>
                <w:szCs w:val="21"/>
              </w:rPr>
            </w:pPr>
          </w:p>
        </w:tc>
        <w:tc>
          <w:tcPr>
            <w:tcW w:w="650" w:type="dxa"/>
            <w:vMerge w:val="continue"/>
            <w:tcBorders>
              <w:top w:val="single" w:color="auto" w:sz="4" w:space="0"/>
              <w:left w:val="single" w:color="auto" w:sz="4" w:space="0"/>
              <w:bottom w:val="single" w:color="auto" w:sz="4" w:space="0"/>
              <w:right w:val="single" w:color="auto" w:sz="4" w:space="0"/>
            </w:tcBorders>
            <w:noWrap/>
            <w:vAlign w:val="center"/>
          </w:tcPr>
          <w:p w14:paraId="77931EDD">
            <w:pPr>
              <w:jc w:val="center"/>
              <w:rPr>
                <w:rFonts w:cs="宋体"/>
                <w:szCs w:val="21"/>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27AF3B22">
            <w:pPr>
              <w:jc w:val="center"/>
              <w:rPr>
                <w:rFonts w:cs="宋体"/>
                <w:szCs w:val="21"/>
              </w:rPr>
            </w:pPr>
            <w:r>
              <w:rPr>
                <w:rFonts w:hint="eastAsia" w:cs="宋体"/>
                <w:szCs w:val="21"/>
              </w:rPr>
              <w:t>2、招标代理服务费及造价咨询服务费</w:t>
            </w:r>
          </w:p>
        </w:tc>
        <w:tc>
          <w:tcPr>
            <w:tcW w:w="6237" w:type="dxa"/>
            <w:tcBorders>
              <w:top w:val="single" w:color="auto" w:sz="4" w:space="0"/>
              <w:left w:val="nil"/>
              <w:bottom w:val="single" w:color="auto" w:sz="4" w:space="0"/>
              <w:right w:val="single" w:color="auto" w:sz="4" w:space="0"/>
            </w:tcBorders>
            <w:noWrap/>
            <w:vAlign w:val="center"/>
          </w:tcPr>
          <w:p w14:paraId="0E3710AD">
            <w:pPr>
              <w:rPr>
                <w:rFonts w:cs="宋体"/>
                <w:szCs w:val="21"/>
              </w:rPr>
            </w:pPr>
            <w:r>
              <w:rPr>
                <w:rFonts w:hint="eastAsia" w:cs="宋体"/>
                <w:szCs w:val="21"/>
              </w:rPr>
              <w:t>招标代理服务费按人民币3580.00元、造价咨询服务费按2000元包干计取，由中标人在领取中标（成交）通知书之前将费用支付给招标代理机构。</w:t>
            </w:r>
          </w:p>
          <w:p w14:paraId="73FE0091">
            <w:pPr>
              <w:rPr>
                <w:rFonts w:cs="宋体"/>
                <w:szCs w:val="21"/>
              </w:rPr>
            </w:pPr>
            <w:r>
              <w:rPr>
                <w:rFonts w:hint="eastAsia" w:cs="宋体"/>
                <w:szCs w:val="21"/>
              </w:rPr>
              <w:t>代理服务费可以是现金、支票或汇票。</w:t>
            </w:r>
          </w:p>
          <w:p w14:paraId="66160E72">
            <w:pPr>
              <w:rPr>
                <w:rFonts w:cs="宋体"/>
                <w:szCs w:val="21"/>
              </w:rPr>
            </w:pPr>
            <w:r>
              <w:rPr>
                <w:rFonts w:hint="eastAsia" w:cs="宋体"/>
                <w:szCs w:val="21"/>
              </w:rPr>
              <w:t xml:space="preserve">户  名：浙江新业项目管理有限公司       </w:t>
            </w:r>
          </w:p>
          <w:p w14:paraId="7881E470">
            <w:pPr>
              <w:rPr>
                <w:rFonts w:cs="宋体"/>
                <w:szCs w:val="21"/>
              </w:rPr>
            </w:pPr>
            <w:r>
              <w:rPr>
                <w:rFonts w:hint="eastAsia" w:cs="宋体"/>
                <w:szCs w:val="21"/>
              </w:rPr>
              <w:t>账  号：19230401040008015</w:t>
            </w:r>
          </w:p>
          <w:p w14:paraId="0AAEDB43">
            <w:pPr>
              <w:rPr>
                <w:rFonts w:cs="宋体"/>
                <w:szCs w:val="21"/>
              </w:rPr>
            </w:pPr>
            <w:r>
              <w:rPr>
                <w:rFonts w:hint="eastAsia" w:cs="宋体"/>
                <w:szCs w:val="21"/>
              </w:rPr>
              <w:t>开户行：中国农业银行股份有限公司温州三垟支行</w:t>
            </w:r>
          </w:p>
        </w:tc>
      </w:tr>
      <w:tr w14:paraId="56E9A37A">
        <w:tblPrEx>
          <w:tblCellMar>
            <w:top w:w="0" w:type="dxa"/>
            <w:left w:w="108" w:type="dxa"/>
            <w:bottom w:w="0" w:type="dxa"/>
            <w:right w:w="108" w:type="dxa"/>
          </w:tblCellMar>
        </w:tblPrEx>
        <w:trPr>
          <w:trHeight w:val="2479" w:hRule="atLeast"/>
          <w:jc w:val="center"/>
        </w:trPr>
        <w:tc>
          <w:tcPr>
            <w:tcW w:w="1301" w:type="dxa"/>
            <w:vMerge w:val="continue"/>
            <w:tcBorders>
              <w:top w:val="single" w:color="auto" w:sz="4" w:space="0"/>
              <w:left w:val="single" w:color="auto" w:sz="4" w:space="0"/>
              <w:bottom w:val="single" w:color="auto" w:sz="4" w:space="0"/>
              <w:right w:val="single" w:color="auto" w:sz="4" w:space="0"/>
            </w:tcBorders>
            <w:noWrap/>
            <w:vAlign w:val="center"/>
          </w:tcPr>
          <w:p w14:paraId="3099A159">
            <w:pPr>
              <w:jc w:val="center"/>
              <w:rPr>
                <w:rFonts w:cs="宋体"/>
                <w:szCs w:val="21"/>
              </w:rPr>
            </w:pPr>
          </w:p>
        </w:tc>
        <w:tc>
          <w:tcPr>
            <w:tcW w:w="650" w:type="dxa"/>
            <w:vMerge w:val="continue"/>
            <w:tcBorders>
              <w:top w:val="single" w:color="auto" w:sz="4" w:space="0"/>
              <w:left w:val="single" w:color="auto" w:sz="4" w:space="0"/>
              <w:bottom w:val="single" w:color="auto" w:sz="4" w:space="0"/>
              <w:right w:val="single" w:color="auto" w:sz="4" w:space="0"/>
            </w:tcBorders>
            <w:noWrap/>
            <w:vAlign w:val="center"/>
          </w:tcPr>
          <w:p w14:paraId="10E8F2F3">
            <w:pPr>
              <w:jc w:val="center"/>
              <w:rPr>
                <w:rFonts w:cs="宋体"/>
                <w:szCs w:val="21"/>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B6559DF">
            <w:pPr>
              <w:jc w:val="center"/>
              <w:rPr>
                <w:rFonts w:cs="宋体"/>
                <w:szCs w:val="21"/>
              </w:rPr>
            </w:pPr>
            <w:r>
              <w:rPr>
                <w:rFonts w:hint="eastAsia" w:cs="宋体"/>
                <w:szCs w:val="21"/>
              </w:rPr>
              <w:t>3、电子招标采购平台交易服务费</w:t>
            </w:r>
          </w:p>
        </w:tc>
        <w:tc>
          <w:tcPr>
            <w:tcW w:w="6237" w:type="dxa"/>
            <w:tcBorders>
              <w:top w:val="single" w:color="auto" w:sz="4" w:space="0"/>
              <w:left w:val="nil"/>
              <w:bottom w:val="single" w:color="auto" w:sz="4" w:space="0"/>
              <w:right w:val="single" w:color="auto" w:sz="4" w:space="0"/>
            </w:tcBorders>
            <w:noWrap/>
          </w:tcPr>
          <w:p w14:paraId="0B3638B9">
            <w:pPr>
              <w:widowControl/>
              <w:spacing w:line="276" w:lineRule="auto"/>
              <w:ind w:right="25" w:hanging="4"/>
              <w:jc w:val="left"/>
              <w:rPr>
                <w:rFonts w:cs="宋体"/>
                <w:szCs w:val="21"/>
              </w:rPr>
            </w:pPr>
            <w:r>
              <w:rPr>
                <w:rFonts w:hint="eastAsia" w:cs="宋体"/>
                <w:szCs w:val="21"/>
              </w:rPr>
              <w:t>本项目采用电子招标，中标人须在明确中标后、获取中标通知书前将相应的交易服务费缴入平台指定的集团账户（在“投标管家”工具中查看）。</w:t>
            </w:r>
          </w:p>
          <w:p w14:paraId="0753BA77">
            <w:pPr>
              <w:widowControl/>
              <w:spacing w:line="276" w:lineRule="auto"/>
              <w:ind w:right="25" w:hanging="4"/>
              <w:jc w:val="left"/>
              <w:rPr>
                <w:szCs w:val="21"/>
              </w:rPr>
            </w:pPr>
            <w:r>
              <w:rPr>
                <w:szCs w:val="21"/>
              </w:rPr>
              <w:t>具体收费标准如下：</w:t>
            </w:r>
          </w:p>
          <w:p w14:paraId="006B03BB">
            <w:pPr>
              <w:pStyle w:val="31"/>
              <w:spacing w:line="276" w:lineRule="auto"/>
              <w:ind w:hanging="4"/>
              <w:jc w:val="left"/>
              <w:rPr>
                <w:rFonts w:cs="仿宋"/>
                <w:b/>
                <w:szCs w:val="21"/>
              </w:rPr>
            </w:pPr>
            <w:r>
              <w:rPr>
                <w:rFonts w:hint="eastAsia" w:cs="仿宋"/>
                <w:b/>
                <w:szCs w:val="21"/>
              </w:rPr>
              <w:t>集团电子招标采购平台交易服务费收取标准</w:t>
            </w:r>
          </w:p>
          <w:tbl>
            <w:tblPr>
              <w:tblStyle w:val="18"/>
              <w:tblW w:w="6418" w:type="dxa"/>
              <w:jc w:val="center"/>
              <w:tblLayout w:type="fixed"/>
              <w:tblCellMar>
                <w:top w:w="0" w:type="dxa"/>
                <w:left w:w="108" w:type="dxa"/>
                <w:bottom w:w="0" w:type="dxa"/>
                <w:right w:w="108" w:type="dxa"/>
              </w:tblCellMar>
            </w:tblPr>
            <w:tblGrid>
              <w:gridCol w:w="4701"/>
              <w:gridCol w:w="1717"/>
            </w:tblGrid>
            <w:tr w14:paraId="6B80090D">
              <w:tblPrEx>
                <w:tblCellMar>
                  <w:top w:w="0" w:type="dxa"/>
                  <w:left w:w="108" w:type="dxa"/>
                  <w:bottom w:w="0" w:type="dxa"/>
                  <w:right w:w="108" w:type="dxa"/>
                </w:tblCellMar>
              </w:tblPrEx>
              <w:trPr>
                <w:trHeight w:val="31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7CF31CEA">
                  <w:pPr>
                    <w:widowControl/>
                    <w:snapToGrid w:val="0"/>
                    <w:spacing w:line="276" w:lineRule="auto"/>
                    <w:ind w:hanging="4"/>
                    <w:jc w:val="left"/>
                    <w:textAlignment w:val="center"/>
                    <w:rPr>
                      <w:rFonts w:cs="黑体"/>
                      <w:szCs w:val="21"/>
                    </w:rPr>
                  </w:pPr>
                  <w:r>
                    <w:rPr>
                      <w:rFonts w:hint="eastAsia" w:cs="黑体"/>
                      <w:kern w:val="0"/>
                      <w:szCs w:val="21"/>
                    </w:rPr>
                    <w:t>中标价</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1E7F1E3C">
                  <w:pPr>
                    <w:widowControl/>
                    <w:snapToGrid w:val="0"/>
                    <w:spacing w:line="276" w:lineRule="auto"/>
                    <w:ind w:hanging="4"/>
                    <w:jc w:val="left"/>
                    <w:textAlignment w:val="center"/>
                    <w:rPr>
                      <w:rFonts w:cs="黑体"/>
                      <w:szCs w:val="21"/>
                    </w:rPr>
                  </w:pPr>
                  <w:r>
                    <w:rPr>
                      <w:rFonts w:hint="eastAsia" w:cs="黑体"/>
                      <w:kern w:val="0"/>
                      <w:szCs w:val="21"/>
                    </w:rPr>
                    <w:t>收费标准（万元）</w:t>
                  </w:r>
                </w:p>
              </w:tc>
            </w:tr>
            <w:tr w14:paraId="11126C35">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559AA174">
                  <w:pPr>
                    <w:widowControl/>
                    <w:snapToGrid w:val="0"/>
                    <w:spacing w:line="276" w:lineRule="auto"/>
                    <w:ind w:hanging="4"/>
                    <w:jc w:val="left"/>
                    <w:textAlignment w:val="center"/>
                    <w:rPr>
                      <w:rFonts w:cs="仿宋"/>
                      <w:szCs w:val="21"/>
                    </w:rPr>
                  </w:pPr>
                  <w:r>
                    <w:rPr>
                      <w:rFonts w:hint="eastAsia" w:cs="仿宋"/>
                      <w:kern w:val="0"/>
                      <w:szCs w:val="21"/>
                    </w:rPr>
                    <w:t>200万(含）以下</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7321A180">
                  <w:pPr>
                    <w:snapToGrid w:val="0"/>
                    <w:spacing w:line="276" w:lineRule="auto"/>
                    <w:ind w:hanging="4"/>
                    <w:jc w:val="left"/>
                    <w:rPr>
                      <w:rFonts w:cs="仿宋"/>
                      <w:szCs w:val="21"/>
                    </w:rPr>
                  </w:pPr>
                  <w:r>
                    <w:rPr>
                      <w:rFonts w:hint="eastAsia" w:cs="仿宋"/>
                      <w:kern w:val="0"/>
                      <w:szCs w:val="21"/>
                    </w:rPr>
                    <w:t>0.1</w:t>
                  </w:r>
                </w:p>
              </w:tc>
            </w:tr>
            <w:tr w14:paraId="71A55E33">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554C8E72">
                  <w:pPr>
                    <w:widowControl/>
                    <w:snapToGrid w:val="0"/>
                    <w:spacing w:line="276" w:lineRule="auto"/>
                    <w:ind w:hanging="4"/>
                    <w:jc w:val="left"/>
                    <w:textAlignment w:val="center"/>
                    <w:rPr>
                      <w:rFonts w:cs="仿宋"/>
                      <w:kern w:val="0"/>
                      <w:szCs w:val="21"/>
                    </w:rPr>
                  </w:pPr>
                  <w:r>
                    <w:rPr>
                      <w:rFonts w:hint="eastAsia" w:cs="仿宋"/>
                      <w:kern w:val="0"/>
                      <w:szCs w:val="21"/>
                    </w:rPr>
                    <w:t>200万-500万(含)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3E3BF5C2">
                  <w:pPr>
                    <w:snapToGrid w:val="0"/>
                    <w:spacing w:line="276" w:lineRule="auto"/>
                    <w:ind w:hanging="4"/>
                    <w:jc w:val="left"/>
                    <w:rPr>
                      <w:rFonts w:cs="仿宋"/>
                      <w:kern w:val="0"/>
                      <w:szCs w:val="21"/>
                    </w:rPr>
                  </w:pPr>
                  <w:r>
                    <w:rPr>
                      <w:rFonts w:hint="eastAsia" w:cs="仿宋"/>
                      <w:kern w:val="0"/>
                      <w:szCs w:val="21"/>
                    </w:rPr>
                    <w:t>0.25</w:t>
                  </w:r>
                </w:p>
              </w:tc>
            </w:tr>
            <w:tr w14:paraId="69DD6442">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5F5A0194">
                  <w:pPr>
                    <w:widowControl/>
                    <w:snapToGrid w:val="0"/>
                    <w:spacing w:line="276" w:lineRule="auto"/>
                    <w:ind w:hanging="4"/>
                    <w:jc w:val="left"/>
                    <w:textAlignment w:val="center"/>
                    <w:rPr>
                      <w:rFonts w:cs="仿宋"/>
                      <w:szCs w:val="21"/>
                    </w:rPr>
                  </w:pPr>
                  <w:r>
                    <w:rPr>
                      <w:rFonts w:hint="eastAsia" w:cs="仿宋"/>
                      <w:kern w:val="0"/>
                      <w:szCs w:val="21"/>
                    </w:rPr>
                    <w:t>500万-1000万(含)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6422807E">
                  <w:pPr>
                    <w:widowControl/>
                    <w:snapToGrid w:val="0"/>
                    <w:spacing w:line="276" w:lineRule="auto"/>
                    <w:ind w:hanging="4"/>
                    <w:jc w:val="left"/>
                    <w:textAlignment w:val="center"/>
                    <w:rPr>
                      <w:rFonts w:cs="仿宋"/>
                      <w:szCs w:val="21"/>
                    </w:rPr>
                  </w:pPr>
                  <w:r>
                    <w:rPr>
                      <w:rFonts w:hint="eastAsia" w:cs="仿宋"/>
                      <w:kern w:val="0"/>
                      <w:szCs w:val="21"/>
                    </w:rPr>
                    <w:t>0.75</w:t>
                  </w:r>
                </w:p>
              </w:tc>
            </w:tr>
            <w:tr w14:paraId="743F9ECF">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164CD95F">
                  <w:pPr>
                    <w:widowControl/>
                    <w:snapToGrid w:val="0"/>
                    <w:spacing w:line="276" w:lineRule="auto"/>
                    <w:ind w:hanging="4"/>
                    <w:jc w:val="left"/>
                    <w:textAlignment w:val="center"/>
                    <w:rPr>
                      <w:rFonts w:cs="仿宋"/>
                      <w:kern w:val="0"/>
                      <w:szCs w:val="21"/>
                    </w:rPr>
                  </w:pPr>
                  <w:r>
                    <w:rPr>
                      <w:rFonts w:hint="eastAsia" w:cs="仿宋"/>
                      <w:kern w:val="0"/>
                      <w:szCs w:val="21"/>
                    </w:rPr>
                    <w:t>1000万-2000万(含)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2598B0E7">
                  <w:pPr>
                    <w:widowControl/>
                    <w:snapToGrid w:val="0"/>
                    <w:spacing w:line="276" w:lineRule="auto"/>
                    <w:ind w:hanging="4"/>
                    <w:jc w:val="left"/>
                    <w:textAlignment w:val="center"/>
                    <w:rPr>
                      <w:rFonts w:cs="仿宋"/>
                      <w:kern w:val="0"/>
                      <w:szCs w:val="21"/>
                    </w:rPr>
                  </w:pPr>
                  <w:r>
                    <w:rPr>
                      <w:rFonts w:hint="eastAsia" w:cs="仿宋"/>
                      <w:kern w:val="0"/>
                      <w:szCs w:val="21"/>
                    </w:rPr>
                    <w:t>1.25</w:t>
                  </w:r>
                </w:p>
              </w:tc>
            </w:tr>
            <w:tr w14:paraId="0FB267C0">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40773C12">
                  <w:pPr>
                    <w:widowControl/>
                    <w:snapToGrid w:val="0"/>
                    <w:spacing w:line="276" w:lineRule="auto"/>
                    <w:ind w:hanging="4"/>
                    <w:jc w:val="left"/>
                    <w:textAlignment w:val="center"/>
                    <w:rPr>
                      <w:rFonts w:cs="仿宋"/>
                      <w:kern w:val="0"/>
                      <w:szCs w:val="21"/>
                    </w:rPr>
                  </w:pPr>
                  <w:r>
                    <w:rPr>
                      <w:rFonts w:hint="eastAsia" w:cs="仿宋"/>
                      <w:kern w:val="0"/>
                      <w:szCs w:val="21"/>
                    </w:rPr>
                    <w:t>2000万-5000万(含)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3563A56E">
                  <w:pPr>
                    <w:widowControl/>
                    <w:snapToGrid w:val="0"/>
                    <w:spacing w:line="276" w:lineRule="auto"/>
                    <w:ind w:hanging="4"/>
                    <w:jc w:val="left"/>
                    <w:textAlignment w:val="center"/>
                    <w:rPr>
                      <w:rFonts w:cs="仿宋"/>
                      <w:kern w:val="0"/>
                      <w:szCs w:val="21"/>
                    </w:rPr>
                  </w:pPr>
                  <w:r>
                    <w:rPr>
                      <w:rFonts w:hint="eastAsia" w:cs="仿宋"/>
                      <w:kern w:val="0"/>
                      <w:szCs w:val="21"/>
                    </w:rPr>
                    <w:t>1.75</w:t>
                  </w:r>
                </w:p>
              </w:tc>
            </w:tr>
            <w:tr w14:paraId="3F6B60B8">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3469B56F">
                  <w:pPr>
                    <w:widowControl/>
                    <w:snapToGrid w:val="0"/>
                    <w:spacing w:line="276" w:lineRule="auto"/>
                    <w:ind w:hanging="4"/>
                    <w:jc w:val="left"/>
                    <w:textAlignment w:val="center"/>
                    <w:rPr>
                      <w:rFonts w:cs="仿宋"/>
                      <w:szCs w:val="21"/>
                    </w:rPr>
                  </w:pPr>
                  <w:r>
                    <w:rPr>
                      <w:rFonts w:hint="eastAsia" w:cs="仿宋"/>
                      <w:kern w:val="0"/>
                      <w:szCs w:val="21"/>
                    </w:rPr>
                    <w:t>5000万-1亿(含)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30418F90">
                  <w:pPr>
                    <w:widowControl/>
                    <w:snapToGrid w:val="0"/>
                    <w:spacing w:line="276" w:lineRule="auto"/>
                    <w:ind w:hanging="4"/>
                    <w:jc w:val="left"/>
                    <w:textAlignment w:val="center"/>
                    <w:rPr>
                      <w:rFonts w:cs="仿宋"/>
                      <w:szCs w:val="21"/>
                    </w:rPr>
                  </w:pPr>
                  <w:r>
                    <w:rPr>
                      <w:rFonts w:hint="eastAsia" w:cs="仿宋"/>
                      <w:kern w:val="0"/>
                      <w:szCs w:val="21"/>
                    </w:rPr>
                    <w:t>2.5</w:t>
                  </w:r>
                </w:p>
              </w:tc>
            </w:tr>
            <w:tr w14:paraId="0A7D7D75">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542D63A2">
                  <w:pPr>
                    <w:widowControl/>
                    <w:snapToGrid w:val="0"/>
                    <w:spacing w:line="276" w:lineRule="auto"/>
                    <w:ind w:hanging="4"/>
                    <w:jc w:val="left"/>
                    <w:textAlignment w:val="center"/>
                    <w:rPr>
                      <w:rFonts w:cs="仿宋"/>
                      <w:kern w:val="0"/>
                      <w:szCs w:val="21"/>
                    </w:rPr>
                  </w:pPr>
                  <w:r>
                    <w:rPr>
                      <w:rFonts w:hint="eastAsia" w:cs="仿宋"/>
                      <w:kern w:val="0"/>
                      <w:szCs w:val="21"/>
                    </w:rPr>
                    <w:t>1亿-5亿(含)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69318F9F">
                  <w:pPr>
                    <w:widowControl/>
                    <w:snapToGrid w:val="0"/>
                    <w:spacing w:line="276" w:lineRule="auto"/>
                    <w:ind w:hanging="4"/>
                    <w:jc w:val="left"/>
                    <w:textAlignment w:val="center"/>
                    <w:rPr>
                      <w:rFonts w:cs="仿宋"/>
                      <w:kern w:val="0"/>
                      <w:szCs w:val="21"/>
                    </w:rPr>
                  </w:pPr>
                  <w:r>
                    <w:rPr>
                      <w:rFonts w:hint="eastAsia" w:cs="仿宋"/>
                      <w:kern w:val="0"/>
                      <w:szCs w:val="21"/>
                    </w:rPr>
                    <w:t>3.5</w:t>
                  </w:r>
                </w:p>
              </w:tc>
            </w:tr>
            <w:tr w14:paraId="48F2B3BB">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68E8A049">
                  <w:pPr>
                    <w:widowControl/>
                    <w:snapToGrid w:val="0"/>
                    <w:spacing w:line="276" w:lineRule="auto"/>
                    <w:ind w:hanging="4"/>
                    <w:jc w:val="left"/>
                    <w:textAlignment w:val="center"/>
                    <w:rPr>
                      <w:rFonts w:cs="仿宋"/>
                      <w:szCs w:val="21"/>
                    </w:rPr>
                  </w:pPr>
                  <w:r>
                    <w:rPr>
                      <w:rFonts w:hint="eastAsia" w:cs="仿宋"/>
                      <w:kern w:val="0"/>
                      <w:szCs w:val="21"/>
                    </w:rPr>
                    <w:t>5万—10亿(含)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56DAE750">
                  <w:pPr>
                    <w:widowControl/>
                    <w:snapToGrid w:val="0"/>
                    <w:spacing w:line="276" w:lineRule="auto"/>
                    <w:ind w:hanging="4"/>
                    <w:jc w:val="left"/>
                    <w:textAlignment w:val="center"/>
                    <w:rPr>
                      <w:rFonts w:cs="仿宋"/>
                      <w:szCs w:val="21"/>
                    </w:rPr>
                  </w:pPr>
                  <w:r>
                    <w:rPr>
                      <w:rFonts w:hint="eastAsia" w:cs="仿宋"/>
                      <w:kern w:val="0"/>
                      <w:szCs w:val="21"/>
                    </w:rPr>
                    <w:t>5</w:t>
                  </w:r>
                </w:p>
              </w:tc>
            </w:tr>
            <w:tr w14:paraId="0E1FD016">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2E8893A2">
                  <w:pPr>
                    <w:widowControl/>
                    <w:snapToGrid w:val="0"/>
                    <w:spacing w:line="276" w:lineRule="auto"/>
                    <w:ind w:hanging="4"/>
                    <w:jc w:val="left"/>
                    <w:textAlignment w:val="center"/>
                    <w:rPr>
                      <w:rFonts w:cs="仿宋"/>
                      <w:kern w:val="0"/>
                      <w:szCs w:val="21"/>
                    </w:rPr>
                  </w:pPr>
                  <w:r>
                    <w:rPr>
                      <w:rFonts w:hint="eastAsia" w:cs="仿宋"/>
                      <w:kern w:val="0"/>
                      <w:szCs w:val="21"/>
                    </w:rPr>
                    <w:t>10亿以上</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308CC439">
                  <w:pPr>
                    <w:widowControl/>
                    <w:snapToGrid w:val="0"/>
                    <w:spacing w:line="276" w:lineRule="auto"/>
                    <w:ind w:hanging="4"/>
                    <w:jc w:val="left"/>
                    <w:textAlignment w:val="center"/>
                    <w:rPr>
                      <w:rFonts w:cs="仿宋"/>
                      <w:kern w:val="0"/>
                      <w:szCs w:val="21"/>
                    </w:rPr>
                  </w:pPr>
                  <w:r>
                    <w:rPr>
                      <w:rFonts w:hint="eastAsia" w:cs="仿宋"/>
                      <w:kern w:val="0"/>
                      <w:szCs w:val="21"/>
                    </w:rPr>
                    <w:t>6</w:t>
                  </w:r>
                </w:p>
              </w:tc>
            </w:tr>
            <w:tr w14:paraId="1D804C2B">
              <w:tblPrEx>
                <w:tblCellMar>
                  <w:top w:w="0" w:type="dxa"/>
                  <w:left w:w="108" w:type="dxa"/>
                  <w:bottom w:w="0" w:type="dxa"/>
                  <w:right w:w="108" w:type="dxa"/>
                </w:tblCellMar>
              </w:tblPrEx>
              <w:trPr>
                <w:trHeight w:val="1932" w:hRule="atLeast"/>
                <w:jc w:val="center"/>
              </w:trPr>
              <w:tc>
                <w:tcPr>
                  <w:tcW w:w="6418" w:type="dxa"/>
                  <w:gridSpan w:val="2"/>
                  <w:tcBorders>
                    <w:top w:val="single" w:color="000000" w:sz="4" w:space="0"/>
                    <w:left w:val="single" w:color="000000" w:sz="4" w:space="0"/>
                    <w:bottom w:val="single" w:color="000000" w:sz="4" w:space="0"/>
                    <w:right w:val="single" w:color="000000" w:sz="4" w:space="0"/>
                  </w:tcBorders>
                  <w:noWrap/>
                  <w:vAlign w:val="center"/>
                </w:tcPr>
                <w:p w14:paraId="27083A80">
                  <w:pPr>
                    <w:spacing w:line="276" w:lineRule="auto"/>
                    <w:ind w:hanging="4"/>
                    <w:jc w:val="left"/>
                    <w:rPr>
                      <w:kern w:val="58"/>
                      <w:szCs w:val="21"/>
                    </w:rPr>
                  </w:pPr>
                  <w:r>
                    <w:rPr>
                      <w:rFonts w:hint="eastAsia"/>
                      <w:kern w:val="58"/>
                      <w:szCs w:val="21"/>
                    </w:rPr>
                    <w:t>注：</w:t>
                  </w:r>
                </w:p>
                <w:p w14:paraId="5F4A89BF">
                  <w:pPr>
                    <w:spacing w:line="276" w:lineRule="auto"/>
                    <w:ind w:hanging="4"/>
                    <w:jc w:val="left"/>
                    <w:rPr>
                      <w:kern w:val="58"/>
                      <w:szCs w:val="21"/>
                    </w:rPr>
                  </w:pPr>
                  <w:r>
                    <w:rPr>
                      <w:rFonts w:hint="eastAsia"/>
                      <w:kern w:val="58"/>
                      <w:szCs w:val="21"/>
                    </w:rPr>
                    <w:t>1.交易服务费由中标单位承担。</w:t>
                  </w:r>
                </w:p>
                <w:p w14:paraId="1AF25881">
                  <w:pPr>
                    <w:spacing w:line="276" w:lineRule="auto"/>
                    <w:ind w:hanging="4"/>
                    <w:jc w:val="left"/>
                    <w:rPr>
                      <w:kern w:val="58"/>
                      <w:szCs w:val="21"/>
                    </w:rPr>
                  </w:pPr>
                  <w:r>
                    <w:rPr>
                      <w:rFonts w:hint="eastAsia"/>
                      <w:kern w:val="58"/>
                      <w:szCs w:val="21"/>
                    </w:rPr>
                    <w:t>2.对于招标服务期在1年以上且按每年报价的项目,交易服务费按1年的中标金额计取。</w:t>
                  </w:r>
                </w:p>
                <w:p w14:paraId="6867E905">
                  <w:pPr>
                    <w:spacing w:line="276" w:lineRule="auto"/>
                    <w:ind w:hanging="4"/>
                    <w:jc w:val="left"/>
                    <w:rPr>
                      <w:kern w:val="58"/>
                      <w:szCs w:val="21"/>
                    </w:rPr>
                  </w:pPr>
                  <w:r>
                    <w:rPr>
                      <w:rFonts w:hint="eastAsia"/>
                      <w:kern w:val="58"/>
                      <w:szCs w:val="21"/>
                    </w:rPr>
                    <w:t>3.对于无具体交易(中标)金额的限额以上招标采购项目参照项目计划金额计取,对于无具体交易(中标)金额的限额以下招标采购项目按每个项目1000元计取，多家中标人费用平摊。</w:t>
                  </w:r>
                </w:p>
                <w:p w14:paraId="6B6CB8ED">
                  <w:pPr>
                    <w:spacing w:line="276" w:lineRule="auto"/>
                    <w:ind w:hanging="4"/>
                    <w:jc w:val="left"/>
                    <w:rPr>
                      <w:rFonts w:cs="仿宋_GB2312"/>
                      <w:szCs w:val="21"/>
                    </w:rPr>
                  </w:pPr>
                  <w:r>
                    <w:rPr>
                      <w:rFonts w:hint="eastAsia"/>
                      <w:kern w:val="58"/>
                      <w:szCs w:val="21"/>
                    </w:rPr>
                    <w:t>4.限额以下非招标项目按实际成交价0.2%收取交易服务费，最高不超过500元，5万元以下项目免收交易服务费。</w:t>
                  </w:r>
                </w:p>
              </w:tc>
            </w:tr>
          </w:tbl>
          <w:p w14:paraId="266E97C5">
            <w:pPr>
              <w:pStyle w:val="11"/>
              <w:ind w:firstLine="0" w:firstLineChars="0"/>
              <w:rPr>
                <w:rFonts w:cs="宋体"/>
              </w:rPr>
            </w:pPr>
          </w:p>
        </w:tc>
      </w:tr>
      <w:tr w14:paraId="6D293A91">
        <w:tblPrEx>
          <w:tblCellMar>
            <w:top w:w="0" w:type="dxa"/>
            <w:left w:w="108" w:type="dxa"/>
            <w:bottom w:w="0" w:type="dxa"/>
            <w:right w:w="108" w:type="dxa"/>
          </w:tblCellMar>
        </w:tblPrEx>
        <w:trPr>
          <w:trHeight w:val="1846" w:hRule="atLeast"/>
          <w:jc w:val="center"/>
        </w:trPr>
        <w:tc>
          <w:tcPr>
            <w:tcW w:w="9889" w:type="dxa"/>
            <w:gridSpan w:val="4"/>
            <w:tcBorders>
              <w:top w:val="single" w:color="auto" w:sz="4" w:space="0"/>
              <w:left w:val="single" w:color="auto" w:sz="4" w:space="0"/>
              <w:bottom w:val="single" w:color="auto" w:sz="4" w:space="0"/>
              <w:right w:val="single" w:color="auto" w:sz="4" w:space="0"/>
            </w:tcBorders>
            <w:noWrap/>
            <w:vAlign w:val="center"/>
          </w:tcPr>
          <w:p w14:paraId="430058A1">
            <w:pPr>
              <w:pStyle w:val="10"/>
              <w:rPr>
                <w:rFonts w:cs="宋体"/>
                <w:szCs w:val="21"/>
              </w:rPr>
            </w:pPr>
            <w:r>
              <w:rPr>
                <w:rFonts w:hint="eastAsia" w:cs="宋体"/>
                <w:bCs/>
                <w:szCs w:val="21"/>
              </w:rPr>
              <w:t>注：1、</w:t>
            </w:r>
            <w:r>
              <w:rPr>
                <w:rFonts w:hint="eastAsia" w:cs="宋体"/>
                <w:szCs w:val="21"/>
              </w:rPr>
              <w:t>电子投标文件中所须加盖公章部分均采用电子章，并根据“浙江省海港集团电子招标采购平台[供应商]操作手册”及本采购文件规定的格式和顺序编制电子投标文件。</w:t>
            </w:r>
          </w:p>
          <w:p w14:paraId="3DB90B9E">
            <w:pPr>
              <w:rPr>
                <w:rFonts w:cs="宋体"/>
                <w:b/>
                <w:szCs w:val="21"/>
              </w:rPr>
            </w:pPr>
            <w:r>
              <w:rPr>
                <w:rFonts w:hint="eastAsia" w:cs="宋体"/>
                <w:szCs w:val="21"/>
              </w:rPr>
              <w:t>2、本表关于招标工程项目的具体资料是对“投标须知”的具体补充或修改，如有矛盾之处，应以本表为准。</w:t>
            </w:r>
          </w:p>
        </w:tc>
      </w:tr>
    </w:tbl>
    <w:p w14:paraId="60925ED2">
      <w:pPr>
        <w:rPr>
          <w:rFonts w:cs="宋体"/>
          <w:sz w:val="44"/>
          <w:szCs w:val="44"/>
        </w:rPr>
      </w:pPr>
      <w:bookmarkStart w:id="41" w:name="_Toc45697231"/>
      <w:bookmarkStart w:id="42" w:name="_Toc723"/>
      <w:r>
        <w:rPr>
          <w:rFonts w:hint="eastAsia" w:cs="宋体"/>
          <w:sz w:val="44"/>
          <w:szCs w:val="44"/>
        </w:rPr>
        <w:br w:type="page"/>
      </w:r>
    </w:p>
    <w:p w14:paraId="6CC88249">
      <w:pPr>
        <w:wordWrap w:val="0"/>
        <w:topLinePunct/>
        <w:spacing w:line="360" w:lineRule="auto"/>
        <w:jc w:val="center"/>
        <w:rPr>
          <w:rFonts w:cs="宋体"/>
          <w:sz w:val="44"/>
          <w:szCs w:val="44"/>
        </w:rPr>
      </w:pPr>
      <w:r>
        <w:rPr>
          <w:rFonts w:hint="eastAsia" w:cs="宋体"/>
          <w:sz w:val="44"/>
          <w:szCs w:val="44"/>
        </w:rPr>
        <w:t>投标人须知</w:t>
      </w:r>
      <w:bookmarkEnd w:id="41"/>
      <w:bookmarkEnd w:id="42"/>
    </w:p>
    <w:p w14:paraId="10E43500">
      <w:pPr>
        <w:pStyle w:val="25"/>
        <w:rPr>
          <w:rFonts w:ascii="宋体" w:hAnsi="宋体" w:eastAsia="宋体"/>
        </w:rPr>
      </w:pPr>
      <w:bookmarkStart w:id="43" w:name="_Toc144974497"/>
      <w:bookmarkStart w:id="44" w:name="_Toc152042305"/>
      <w:bookmarkStart w:id="45" w:name="_Toc179632546"/>
      <w:bookmarkStart w:id="46" w:name="_Toc152045529"/>
      <w:r>
        <w:rPr>
          <w:rFonts w:hint="eastAsia" w:ascii="宋体" w:hAnsi="宋体" w:eastAsia="宋体"/>
        </w:rPr>
        <w:t>1. 总则</w:t>
      </w:r>
    </w:p>
    <w:p w14:paraId="6169A1B1">
      <w:pPr>
        <w:pStyle w:val="27"/>
        <w:rPr>
          <w:rFonts w:eastAsia="宋体"/>
        </w:rPr>
      </w:pPr>
      <w:r>
        <w:rPr>
          <w:rFonts w:hint="eastAsia" w:eastAsia="宋体"/>
        </w:rPr>
        <w:t>1.1 项目概况</w:t>
      </w:r>
    </w:p>
    <w:p w14:paraId="6AC51587">
      <w:pPr>
        <w:ind w:firstLine="420" w:firstLineChars="200"/>
        <w:rPr>
          <w:rFonts w:cs="宋体"/>
        </w:rPr>
      </w:pPr>
      <w:r>
        <w:rPr>
          <w:rFonts w:hint="eastAsia" w:cs="宋体"/>
        </w:rPr>
        <w:t>1.1.1根据《中华人民共和国招标投标法》等有关法律、法规和规章的规定，本招标项目已具备招标条件，现对本标段施工进行招标。</w:t>
      </w:r>
    </w:p>
    <w:p w14:paraId="4A31B8C1">
      <w:pPr>
        <w:ind w:firstLine="420" w:firstLineChars="200"/>
        <w:rPr>
          <w:rFonts w:cs="宋体"/>
        </w:rPr>
      </w:pPr>
      <w:r>
        <w:rPr>
          <w:rFonts w:hint="eastAsia" w:cs="宋体"/>
        </w:rPr>
        <w:t>1.1.2 本招标项目招标人：见投标人须知前附表。</w:t>
      </w:r>
    </w:p>
    <w:p w14:paraId="20440BDA">
      <w:pPr>
        <w:ind w:firstLine="420" w:firstLineChars="200"/>
        <w:rPr>
          <w:rFonts w:cs="宋体"/>
        </w:rPr>
      </w:pPr>
      <w:r>
        <w:rPr>
          <w:rFonts w:hint="eastAsia" w:cs="宋体"/>
        </w:rPr>
        <w:t>1.1.3 本标段招标代理机构：见投标人须知前附表。</w:t>
      </w:r>
    </w:p>
    <w:p w14:paraId="783DDBFF">
      <w:pPr>
        <w:ind w:firstLine="420" w:firstLineChars="200"/>
        <w:rPr>
          <w:rFonts w:cs="宋体"/>
        </w:rPr>
      </w:pPr>
      <w:r>
        <w:rPr>
          <w:rFonts w:hint="eastAsia" w:cs="宋体"/>
        </w:rPr>
        <w:t>1.1.4 本招标项目名称：见投标人须知前附表。</w:t>
      </w:r>
    </w:p>
    <w:p w14:paraId="6D3412B0">
      <w:pPr>
        <w:ind w:firstLine="420" w:firstLineChars="200"/>
        <w:rPr>
          <w:rFonts w:cs="宋体"/>
        </w:rPr>
      </w:pPr>
      <w:r>
        <w:rPr>
          <w:rFonts w:hint="eastAsia" w:cs="宋体"/>
        </w:rPr>
        <w:t>1.1.5 本标段建设地点：见投标人须知前附表。</w:t>
      </w:r>
    </w:p>
    <w:p w14:paraId="11BE2049">
      <w:pPr>
        <w:pStyle w:val="27"/>
        <w:rPr>
          <w:rFonts w:eastAsia="宋体"/>
        </w:rPr>
      </w:pPr>
      <w:bookmarkStart w:id="47" w:name="_Toc144974499"/>
      <w:bookmarkStart w:id="48" w:name="_Toc179632548"/>
      <w:bookmarkStart w:id="49" w:name="_Toc152045531"/>
      <w:bookmarkStart w:id="50" w:name="_Toc152042307"/>
      <w:r>
        <w:rPr>
          <w:rFonts w:hint="eastAsia" w:eastAsia="宋体"/>
        </w:rPr>
        <w:t>1.2 资金来源和落实情况</w:t>
      </w:r>
      <w:bookmarkEnd w:id="47"/>
      <w:bookmarkEnd w:id="48"/>
      <w:bookmarkEnd w:id="49"/>
      <w:bookmarkEnd w:id="50"/>
    </w:p>
    <w:p w14:paraId="57267748">
      <w:pPr>
        <w:ind w:firstLine="420" w:firstLineChars="200"/>
        <w:rPr>
          <w:rFonts w:cs="宋体"/>
        </w:rPr>
      </w:pPr>
      <w:r>
        <w:rPr>
          <w:rFonts w:hint="eastAsia" w:cs="宋体"/>
        </w:rPr>
        <w:t>1.2.1 本招标项目的资金来源：见投标人须知前附表。</w:t>
      </w:r>
    </w:p>
    <w:p w14:paraId="5509CF42">
      <w:pPr>
        <w:ind w:firstLine="420" w:firstLineChars="200"/>
        <w:rPr>
          <w:rFonts w:cs="宋体"/>
        </w:rPr>
      </w:pPr>
      <w:r>
        <w:rPr>
          <w:rFonts w:hint="eastAsia" w:cs="宋体"/>
        </w:rPr>
        <w:t>1.2.2 本招标项目的出资比例：见投标人须知前附表。</w:t>
      </w:r>
    </w:p>
    <w:p w14:paraId="2B919F78">
      <w:pPr>
        <w:ind w:firstLine="420" w:firstLineChars="200"/>
        <w:rPr>
          <w:rFonts w:cs="宋体"/>
        </w:rPr>
      </w:pPr>
      <w:r>
        <w:rPr>
          <w:rFonts w:hint="eastAsia" w:cs="宋体"/>
        </w:rPr>
        <w:t>1.2.3 本招标项目的资金落实情况：见投标人须知前附表。</w:t>
      </w:r>
    </w:p>
    <w:p w14:paraId="2725C345">
      <w:pPr>
        <w:pStyle w:val="27"/>
        <w:rPr>
          <w:rFonts w:eastAsia="宋体"/>
        </w:rPr>
      </w:pPr>
      <w:bookmarkStart w:id="51" w:name="_Toc144974500"/>
      <w:bookmarkStart w:id="52" w:name="_Toc152042308"/>
      <w:bookmarkStart w:id="53" w:name="_Toc152045532"/>
      <w:bookmarkStart w:id="54" w:name="_Toc179632549"/>
      <w:r>
        <w:rPr>
          <w:rFonts w:hint="eastAsia" w:eastAsia="宋体"/>
        </w:rPr>
        <w:t>1.3 招标范围、计划工期和质量要求</w:t>
      </w:r>
      <w:bookmarkEnd w:id="51"/>
      <w:bookmarkEnd w:id="52"/>
      <w:bookmarkEnd w:id="53"/>
      <w:bookmarkEnd w:id="54"/>
    </w:p>
    <w:p w14:paraId="741D54EA">
      <w:pPr>
        <w:ind w:firstLine="420" w:firstLineChars="200"/>
        <w:rPr>
          <w:rFonts w:cs="宋体"/>
        </w:rPr>
      </w:pPr>
      <w:r>
        <w:rPr>
          <w:rFonts w:hint="eastAsia" w:cs="宋体"/>
        </w:rPr>
        <w:t>1.3.1 本次招标范围：见投标人须知前附表。</w:t>
      </w:r>
    </w:p>
    <w:p w14:paraId="0FA371B8">
      <w:pPr>
        <w:ind w:firstLine="420" w:firstLineChars="200"/>
        <w:rPr>
          <w:rFonts w:cs="宋体"/>
        </w:rPr>
      </w:pPr>
      <w:r>
        <w:rPr>
          <w:rFonts w:hint="eastAsia" w:cs="宋体"/>
        </w:rPr>
        <w:t>1.3.2 本标段的计划工期：见投标人须知前附表，投标工期不得超过招标计划工期。</w:t>
      </w:r>
    </w:p>
    <w:p w14:paraId="6EE0707E">
      <w:pPr>
        <w:ind w:firstLine="420" w:firstLineChars="200"/>
        <w:rPr>
          <w:rFonts w:cs="宋体"/>
        </w:rPr>
      </w:pPr>
      <w:r>
        <w:rPr>
          <w:rFonts w:hint="eastAsia" w:cs="宋体"/>
        </w:rPr>
        <w:t>1.3.3 本标段的质量要求：见投标人须知前附表。</w:t>
      </w:r>
    </w:p>
    <w:p w14:paraId="4E245937">
      <w:pPr>
        <w:pStyle w:val="27"/>
        <w:rPr>
          <w:rFonts w:eastAsia="宋体"/>
        </w:rPr>
      </w:pPr>
      <w:r>
        <w:rPr>
          <w:rFonts w:hint="eastAsia" w:eastAsia="宋体"/>
        </w:rPr>
        <w:t xml:space="preserve">1.4 投标人资格要求 </w:t>
      </w:r>
    </w:p>
    <w:p w14:paraId="675596E9">
      <w:pPr>
        <w:ind w:firstLine="420" w:firstLineChars="200"/>
        <w:rPr>
          <w:rFonts w:cs="宋体"/>
        </w:rPr>
      </w:pPr>
      <w:r>
        <w:rPr>
          <w:rFonts w:hint="eastAsia" w:cs="宋体"/>
        </w:rPr>
        <w:t>1.4.1投标人资格要求详见投标人须知前附表。</w:t>
      </w:r>
    </w:p>
    <w:p w14:paraId="0944B3FD">
      <w:pPr>
        <w:ind w:firstLine="420" w:firstLineChars="200"/>
        <w:rPr>
          <w:rFonts w:cs="宋体"/>
        </w:rPr>
      </w:pPr>
      <w:r>
        <w:rPr>
          <w:rFonts w:hint="eastAsia" w:cs="宋体"/>
        </w:rPr>
        <w:t>1.4.2投标人资格要求详见投标人须知前附表。</w:t>
      </w:r>
    </w:p>
    <w:p w14:paraId="608AA78A">
      <w:pPr>
        <w:ind w:firstLine="420" w:firstLineChars="200"/>
        <w:rPr>
          <w:rFonts w:cs="宋体"/>
        </w:rPr>
      </w:pPr>
      <w:r>
        <w:rPr>
          <w:rFonts w:hint="eastAsia" w:cs="宋体"/>
        </w:rPr>
        <w:t>1.4.3 投标人不得存在下列情形之一：</w:t>
      </w:r>
    </w:p>
    <w:p w14:paraId="07234A97">
      <w:pPr>
        <w:ind w:firstLine="420" w:firstLineChars="200"/>
        <w:rPr>
          <w:rFonts w:cs="宋体"/>
        </w:rPr>
      </w:pPr>
      <w:r>
        <w:rPr>
          <w:rFonts w:hint="eastAsia" w:cs="宋体"/>
        </w:rPr>
        <w:t>（1）为招标人不具有独立法人资格的附属机构（单位）；</w:t>
      </w:r>
    </w:p>
    <w:p w14:paraId="573ED522">
      <w:pPr>
        <w:ind w:firstLine="420" w:firstLineChars="200"/>
        <w:rPr>
          <w:rFonts w:cs="宋体"/>
        </w:rPr>
      </w:pPr>
      <w:r>
        <w:rPr>
          <w:rFonts w:hint="eastAsia" w:cs="宋体"/>
        </w:rPr>
        <w:t>（2）不同投标人的单位负责人为同一人或者互相存在控股、管理关系的；</w:t>
      </w:r>
    </w:p>
    <w:p w14:paraId="086A5480">
      <w:pPr>
        <w:ind w:firstLine="420" w:firstLineChars="200"/>
        <w:rPr>
          <w:rFonts w:cs="宋体"/>
        </w:rPr>
      </w:pPr>
      <w:r>
        <w:rPr>
          <w:rFonts w:hint="eastAsia" w:cs="宋体"/>
        </w:rPr>
        <w:t>（3）为本标段前期准备提供设计或咨询服务的；</w:t>
      </w:r>
    </w:p>
    <w:p w14:paraId="2C08D183">
      <w:pPr>
        <w:ind w:firstLine="420" w:firstLineChars="200"/>
        <w:rPr>
          <w:rFonts w:cs="宋体"/>
        </w:rPr>
      </w:pPr>
      <w:r>
        <w:rPr>
          <w:rFonts w:hint="eastAsia" w:cs="宋体"/>
        </w:rPr>
        <w:t>（4）为本标段的监理人；</w:t>
      </w:r>
    </w:p>
    <w:p w14:paraId="092CC221">
      <w:pPr>
        <w:ind w:firstLine="420" w:firstLineChars="200"/>
        <w:rPr>
          <w:rFonts w:cs="宋体"/>
        </w:rPr>
      </w:pPr>
      <w:r>
        <w:rPr>
          <w:rFonts w:hint="eastAsia" w:cs="宋体"/>
        </w:rPr>
        <w:t>（5）为本标段的代建人；</w:t>
      </w:r>
    </w:p>
    <w:p w14:paraId="6A545074">
      <w:pPr>
        <w:ind w:firstLine="420" w:firstLineChars="200"/>
        <w:rPr>
          <w:rFonts w:cs="宋体"/>
        </w:rPr>
      </w:pPr>
      <w:r>
        <w:rPr>
          <w:rFonts w:hint="eastAsia" w:cs="宋体"/>
        </w:rPr>
        <w:t>（6）为本标段提供招标代理服务的；</w:t>
      </w:r>
    </w:p>
    <w:p w14:paraId="34DDC452">
      <w:pPr>
        <w:ind w:firstLine="420" w:firstLineChars="200"/>
        <w:rPr>
          <w:rFonts w:cs="宋体"/>
        </w:rPr>
      </w:pPr>
      <w:r>
        <w:rPr>
          <w:rFonts w:hint="eastAsia" w:cs="宋体"/>
        </w:rPr>
        <w:t>（7）与本标段的监理人或代建人或招标代理机构同为一个法定代表人的；</w:t>
      </w:r>
    </w:p>
    <w:p w14:paraId="5818E0CE">
      <w:pPr>
        <w:ind w:firstLine="420" w:firstLineChars="200"/>
        <w:rPr>
          <w:rFonts w:cs="宋体"/>
        </w:rPr>
      </w:pPr>
      <w:r>
        <w:rPr>
          <w:rFonts w:hint="eastAsia" w:cs="宋体"/>
        </w:rPr>
        <w:t>（8）与本标段的监理人或代建人或招标代理机构相互控股或参股的；</w:t>
      </w:r>
    </w:p>
    <w:p w14:paraId="5C62DEE0">
      <w:pPr>
        <w:ind w:firstLine="420" w:firstLineChars="200"/>
        <w:rPr>
          <w:rFonts w:cs="宋体"/>
        </w:rPr>
      </w:pPr>
      <w:r>
        <w:rPr>
          <w:rFonts w:hint="eastAsia" w:cs="宋体"/>
        </w:rPr>
        <w:t>（9）与本标段的监理人或代建人或招标代理机构相互任职或工作的；</w:t>
      </w:r>
    </w:p>
    <w:p w14:paraId="36AACDCE">
      <w:pPr>
        <w:ind w:firstLine="420" w:firstLineChars="200"/>
        <w:rPr>
          <w:rFonts w:cs="宋体"/>
        </w:rPr>
      </w:pPr>
      <w:r>
        <w:rPr>
          <w:rFonts w:hint="eastAsia" w:cs="宋体"/>
        </w:rPr>
        <w:t>（10）被责令停产停业、暂扣或者吊销许可证、暂扣或者吊销执照；</w:t>
      </w:r>
    </w:p>
    <w:p w14:paraId="6C1B0C33">
      <w:pPr>
        <w:ind w:firstLine="420" w:firstLineChars="200"/>
        <w:rPr>
          <w:rFonts w:cs="宋体"/>
        </w:rPr>
      </w:pPr>
      <w:r>
        <w:rPr>
          <w:rFonts w:hint="eastAsia" w:cs="宋体"/>
        </w:rPr>
        <w:t>（11）进入清算程序，或被宣告破产；</w:t>
      </w:r>
    </w:p>
    <w:p w14:paraId="462028AD">
      <w:pPr>
        <w:ind w:firstLine="420" w:firstLineChars="200"/>
        <w:rPr>
          <w:rFonts w:cs="宋体"/>
        </w:rPr>
      </w:pPr>
      <w:r>
        <w:rPr>
          <w:rFonts w:hint="eastAsia" w:cs="宋体"/>
        </w:rPr>
        <w:t>（12）被依法暂停或取消投标资格的（以相关主管部门的行政处罚决定为准）；</w:t>
      </w:r>
    </w:p>
    <w:p w14:paraId="1634735D">
      <w:pPr>
        <w:ind w:firstLine="420" w:firstLineChars="200"/>
        <w:rPr>
          <w:rFonts w:cs="宋体"/>
        </w:rPr>
      </w:pPr>
      <w:r>
        <w:rPr>
          <w:rFonts w:hint="eastAsia" w:cs="宋体"/>
        </w:rPr>
        <w:t>（13）在最近三年内有骗取中标或严重违约或重大工程质量问题的（“近三年”指投标截止之日上溯三年，以相关主管部门的行政处罚决定或司法机关出具的有关法律文书为准。）；</w:t>
      </w:r>
    </w:p>
    <w:p w14:paraId="55CCB661">
      <w:pPr>
        <w:ind w:firstLine="420" w:firstLineChars="200"/>
        <w:rPr>
          <w:rFonts w:cs="宋体"/>
        </w:rPr>
      </w:pPr>
      <w:r>
        <w:rPr>
          <w:rFonts w:hint="eastAsia" w:cs="宋体"/>
        </w:rPr>
        <w:t>（14）投标人及其拟派项目负责人投标截止日被列入失信被执行人名单（以“中国执行信息公开网”为准）；</w:t>
      </w:r>
    </w:p>
    <w:p w14:paraId="0A19405D">
      <w:pPr>
        <w:ind w:firstLine="420" w:firstLineChars="200"/>
        <w:rPr>
          <w:rFonts w:cs="宋体"/>
        </w:rPr>
      </w:pPr>
      <w:r>
        <w:rPr>
          <w:rFonts w:hint="eastAsia" w:cs="宋体"/>
        </w:rPr>
        <w:t>（15）被市场监督管理机关在全国企业信用信息公示系统中列入严重违法失信企业名单；</w:t>
      </w:r>
    </w:p>
    <w:p w14:paraId="2D15333F">
      <w:pPr>
        <w:ind w:firstLine="420" w:firstLineChars="200"/>
        <w:rPr>
          <w:rFonts w:cs="宋体"/>
        </w:rPr>
      </w:pPr>
      <w:r>
        <w:rPr>
          <w:rFonts w:hint="eastAsia" w:cs="宋体"/>
        </w:rPr>
        <w:t>（16）被人力资源社会保障行政部门列入失信联合惩戒名单（有效期内）并共享至信用信息共享平台的；</w:t>
      </w:r>
    </w:p>
    <w:p w14:paraId="6AAA5F7D">
      <w:pPr>
        <w:ind w:firstLine="420" w:firstLineChars="200"/>
        <w:rPr>
          <w:rFonts w:cs="宋体"/>
        </w:rPr>
      </w:pPr>
      <w:r>
        <w:rPr>
          <w:rFonts w:hint="eastAsia" w:cs="宋体"/>
        </w:rPr>
        <w:t>（17）在近三年内投标人或其法定代表人、拟派的项目负责人在建设工程领域有行贿犯罪行为的（“近三年”指投标截止之日上溯三年，以中国裁判文书网查询信息为准，查询信息与法院出具的文书不一致的，以法院出具的文书为准）</w:t>
      </w:r>
    </w:p>
    <w:p w14:paraId="5EFDA5AD">
      <w:pPr>
        <w:ind w:firstLine="420" w:firstLineChars="200"/>
        <w:rPr>
          <w:rFonts w:cs="宋体"/>
        </w:rPr>
      </w:pPr>
      <w:r>
        <w:rPr>
          <w:rFonts w:hint="eastAsia" w:cs="宋体"/>
        </w:rPr>
        <w:t>（18）法律法规或投标人须知前附表规定的其他情形。</w:t>
      </w:r>
    </w:p>
    <w:p w14:paraId="2771022D">
      <w:pPr>
        <w:ind w:firstLine="420" w:firstLineChars="200"/>
        <w:rPr>
          <w:rFonts w:cs="宋体"/>
        </w:rPr>
      </w:pPr>
      <w:r>
        <w:rPr>
          <w:rFonts w:hint="eastAsia" w:cs="宋体"/>
        </w:rPr>
        <w:t>备注：投标人须知第1.4中第（1）—（18）目规定的情形，仅指“投标人”，不包括投标人分公司、办事处及其他分支机构。</w:t>
      </w:r>
    </w:p>
    <w:p w14:paraId="53F3185C">
      <w:pPr>
        <w:pStyle w:val="27"/>
        <w:rPr>
          <w:rFonts w:eastAsia="宋体"/>
        </w:rPr>
      </w:pPr>
      <w:r>
        <w:rPr>
          <w:rFonts w:hint="eastAsia" w:eastAsia="宋体"/>
        </w:rPr>
        <w:t>1.5 费用承担</w:t>
      </w:r>
    </w:p>
    <w:p w14:paraId="4B7EB524">
      <w:pPr>
        <w:ind w:firstLine="420" w:firstLineChars="200"/>
        <w:rPr>
          <w:rFonts w:cs="宋体"/>
        </w:rPr>
      </w:pPr>
      <w:r>
        <w:rPr>
          <w:rFonts w:hint="eastAsia" w:cs="宋体"/>
        </w:rPr>
        <w:t>投标人准备和参加投标活动发生的费用自理。</w:t>
      </w:r>
    </w:p>
    <w:p w14:paraId="29640213">
      <w:pPr>
        <w:pStyle w:val="27"/>
        <w:rPr>
          <w:rFonts w:eastAsia="宋体"/>
        </w:rPr>
      </w:pPr>
      <w:r>
        <w:rPr>
          <w:rFonts w:hint="eastAsia" w:eastAsia="宋体"/>
        </w:rPr>
        <w:t>1.6 保密</w:t>
      </w:r>
    </w:p>
    <w:p w14:paraId="77C48B7A">
      <w:pPr>
        <w:ind w:firstLine="420" w:firstLineChars="200"/>
        <w:rPr>
          <w:rFonts w:cs="宋体"/>
        </w:rPr>
      </w:pPr>
      <w:r>
        <w:rPr>
          <w:rFonts w:hint="eastAsia" w:cs="宋体"/>
        </w:rPr>
        <w:t xml:space="preserve">参与招标投标活动的各方应对招标文件和投标文件中的商业和技术等秘密保密，违者应对由此造成的后果承担法律责任。 </w:t>
      </w:r>
    </w:p>
    <w:p w14:paraId="0E825727">
      <w:pPr>
        <w:pStyle w:val="27"/>
        <w:rPr>
          <w:rFonts w:eastAsia="宋体"/>
        </w:rPr>
      </w:pPr>
      <w:r>
        <w:rPr>
          <w:rFonts w:hint="eastAsia" w:eastAsia="宋体"/>
        </w:rPr>
        <w:t>1.7 语言文字</w:t>
      </w:r>
    </w:p>
    <w:p w14:paraId="6E1024DF">
      <w:pPr>
        <w:ind w:firstLine="420" w:firstLineChars="200"/>
        <w:rPr>
          <w:rFonts w:cs="宋体"/>
        </w:rPr>
      </w:pPr>
      <w:r>
        <w:rPr>
          <w:rFonts w:hint="eastAsia" w:cs="宋体"/>
        </w:rPr>
        <w:t>除专用术语外，与招标投标有关的语言均使用中文。必要时专用术语应附有中文注释。</w:t>
      </w:r>
    </w:p>
    <w:p w14:paraId="3ECFD13E">
      <w:pPr>
        <w:pStyle w:val="27"/>
        <w:rPr>
          <w:rFonts w:eastAsia="宋体"/>
        </w:rPr>
      </w:pPr>
      <w:r>
        <w:rPr>
          <w:rFonts w:hint="eastAsia" w:eastAsia="宋体"/>
        </w:rPr>
        <w:t>1.8 计量单位</w:t>
      </w:r>
    </w:p>
    <w:p w14:paraId="274586C2">
      <w:pPr>
        <w:ind w:firstLine="420" w:firstLineChars="200"/>
        <w:rPr>
          <w:rFonts w:cs="宋体"/>
        </w:rPr>
      </w:pPr>
      <w:r>
        <w:rPr>
          <w:rFonts w:hint="eastAsia" w:cs="宋体"/>
        </w:rPr>
        <w:t>所有计量均采用中华人民共和国法定计量单位。</w:t>
      </w:r>
    </w:p>
    <w:p w14:paraId="03131A4B">
      <w:pPr>
        <w:pStyle w:val="27"/>
        <w:rPr>
          <w:rFonts w:eastAsia="宋体"/>
        </w:rPr>
      </w:pPr>
      <w:r>
        <w:rPr>
          <w:rFonts w:hint="eastAsia" w:eastAsia="宋体"/>
        </w:rPr>
        <w:t>1.9 踏勘现场</w:t>
      </w:r>
    </w:p>
    <w:p w14:paraId="6D5E6C2A">
      <w:pPr>
        <w:ind w:firstLine="420" w:firstLineChars="200"/>
        <w:rPr>
          <w:rFonts w:cs="宋体"/>
        </w:rPr>
      </w:pPr>
      <w:r>
        <w:rPr>
          <w:rFonts w:hint="eastAsia" w:cs="宋体"/>
        </w:rPr>
        <w:t>见投标人须知前附表。</w:t>
      </w:r>
    </w:p>
    <w:p w14:paraId="18750C12">
      <w:pPr>
        <w:pStyle w:val="27"/>
        <w:rPr>
          <w:rFonts w:eastAsia="宋体"/>
        </w:rPr>
      </w:pPr>
      <w:r>
        <w:rPr>
          <w:rFonts w:hint="eastAsia" w:eastAsia="宋体"/>
        </w:rPr>
        <w:t>1.10 投标预备会</w:t>
      </w:r>
    </w:p>
    <w:p w14:paraId="5607025F">
      <w:pPr>
        <w:ind w:firstLine="420" w:firstLineChars="200"/>
        <w:rPr>
          <w:rFonts w:cs="宋体"/>
        </w:rPr>
      </w:pPr>
      <w:r>
        <w:rPr>
          <w:rFonts w:hint="eastAsia" w:cs="宋体"/>
        </w:rPr>
        <w:t>见投标人须知前附表。</w:t>
      </w:r>
    </w:p>
    <w:p w14:paraId="0BCB2F93">
      <w:pPr>
        <w:pStyle w:val="27"/>
        <w:rPr>
          <w:rFonts w:eastAsia="宋体"/>
        </w:rPr>
      </w:pPr>
      <w:r>
        <w:rPr>
          <w:rFonts w:hint="eastAsia" w:eastAsia="宋体"/>
        </w:rPr>
        <w:t>1.11 分包</w:t>
      </w:r>
    </w:p>
    <w:p w14:paraId="2F5F4862">
      <w:pPr>
        <w:ind w:firstLine="420" w:firstLineChars="200"/>
        <w:rPr>
          <w:rFonts w:cs="宋体"/>
        </w:rPr>
      </w:pPr>
      <w:r>
        <w:rPr>
          <w:rFonts w:hint="eastAsia" w:cs="宋体"/>
        </w:rPr>
        <w:t>投标人须知前附表规定允许分包的，符合投标人须知前附表规定的分包内容、分包金额和接受分包的第三人资质要求等限制性条件。</w:t>
      </w:r>
    </w:p>
    <w:p w14:paraId="3EC0DB44">
      <w:pPr>
        <w:pStyle w:val="27"/>
        <w:rPr>
          <w:rFonts w:eastAsia="宋体"/>
        </w:rPr>
      </w:pPr>
      <w:r>
        <w:rPr>
          <w:rFonts w:hint="eastAsia" w:eastAsia="宋体"/>
        </w:rPr>
        <w:t>1.12 偏离</w:t>
      </w:r>
    </w:p>
    <w:p w14:paraId="1D27D3EF">
      <w:pPr>
        <w:ind w:firstLine="420" w:firstLineChars="200"/>
        <w:rPr>
          <w:rFonts w:cs="宋体"/>
        </w:rPr>
      </w:pPr>
      <w:r>
        <w:rPr>
          <w:rFonts w:hint="eastAsia" w:cs="宋体"/>
        </w:rPr>
        <w:t>投标人须知前附表允许投标文件偏离招标文件某些要求的，偏离应当符合招标文件规定的偏离范围和幅度。</w:t>
      </w:r>
    </w:p>
    <w:p w14:paraId="7809F880">
      <w:pPr>
        <w:pStyle w:val="25"/>
        <w:rPr>
          <w:rFonts w:ascii="宋体" w:hAnsi="宋体" w:eastAsia="宋体"/>
        </w:rPr>
      </w:pPr>
      <w:r>
        <w:rPr>
          <w:rFonts w:hint="eastAsia" w:ascii="宋体" w:hAnsi="宋体" w:eastAsia="宋体"/>
        </w:rPr>
        <w:t>2. 招标文件</w:t>
      </w:r>
    </w:p>
    <w:p w14:paraId="4B8F010C">
      <w:pPr>
        <w:pStyle w:val="27"/>
        <w:rPr>
          <w:rFonts w:eastAsia="宋体"/>
        </w:rPr>
      </w:pPr>
      <w:r>
        <w:rPr>
          <w:rFonts w:hint="eastAsia" w:eastAsia="宋体"/>
        </w:rPr>
        <w:t>2.1 招标文件的组成</w:t>
      </w:r>
    </w:p>
    <w:p w14:paraId="7BA6622F">
      <w:pPr>
        <w:ind w:firstLine="420" w:firstLineChars="200"/>
        <w:rPr>
          <w:rFonts w:cs="宋体"/>
        </w:rPr>
      </w:pPr>
      <w:r>
        <w:rPr>
          <w:rFonts w:hint="eastAsia" w:cs="宋体"/>
        </w:rPr>
        <w:t>本招标文件包括：</w:t>
      </w:r>
    </w:p>
    <w:p w14:paraId="6E5E0EF8">
      <w:pPr>
        <w:ind w:firstLine="420" w:firstLineChars="200"/>
        <w:rPr>
          <w:rFonts w:cs="宋体"/>
        </w:rPr>
      </w:pPr>
      <w:r>
        <w:rPr>
          <w:rFonts w:hint="eastAsia" w:cs="宋体"/>
        </w:rPr>
        <w:t>（1）招标公告；</w:t>
      </w:r>
    </w:p>
    <w:p w14:paraId="73B625E0">
      <w:pPr>
        <w:ind w:firstLine="420" w:firstLineChars="200"/>
        <w:rPr>
          <w:rFonts w:cs="宋体"/>
        </w:rPr>
      </w:pPr>
      <w:r>
        <w:rPr>
          <w:rFonts w:hint="eastAsia" w:cs="宋体"/>
        </w:rPr>
        <w:t>（2）投标人须知；</w:t>
      </w:r>
    </w:p>
    <w:p w14:paraId="3A4A0FB8">
      <w:pPr>
        <w:ind w:firstLine="420" w:firstLineChars="200"/>
        <w:rPr>
          <w:rFonts w:cs="宋体"/>
        </w:rPr>
      </w:pPr>
      <w:r>
        <w:rPr>
          <w:rFonts w:hint="eastAsia" w:cs="宋体"/>
        </w:rPr>
        <w:t>（3）评标办法；</w:t>
      </w:r>
    </w:p>
    <w:p w14:paraId="2C7EB953">
      <w:pPr>
        <w:ind w:firstLine="420" w:firstLineChars="200"/>
        <w:rPr>
          <w:rFonts w:cs="宋体"/>
        </w:rPr>
      </w:pPr>
      <w:r>
        <w:rPr>
          <w:rFonts w:hint="eastAsia" w:cs="宋体"/>
        </w:rPr>
        <w:t>（4）合同条款及格式；</w:t>
      </w:r>
    </w:p>
    <w:p w14:paraId="3686E3CF">
      <w:pPr>
        <w:ind w:firstLine="420" w:firstLineChars="200"/>
        <w:rPr>
          <w:rFonts w:cs="宋体"/>
        </w:rPr>
      </w:pPr>
      <w:r>
        <w:rPr>
          <w:rFonts w:hint="eastAsia" w:cs="宋体"/>
        </w:rPr>
        <w:t xml:space="preserve">（5）工程量清单； </w:t>
      </w:r>
    </w:p>
    <w:p w14:paraId="744F50EA">
      <w:pPr>
        <w:ind w:firstLine="420" w:firstLineChars="200"/>
        <w:rPr>
          <w:rFonts w:cs="宋体"/>
        </w:rPr>
      </w:pPr>
      <w:r>
        <w:rPr>
          <w:rFonts w:hint="eastAsia" w:cs="宋体"/>
        </w:rPr>
        <w:t xml:space="preserve">（6）技术标准和要求； </w:t>
      </w:r>
    </w:p>
    <w:p w14:paraId="4E35C3D8">
      <w:pPr>
        <w:ind w:firstLine="420" w:firstLineChars="200"/>
        <w:rPr>
          <w:rFonts w:cs="宋体"/>
        </w:rPr>
      </w:pPr>
      <w:r>
        <w:rPr>
          <w:rFonts w:hint="eastAsia" w:cs="宋体"/>
        </w:rPr>
        <w:t>（7）投标文件格式；</w:t>
      </w:r>
    </w:p>
    <w:p w14:paraId="0069D76C">
      <w:pPr>
        <w:ind w:firstLine="420" w:firstLineChars="200"/>
        <w:rPr>
          <w:rFonts w:cs="宋体"/>
        </w:rPr>
      </w:pPr>
      <w:r>
        <w:rPr>
          <w:rFonts w:hint="eastAsia" w:cs="宋体"/>
        </w:rPr>
        <w:t>（8）投标人须知前附表规定的其他材料。</w:t>
      </w:r>
    </w:p>
    <w:p w14:paraId="20A1325A">
      <w:pPr>
        <w:ind w:firstLine="420" w:firstLineChars="200"/>
        <w:rPr>
          <w:rFonts w:cs="宋体"/>
        </w:rPr>
      </w:pPr>
      <w:r>
        <w:rPr>
          <w:rFonts w:hint="eastAsia" w:cs="宋体"/>
        </w:rPr>
        <w:t>根据本章第1.10款、第2.2款和第2.3款对招标文件所作的澄清、修改，构成招标文件的组成部分。</w:t>
      </w:r>
    </w:p>
    <w:p w14:paraId="795B05EC">
      <w:pPr>
        <w:pStyle w:val="27"/>
        <w:rPr>
          <w:rFonts w:eastAsia="宋体"/>
        </w:rPr>
      </w:pPr>
      <w:r>
        <w:rPr>
          <w:rFonts w:hint="eastAsia" w:eastAsia="宋体"/>
        </w:rPr>
        <w:t>2.2 招标文件的澄清</w:t>
      </w:r>
    </w:p>
    <w:p w14:paraId="7B5BBE91">
      <w:pPr>
        <w:ind w:firstLine="420" w:firstLineChars="200"/>
        <w:rPr>
          <w:rFonts w:cs="宋体"/>
        </w:rPr>
      </w:pPr>
      <w:r>
        <w:rPr>
          <w:rFonts w:hint="eastAsia" w:cs="宋体"/>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109816C6">
      <w:pPr>
        <w:ind w:firstLine="420" w:firstLineChars="200"/>
        <w:rPr>
          <w:rFonts w:cs="宋体"/>
        </w:rPr>
      </w:pPr>
      <w:r>
        <w:rPr>
          <w:rFonts w:hint="eastAsia" w:cs="宋体"/>
        </w:rPr>
        <w:t>2.2.2 招标文件的澄清将在投标人须知前附表规定的投标截止时间10天前以书面形式发给所有购买招标文件的投标人，但不指明澄清问题的来源。如果澄清发出的时间距投标截止时间不足10天，相应延长投标截止时间。</w:t>
      </w:r>
    </w:p>
    <w:p w14:paraId="0665133D">
      <w:pPr>
        <w:ind w:firstLine="420" w:firstLineChars="200"/>
        <w:rPr>
          <w:rFonts w:cs="宋体"/>
        </w:rPr>
      </w:pPr>
      <w:r>
        <w:rPr>
          <w:rFonts w:hint="eastAsia" w:cs="宋体"/>
        </w:rPr>
        <w:t>2.2.3 投标人在收到澄清后，应在投标人须知前附表规定的时间和方式通知招标人，确认已收到该澄清。</w:t>
      </w:r>
    </w:p>
    <w:p w14:paraId="6F026C5F">
      <w:pPr>
        <w:ind w:firstLine="420" w:firstLineChars="200"/>
        <w:rPr>
          <w:rFonts w:cs="宋体"/>
        </w:rPr>
      </w:pPr>
      <w:r>
        <w:rPr>
          <w:rFonts w:hint="eastAsia" w:cs="宋体"/>
        </w:rPr>
        <w:t>2.2.4 采用未进行资格预审方式的，则投标人提出问题和招标人澄清的方式见投标人须知前附表第2.2.1-2.2.3项。</w:t>
      </w:r>
    </w:p>
    <w:p w14:paraId="520490EF">
      <w:pPr>
        <w:pStyle w:val="27"/>
        <w:rPr>
          <w:rFonts w:eastAsia="宋体"/>
        </w:rPr>
      </w:pPr>
      <w:r>
        <w:rPr>
          <w:rFonts w:hint="eastAsia" w:eastAsia="宋体"/>
        </w:rPr>
        <w:t>2.3 招标文件的修改</w:t>
      </w:r>
    </w:p>
    <w:p w14:paraId="0BA5F22A">
      <w:pPr>
        <w:ind w:firstLine="420" w:firstLineChars="200"/>
        <w:rPr>
          <w:rFonts w:cs="宋体"/>
        </w:rPr>
      </w:pPr>
      <w:r>
        <w:rPr>
          <w:rFonts w:hint="eastAsia" w:cs="宋体"/>
        </w:rPr>
        <w:t>2.3.1招标人可以对已发出的招标文件进行必要的修改。</w:t>
      </w:r>
    </w:p>
    <w:p w14:paraId="36D5A9A3">
      <w:pPr>
        <w:ind w:firstLine="420" w:firstLineChars="200"/>
        <w:rPr>
          <w:rFonts w:cs="宋体"/>
        </w:rPr>
      </w:pPr>
      <w:r>
        <w:rPr>
          <w:rFonts w:hint="eastAsia" w:cs="宋体"/>
        </w:rPr>
        <w:t>2.3.2 投标人收到修改内容后，确认已收到该修改的方式见投标人须知前附表。</w:t>
      </w:r>
    </w:p>
    <w:p w14:paraId="74427414">
      <w:pPr>
        <w:pStyle w:val="25"/>
        <w:rPr>
          <w:rFonts w:ascii="宋体" w:hAnsi="宋体" w:eastAsia="宋体"/>
        </w:rPr>
      </w:pPr>
      <w:r>
        <w:rPr>
          <w:rFonts w:hint="eastAsia" w:ascii="宋体" w:hAnsi="宋体" w:eastAsia="宋体"/>
        </w:rPr>
        <w:t>3. 投标文件</w:t>
      </w:r>
    </w:p>
    <w:p w14:paraId="7B8DD78C">
      <w:pPr>
        <w:pStyle w:val="27"/>
        <w:rPr>
          <w:rFonts w:eastAsia="宋体"/>
        </w:rPr>
      </w:pPr>
      <w:r>
        <w:rPr>
          <w:rFonts w:hint="eastAsia" w:eastAsia="宋体"/>
        </w:rPr>
        <w:t>3.1 投标文件的组成</w:t>
      </w:r>
    </w:p>
    <w:p w14:paraId="272B60B3">
      <w:pPr>
        <w:ind w:firstLine="420" w:firstLineChars="200"/>
        <w:rPr>
          <w:rFonts w:cs="宋体"/>
        </w:rPr>
      </w:pPr>
      <w:r>
        <w:rPr>
          <w:rFonts w:hint="eastAsia" w:cs="宋体"/>
        </w:rPr>
        <w:t>3.1.1投标文件应包括下列内容：</w:t>
      </w:r>
    </w:p>
    <w:p w14:paraId="57A081A1">
      <w:pPr>
        <w:ind w:firstLine="420" w:firstLineChars="200"/>
        <w:rPr>
          <w:rFonts w:cs="宋体"/>
        </w:rPr>
      </w:pPr>
      <w:r>
        <w:rPr>
          <w:rFonts w:hint="eastAsia" w:cs="宋体"/>
        </w:rPr>
        <w:t>3.1.1.1商务标包括下列内容：</w:t>
      </w:r>
    </w:p>
    <w:p w14:paraId="024CD396">
      <w:pPr>
        <w:ind w:firstLine="420" w:firstLineChars="200"/>
        <w:rPr>
          <w:rFonts w:cs="宋体"/>
        </w:rPr>
      </w:pPr>
      <w:r>
        <w:rPr>
          <w:rFonts w:hint="eastAsia" w:cs="宋体"/>
        </w:rPr>
        <w:t>（1）投标函</w:t>
      </w:r>
    </w:p>
    <w:p w14:paraId="69A0E02D">
      <w:pPr>
        <w:ind w:firstLine="420" w:firstLineChars="200"/>
        <w:rPr>
          <w:rFonts w:cs="宋体"/>
        </w:rPr>
      </w:pPr>
      <w:r>
        <w:rPr>
          <w:rFonts w:hint="eastAsia" w:cs="宋体"/>
        </w:rPr>
        <w:t>（2）法定代表人身份证明、授权委托书</w:t>
      </w:r>
    </w:p>
    <w:p w14:paraId="542C63A6">
      <w:pPr>
        <w:ind w:firstLine="420" w:firstLineChars="200"/>
        <w:rPr>
          <w:rFonts w:cs="宋体"/>
        </w:rPr>
      </w:pPr>
      <w:r>
        <w:rPr>
          <w:rFonts w:hint="eastAsia" w:cs="宋体"/>
        </w:rPr>
        <w:t>（3）已标价工程量清单（符合第五章工程量清单及国家、省市相关规定）</w:t>
      </w:r>
    </w:p>
    <w:p w14:paraId="1195EB93">
      <w:pPr>
        <w:ind w:firstLine="420" w:firstLineChars="200"/>
        <w:rPr>
          <w:rFonts w:cs="宋体"/>
        </w:rPr>
      </w:pPr>
      <w:r>
        <w:rPr>
          <w:rFonts w:hint="eastAsia" w:cs="宋体"/>
        </w:rPr>
        <w:t>3.1.1.2资格审查资料</w:t>
      </w:r>
    </w:p>
    <w:p w14:paraId="19838D44">
      <w:pPr>
        <w:ind w:firstLine="420" w:firstLineChars="200"/>
        <w:rPr>
          <w:rFonts w:cs="宋体"/>
        </w:rPr>
      </w:pPr>
      <w:r>
        <w:rPr>
          <w:rFonts w:hint="eastAsia" w:cs="宋体"/>
        </w:rPr>
        <w:t>（一）投标人基本情况表</w:t>
      </w:r>
    </w:p>
    <w:p w14:paraId="24E7CB1E">
      <w:pPr>
        <w:ind w:firstLine="420" w:firstLineChars="200"/>
        <w:rPr>
          <w:rFonts w:cs="宋体"/>
        </w:rPr>
      </w:pPr>
      <w:r>
        <w:rPr>
          <w:rFonts w:hint="eastAsia" w:cs="宋体"/>
        </w:rPr>
        <w:t>（二）项目管理机构一览表</w:t>
      </w:r>
    </w:p>
    <w:p w14:paraId="2823E12C">
      <w:pPr>
        <w:ind w:firstLine="420" w:firstLineChars="200"/>
        <w:rPr>
          <w:rFonts w:cs="宋体"/>
        </w:rPr>
      </w:pPr>
      <w:r>
        <w:rPr>
          <w:rFonts w:hint="eastAsia" w:cs="宋体"/>
        </w:rPr>
        <w:t>（三）未被列入失信被执行人名单、重大税收违法案件当事人名单、未列入建筑市场主体“黑名单”、未被列入安全生产严重失信主体名单的承诺函</w:t>
      </w:r>
    </w:p>
    <w:p w14:paraId="49452B66">
      <w:pPr>
        <w:ind w:firstLine="420" w:firstLineChars="200"/>
        <w:rPr>
          <w:rFonts w:cs="宋体"/>
        </w:rPr>
      </w:pPr>
      <w:r>
        <w:rPr>
          <w:rFonts w:hint="eastAsia" w:cs="宋体"/>
        </w:rPr>
        <w:t>（四）企业《安全生产许可证》证书副本、营业执照扫描件</w:t>
      </w:r>
    </w:p>
    <w:p w14:paraId="486BF9B4">
      <w:pPr>
        <w:ind w:firstLine="420" w:firstLineChars="200"/>
        <w:rPr>
          <w:rFonts w:cs="宋体"/>
        </w:rPr>
      </w:pPr>
      <w:r>
        <w:rPr>
          <w:rFonts w:hint="eastAsia" w:cs="宋体"/>
        </w:rPr>
        <w:t>（五）具备建筑装修装饰工程专业承包二级及以上资质证书副本扫描件、浙江省建筑市场监管公共服务系统”上，参与投标资质的“资质动态核查证明（证明要求：核查发布日期为投标截止日当周或前一周的任一个周一，动态核查结果：合格）。</w:t>
      </w:r>
    </w:p>
    <w:p w14:paraId="3088CF08">
      <w:pPr>
        <w:ind w:firstLine="420" w:firstLineChars="200"/>
        <w:rPr>
          <w:rFonts w:cs="宋体"/>
        </w:rPr>
      </w:pPr>
      <w:r>
        <w:rPr>
          <w:rFonts w:hint="eastAsia" w:cs="宋体"/>
        </w:rPr>
        <w:t>（六）项目</w:t>
      </w:r>
      <w:r>
        <w:rPr>
          <w:rFonts w:hint="eastAsia" w:cs="宋体"/>
          <w:lang w:val="en-US" w:eastAsia="zh-CN"/>
        </w:rPr>
        <w:t>经理</w:t>
      </w:r>
      <w:r>
        <w:rPr>
          <w:rFonts w:hint="eastAsia" w:cs="宋体"/>
        </w:rPr>
        <w:t>具有有效的房屋建筑工程专业二级及以上注册建造师证书及有效的项目经理安全生产考核合格证书（B类）及社保证明扫描件（投标截止日前连续3个月）</w:t>
      </w:r>
    </w:p>
    <w:p w14:paraId="3CDA9A78">
      <w:pPr>
        <w:ind w:firstLine="420" w:firstLineChars="200"/>
        <w:rPr>
          <w:rFonts w:cs="宋体"/>
        </w:rPr>
      </w:pPr>
      <w:r>
        <w:rPr>
          <w:rFonts w:hint="eastAsia" w:cs="宋体"/>
        </w:rPr>
        <w:t>（七）技术负责人身份证复印件、职称证书复印件或电子打印件及社保证明复印件（投标截止日前连续3个月）</w:t>
      </w:r>
    </w:p>
    <w:p w14:paraId="6AE2EF50">
      <w:pPr>
        <w:ind w:firstLine="420" w:firstLineChars="200"/>
        <w:rPr>
          <w:rFonts w:cs="宋体"/>
        </w:rPr>
      </w:pPr>
      <w:r>
        <w:rPr>
          <w:rFonts w:hint="eastAsia" w:cs="宋体"/>
        </w:rPr>
        <w:t>（八）项目专职安全员身份证复印件、安全生产考核合格证书（C 类）复印件或电子打印件及社保证明复印件（投标截止日前连续3个月）。</w:t>
      </w:r>
    </w:p>
    <w:p w14:paraId="5B8CD448">
      <w:pPr>
        <w:ind w:firstLine="420" w:firstLineChars="200"/>
        <w:rPr>
          <w:rFonts w:cs="宋体"/>
        </w:rPr>
      </w:pPr>
      <w:r>
        <w:rPr>
          <w:rFonts w:hint="eastAsia" w:cs="宋体"/>
        </w:rPr>
        <w:t>（九）投标承诺函</w:t>
      </w:r>
    </w:p>
    <w:p w14:paraId="0DB862D7">
      <w:pPr>
        <w:ind w:firstLine="420" w:firstLineChars="200"/>
        <w:rPr>
          <w:rFonts w:cs="宋体"/>
        </w:rPr>
      </w:pPr>
      <w:r>
        <w:rPr>
          <w:rFonts w:hint="eastAsia" w:cs="宋体"/>
        </w:rPr>
        <w:t>（十）企业主要负责人的“三类人员”A类证书，企业主要负责人包括企业法定代表人、企业分管安全生产的副经理。</w:t>
      </w:r>
    </w:p>
    <w:p w14:paraId="31A0E249">
      <w:pPr>
        <w:ind w:firstLine="420" w:firstLineChars="200"/>
        <w:rPr>
          <w:rFonts w:cs="宋体"/>
        </w:rPr>
      </w:pPr>
      <w:r>
        <w:rPr>
          <w:rFonts w:hint="eastAsia" w:cs="宋体"/>
        </w:rPr>
        <w:t>（十一）企业分管安全生产副经理的任职文件扫描件</w:t>
      </w:r>
    </w:p>
    <w:p w14:paraId="1EF93465">
      <w:pPr>
        <w:ind w:firstLine="420" w:firstLineChars="200"/>
        <w:rPr>
          <w:rFonts w:cs="宋体"/>
        </w:rPr>
      </w:pPr>
      <w:r>
        <w:rPr>
          <w:rFonts w:hint="eastAsia" w:cs="宋体"/>
        </w:rPr>
        <w:t>（十二）其他材料（如有）</w:t>
      </w:r>
    </w:p>
    <w:p w14:paraId="56B04984">
      <w:pPr>
        <w:pStyle w:val="27"/>
        <w:rPr>
          <w:rFonts w:eastAsia="宋体"/>
        </w:rPr>
      </w:pPr>
      <w:r>
        <w:rPr>
          <w:rFonts w:hint="eastAsia" w:eastAsia="宋体"/>
        </w:rPr>
        <w:t>3.2 投标报价</w:t>
      </w:r>
    </w:p>
    <w:p w14:paraId="65A0926A">
      <w:pPr>
        <w:ind w:firstLine="420" w:firstLineChars="200"/>
        <w:rPr>
          <w:rFonts w:cs="宋体"/>
        </w:rPr>
      </w:pPr>
      <w:r>
        <w:rPr>
          <w:rFonts w:hint="eastAsia" w:cs="宋体"/>
        </w:rPr>
        <w:t>3.2.1 投标人应按“工程量分项报价表”的要求填写相应表格。</w:t>
      </w:r>
    </w:p>
    <w:p w14:paraId="76DA1F07">
      <w:pPr>
        <w:ind w:firstLine="420" w:firstLineChars="200"/>
        <w:rPr>
          <w:rFonts w:cs="宋体"/>
        </w:rPr>
      </w:pPr>
      <w:r>
        <w:rPr>
          <w:rFonts w:hint="eastAsia" w:cs="宋体"/>
        </w:rPr>
        <w:t>3.2.2 投标人在投标截止时间前修改投标函中的投标总报价，应同时修改“工程量分项报价表”中的相应报价。此修改须符合本章第4.3款的有关要求。</w:t>
      </w:r>
    </w:p>
    <w:p w14:paraId="45654AE3">
      <w:pPr>
        <w:ind w:firstLine="420" w:firstLineChars="200"/>
        <w:rPr>
          <w:rFonts w:cs="宋体"/>
        </w:rPr>
      </w:pPr>
      <w:r>
        <w:rPr>
          <w:rFonts w:hint="eastAsia" w:cs="宋体"/>
        </w:rPr>
        <w:t>3.2.3 现场水电费不计入投标报价。</w:t>
      </w:r>
    </w:p>
    <w:p w14:paraId="1001A344">
      <w:pPr>
        <w:pStyle w:val="27"/>
        <w:rPr>
          <w:rFonts w:eastAsia="宋体"/>
        </w:rPr>
      </w:pPr>
      <w:r>
        <w:rPr>
          <w:rFonts w:hint="eastAsia" w:eastAsia="宋体"/>
        </w:rPr>
        <w:t>3.3 投标有效期</w:t>
      </w:r>
    </w:p>
    <w:p w14:paraId="5734DDF8">
      <w:pPr>
        <w:ind w:firstLine="420" w:firstLineChars="200"/>
        <w:rPr>
          <w:rFonts w:cs="宋体"/>
        </w:rPr>
      </w:pPr>
      <w:r>
        <w:rPr>
          <w:rFonts w:hint="eastAsia" w:cs="宋体"/>
        </w:rPr>
        <w:t>3.3.1 在投标人须知前附表规定的投标有效期内，投标人不得要求撤销或修改其投标文件。</w:t>
      </w:r>
    </w:p>
    <w:p w14:paraId="4357B7E5">
      <w:pPr>
        <w:ind w:firstLine="420" w:firstLineChars="200"/>
        <w:rPr>
          <w:rFonts w:cs="宋体"/>
        </w:rPr>
      </w:pPr>
      <w:r>
        <w:rPr>
          <w:rFonts w:hint="eastAsia" w:cs="宋体"/>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8683E11">
      <w:pPr>
        <w:pStyle w:val="27"/>
        <w:rPr>
          <w:rFonts w:eastAsia="宋体"/>
        </w:rPr>
      </w:pPr>
      <w:r>
        <w:rPr>
          <w:rFonts w:hint="eastAsia" w:eastAsia="宋体"/>
        </w:rPr>
        <w:t>3.4投标保证金</w:t>
      </w:r>
    </w:p>
    <w:p w14:paraId="57850C84">
      <w:pPr>
        <w:ind w:firstLine="420" w:firstLineChars="200"/>
        <w:rPr>
          <w:rFonts w:cs="宋体"/>
        </w:rPr>
      </w:pPr>
      <w:r>
        <w:rPr>
          <w:rFonts w:hint="eastAsia" w:cs="宋体"/>
        </w:rPr>
        <w:t>3.4.1投标人应按招标文件要求提交投标保证金。</w:t>
      </w:r>
    </w:p>
    <w:p w14:paraId="43D03855">
      <w:pPr>
        <w:ind w:firstLine="420" w:firstLineChars="200"/>
        <w:rPr>
          <w:rFonts w:cs="宋体"/>
        </w:rPr>
      </w:pPr>
      <w:r>
        <w:rPr>
          <w:rFonts w:hint="eastAsia" w:cs="宋体"/>
        </w:rPr>
        <w:t>3.4.2招标人应当在中标通知书发出后 5 个工作日内，向未中标人退还投标保证金；在书面合同签订后5日内向中标人退还投标保证金。</w:t>
      </w:r>
    </w:p>
    <w:p w14:paraId="506B5724">
      <w:pPr>
        <w:ind w:firstLine="420" w:firstLineChars="200"/>
        <w:rPr>
          <w:rFonts w:cs="宋体"/>
        </w:rPr>
      </w:pPr>
      <w:r>
        <w:rPr>
          <w:rFonts w:hint="eastAsia" w:cs="宋体"/>
        </w:rPr>
        <w:t>3.4.3投标截止后投标人撤销投标文件的，招标人可以不退还投标保证金。中标人无正当理由不与招标人订立合同，在签订合同时向招标人提出附加条件，或者不按照招标文件要求提交履约保证金的，取消其中标资格，投标保证金不予退还。</w:t>
      </w:r>
    </w:p>
    <w:p w14:paraId="3FF32442">
      <w:pPr>
        <w:pStyle w:val="27"/>
        <w:ind w:firstLine="420" w:firstLineChars="200"/>
        <w:rPr>
          <w:rFonts w:eastAsia="宋体"/>
        </w:rPr>
      </w:pPr>
      <w:r>
        <w:rPr>
          <w:rFonts w:hint="eastAsia" w:eastAsia="宋体"/>
          <w:sz w:val="21"/>
          <w:szCs w:val="24"/>
        </w:rPr>
        <w:t>3.5 资格审查资料，以下资料只需提供扫描件加盖单位公章。</w:t>
      </w:r>
    </w:p>
    <w:p w14:paraId="6B44768B">
      <w:pPr>
        <w:ind w:firstLine="420" w:firstLineChars="200"/>
        <w:rPr>
          <w:rFonts w:cs="宋体"/>
          <w:szCs w:val="21"/>
        </w:rPr>
      </w:pPr>
      <w:r>
        <w:rPr>
          <w:rFonts w:hint="eastAsia" w:cs="宋体"/>
        </w:rPr>
        <w:t>3.5.1 “投标人基本情况表”，并附企业营业执照、企业资质证书扫描件；</w:t>
      </w:r>
    </w:p>
    <w:p w14:paraId="336F6D25">
      <w:pPr>
        <w:ind w:firstLine="420" w:firstLineChars="200"/>
        <w:rPr>
          <w:rFonts w:cs="宋体"/>
        </w:rPr>
      </w:pPr>
      <w:r>
        <w:rPr>
          <w:rFonts w:hint="eastAsia" w:cs="宋体"/>
        </w:rPr>
        <w:t>3.5.2 “近年财务状况表”</w:t>
      </w:r>
      <w:r>
        <w:rPr>
          <w:rFonts w:hint="eastAsia" w:cs="宋体"/>
          <w:b/>
        </w:rPr>
        <w:t>：不要求提供；</w:t>
      </w:r>
    </w:p>
    <w:p w14:paraId="4350DF2C">
      <w:pPr>
        <w:ind w:firstLine="420" w:firstLineChars="200"/>
        <w:rPr>
          <w:rFonts w:cs="宋体"/>
        </w:rPr>
      </w:pPr>
      <w:r>
        <w:rPr>
          <w:rFonts w:hint="eastAsia" w:cs="宋体"/>
        </w:rPr>
        <w:t>3.5.3 “近年完成的类似项目业绩情况表”</w:t>
      </w:r>
      <w:r>
        <w:rPr>
          <w:rFonts w:hint="eastAsia" w:cs="宋体"/>
          <w:b/>
        </w:rPr>
        <w:t>：不要求提供；</w:t>
      </w:r>
    </w:p>
    <w:p w14:paraId="38BF009A">
      <w:pPr>
        <w:ind w:firstLine="420" w:firstLineChars="200"/>
        <w:rPr>
          <w:rFonts w:cs="宋体"/>
        </w:rPr>
      </w:pPr>
      <w:r>
        <w:rPr>
          <w:rFonts w:hint="eastAsia" w:cs="宋体"/>
        </w:rPr>
        <w:t>3.5.4 “正在施工和新承接的项目情况表”</w:t>
      </w:r>
      <w:r>
        <w:rPr>
          <w:rFonts w:hint="eastAsia" w:cs="宋体"/>
          <w:b/>
        </w:rPr>
        <w:t>：不要求提供；</w:t>
      </w:r>
    </w:p>
    <w:p w14:paraId="468773F3">
      <w:pPr>
        <w:ind w:firstLine="420" w:firstLineChars="200"/>
        <w:rPr>
          <w:rFonts w:cs="宋体"/>
        </w:rPr>
      </w:pPr>
      <w:r>
        <w:rPr>
          <w:rFonts w:hint="eastAsia" w:cs="宋体"/>
        </w:rPr>
        <w:t>3.5.5 “近年发生的诉讼及仲裁情况”</w:t>
      </w:r>
      <w:r>
        <w:rPr>
          <w:rFonts w:hint="eastAsia" w:cs="宋体"/>
          <w:b/>
        </w:rPr>
        <w:t>：不要求提供；</w:t>
      </w:r>
    </w:p>
    <w:p w14:paraId="6D94FFE5">
      <w:pPr>
        <w:ind w:firstLine="420" w:firstLineChars="200"/>
        <w:rPr>
          <w:rFonts w:cs="宋体"/>
        </w:rPr>
      </w:pPr>
      <w:r>
        <w:rPr>
          <w:rFonts w:hint="eastAsia" w:cs="宋体"/>
        </w:rPr>
        <w:t>3.5.6 项目管理机构一览表；</w:t>
      </w:r>
      <w:r>
        <w:rPr>
          <w:rFonts w:hint="eastAsia" w:cs="宋体"/>
          <w:b/>
        </w:rPr>
        <w:t>中标后提供；</w:t>
      </w:r>
    </w:p>
    <w:p w14:paraId="3B6D02B4">
      <w:pPr>
        <w:ind w:firstLine="420" w:firstLineChars="200"/>
        <w:rPr>
          <w:rFonts w:cs="宋体"/>
        </w:rPr>
      </w:pPr>
      <w:r>
        <w:rPr>
          <w:rFonts w:hint="eastAsia" w:cs="宋体"/>
        </w:rPr>
        <w:t>3.5.7投标人须知前附表规定如接受联合体投标的，则投标人如为联合体的提供联合体共同投标协议书，联合体协议书内容必须符合要求；本章第3.5.1项至第3.5.6项规定的表格和资料应包括联合体各方相关情况；</w:t>
      </w:r>
    </w:p>
    <w:p w14:paraId="2B7284DF">
      <w:pPr>
        <w:ind w:firstLine="420" w:firstLineChars="200"/>
        <w:rPr>
          <w:rFonts w:cs="宋体"/>
          <w:bCs/>
        </w:rPr>
      </w:pPr>
      <w:r>
        <w:rPr>
          <w:rFonts w:hint="eastAsia" w:cs="宋体"/>
          <w:bCs/>
        </w:rPr>
        <w:t>3.5.8 企业《安全生产许可证》证书副本</w:t>
      </w:r>
      <w:r>
        <w:rPr>
          <w:rFonts w:hint="eastAsia" w:cs="宋体"/>
          <w:szCs w:val="21"/>
        </w:rPr>
        <w:t>扫描件</w:t>
      </w:r>
      <w:r>
        <w:rPr>
          <w:rFonts w:hint="eastAsia" w:cs="宋体"/>
        </w:rPr>
        <w:t>（建设行政主管部门颁证机构已经启用建筑施工企业安全生产许可证电子证书且企业已经办理电子证书的，企业提供有效的安全生产许可证电子证书打印件后并加盖公章）</w:t>
      </w:r>
      <w:r>
        <w:rPr>
          <w:rFonts w:hint="eastAsia" w:cs="宋体"/>
          <w:bCs/>
        </w:rPr>
        <w:t>；</w:t>
      </w:r>
    </w:p>
    <w:p w14:paraId="2ED6EF86">
      <w:pPr>
        <w:ind w:firstLine="420" w:firstLineChars="200"/>
        <w:rPr>
          <w:rFonts w:cs="宋体"/>
        </w:rPr>
      </w:pPr>
      <w:r>
        <w:rPr>
          <w:rFonts w:hint="eastAsia" w:cs="宋体"/>
        </w:rPr>
        <w:t>3.5.9企业主要负责人的“三类人员”A类证书，按本章第10.7款要求提供；</w:t>
      </w:r>
    </w:p>
    <w:p w14:paraId="273F9B50">
      <w:pPr>
        <w:ind w:firstLine="420" w:firstLineChars="200"/>
        <w:rPr>
          <w:rFonts w:cs="宋体"/>
        </w:rPr>
      </w:pPr>
      <w:r>
        <w:rPr>
          <w:rFonts w:hint="eastAsia" w:cs="宋体"/>
        </w:rPr>
        <w:t>3.5.10企业分管安全生产副经理的任职文件扫描件；</w:t>
      </w:r>
    </w:p>
    <w:p w14:paraId="19FE60BE">
      <w:pPr>
        <w:ind w:firstLine="420" w:firstLineChars="200"/>
        <w:rPr>
          <w:rFonts w:cs="宋体"/>
        </w:rPr>
      </w:pPr>
      <w:r>
        <w:rPr>
          <w:rFonts w:hint="eastAsia" w:cs="宋体"/>
        </w:rPr>
        <w:t>3.5.11参加采购、招投标等活动前三年内（新成立不满三年的组织机构自成立之日起算）在经营活动中没有违法记录的承诺函。</w:t>
      </w:r>
    </w:p>
    <w:p w14:paraId="0E7E4724">
      <w:pPr>
        <w:ind w:firstLine="420" w:firstLineChars="200"/>
        <w:rPr>
          <w:rFonts w:cs="宋体"/>
        </w:rPr>
      </w:pPr>
      <w:r>
        <w:rPr>
          <w:rFonts w:hint="eastAsia" w:cs="宋体"/>
        </w:rPr>
        <w:t>3.5.12投标人须知前附表规定的资格审查其他材料，见投标人须知前附表。</w:t>
      </w:r>
    </w:p>
    <w:bookmarkEnd w:id="43"/>
    <w:bookmarkEnd w:id="44"/>
    <w:bookmarkEnd w:id="45"/>
    <w:bookmarkEnd w:id="46"/>
    <w:p w14:paraId="03E3D86B">
      <w:pPr>
        <w:pStyle w:val="27"/>
        <w:rPr>
          <w:rFonts w:eastAsia="宋体"/>
        </w:rPr>
      </w:pPr>
      <w:r>
        <w:rPr>
          <w:rFonts w:hint="eastAsia" w:eastAsia="宋体"/>
        </w:rPr>
        <w:t>3.6 备选投标方案</w:t>
      </w:r>
    </w:p>
    <w:p w14:paraId="3F1F93C2">
      <w:pPr>
        <w:ind w:firstLine="420" w:firstLineChars="200"/>
        <w:rPr>
          <w:rFonts w:cs="宋体"/>
        </w:rPr>
      </w:pPr>
      <w:r>
        <w:rPr>
          <w:rFonts w:hint="eastAsia" w:cs="宋体"/>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2341E425">
      <w:pPr>
        <w:pStyle w:val="27"/>
        <w:rPr>
          <w:rFonts w:eastAsia="宋体"/>
        </w:rPr>
      </w:pPr>
      <w:r>
        <w:rPr>
          <w:rFonts w:hint="eastAsia" w:eastAsia="宋体"/>
        </w:rPr>
        <w:t>3.7 投标文件的编制</w:t>
      </w:r>
    </w:p>
    <w:p w14:paraId="04454885">
      <w:pPr>
        <w:ind w:firstLine="420" w:firstLineChars="200"/>
        <w:rPr>
          <w:rFonts w:cs="宋体"/>
        </w:rPr>
      </w:pPr>
      <w:r>
        <w:rPr>
          <w:rFonts w:hint="eastAsia" w:cs="宋体"/>
        </w:rPr>
        <w:t>3.7.1投标文件应按第八章“投标文件格式”进行编写，如有必要，可以增加附页，作为投标文件的组成部分。</w:t>
      </w:r>
    </w:p>
    <w:p w14:paraId="76DC33A0">
      <w:pPr>
        <w:ind w:firstLine="420" w:firstLineChars="200"/>
        <w:rPr>
          <w:rFonts w:cs="宋体"/>
        </w:rPr>
      </w:pPr>
      <w:r>
        <w:rPr>
          <w:rFonts w:hint="eastAsia" w:cs="宋体"/>
        </w:rPr>
        <w:t>3.7.2 投标文件应当对招标文件有关工期、投标有效期、质量要求、技术标准和要求、招标范围等实质性内容作出响应。</w:t>
      </w:r>
    </w:p>
    <w:p w14:paraId="43C447F0">
      <w:pPr>
        <w:ind w:firstLine="420" w:firstLineChars="200"/>
        <w:rPr>
          <w:rFonts w:cs="宋体"/>
        </w:rPr>
      </w:pPr>
      <w:r>
        <w:rPr>
          <w:rFonts w:hint="eastAsia" w:cs="宋体"/>
        </w:rPr>
        <w:t xml:space="preserve">3.7.3投标文件签字或盖章的具体要求见投标人须知前附表。 </w:t>
      </w:r>
    </w:p>
    <w:p w14:paraId="3A2BDCD2">
      <w:pPr>
        <w:ind w:firstLine="420" w:firstLineChars="200"/>
        <w:rPr>
          <w:rFonts w:cs="宋体"/>
        </w:rPr>
      </w:pPr>
      <w:r>
        <w:rPr>
          <w:rFonts w:hint="eastAsia" w:cs="宋体"/>
        </w:rPr>
        <w:t>3.7.4本项目通过“浙江省海港集团电子招标采购平台”实行在线投标响应（电子投标）。</w:t>
      </w:r>
    </w:p>
    <w:p w14:paraId="35B7C934">
      <w:pPr>
        <w:pStyle w:val="25"/>
        <w:rPr>
          <w:rFonts w:ascii="宋体" w:hAnsi="宋体" w:eastAsia="宋体"/>
        </w:rPr>
      </w:pPr>
      <w:r>
        <w:rPr>
          <w:rFonts w:hint="eastAsia" w:ascii="宋体" w:hAnsi="宋体" w:eastAsia="宋体"/>
        </w:rPr>
        <w:t>4. 投标</w:t>
      </w:r>
    </w:p>
    <w:p w14:paraId="20DB0693">
      <w:pPr>
        <w:pStyle w:val="27"/>
        <w:rPr>
          <w:rFonts w:eastAsia="宋体"/>
        </w:rPr>
      </w:pPr>
      <w:r>
        <w:rPr>
          <w:rFonts w:hint="eastAsia" w:eastAsia="宋体"/>
        </w:rPr>
        <w:t>4.1 投标文件的上传、递交</w:t>
      </w:r>
    </w:p>
    <w:p w14:paraId="7EDC1874">
      <w:pPr>
        <w:ind w:firstLine="420" w:firstLineChars="200"/>
        <w:rPr>
          <w:rFonts w:cs="宋体"/>
        </w:rPr>
      </w:pPr>
      <w:r>
        <w:rPr>
          <w:rFonts w:hint="eastAsia" w:cs="宋体"/>
        </w:rPr>
        <w:t>4.1.1投标人应在投标人须知前附表规定的投标截止时间前递交投标文件。</w:t>
      </w:r>
    </w:p>
    <w:p w14:paraId="7A9F4D61">
      <w:pPr>
        <w:ind w:firstLine="420" w:firstLineChars="200"/>
        <w:rPr>
          <w:rFonts w:cs="宋体"/>
        </w:rPr>
      </w:pPr>
      <w:r>
        <w:rPr>
          <w:rFonts w:hint="eastAsia" w:cs="宋体"/>
        </w:rPr>
        <w:t>4.1.2投标人递交投标文件的地点：见投标人须知前附表。</w:t>
      </w:r>
    </w:p>
    <w:p w14:paraId="128B3EBF">
      <w:pPr>
        <w:ind w:firstLine="420" w:firstLineChars="200"/>
        <w:rPr>
          <w:rFonts w:cs="宋体"/>
        </w:rPr>
      </w:pPr>
      <w:r>
        <w:rPr>
          <w:rFonts w:hint="eastAsia" w:cs="宋体"/>
        </w:rPr>
        <w:t>4.1.3 除投标人须知前附表另有规定外，投标人所递交的投标文件不予退还。</w:t>
      </w:r>
    </w:p>
    <w:p w14:paraId="3D8D52F5">
      <w:pPr>
        <w:ind w:firstLine="420" w:firstLineChars="200"/>
        <w:rPr>
          <w:rFonts w:cs="宋体"/>
        </w:rPr>
      </w:pPr>
      <w:r>
        <w:rPr>
          <w:rFonts w:hint="eastAsia" w:cs="宋体"/>
        </w:rPr>
        <w:t>4.1.4逾期送达的投标文件，招标人将予以拒收。</w:t>
      </w:r>
    </w:p>
    <w:p w14:paraId="0225D4E9">
      <w:pPr>
        <w:ind w:firstLine="420" w:firstLineChars="200"/>
        <w:rPr>
          <w:rFonts w:cs="宋体"/>
        </w:rPr>
      </w:pPr>
      <w:r>
        <w:rPr>
          <w:rFonts w:hint="eastAsia" w:cs="宋体"/>
        </w:rPr>
        <w:t>4.1.5</w:t>
      </w:r>
      <w:r>
        <w:rPr>
          <w:rFonts w:hint="eastAsia" w:cs="宋体"/>
          <w:b/>
          <w:bCs/>
          <w:spacing w:val="-4"/>
          <w:szCs w:val="21"/>
        </w:rPr>
        <w:t>不同投标人的电子投标文件编制时的计算机硬件信息中网卡MAC地址（如有）、硬盘（含移动存储介质）序列号（Optane_0000或0100_0000_0000_0000序列号除外）、互联网接入IP地址相同的，投标文件为无效标。</w:t>
      </w:r>
    </w:p>
    <w:p w14:paraId="046AE358">
      <w:pPr>
        <w:pStyle w:val="25"/>
        <w:rPr>
          <w:rFonts w:ascii="宋体" w:hAnsi="宋体" w:eastAsia="宋体"/>
        </w:rPr>
      </w:pPr>
      <w:r>
        <w:rPr>
          <w:rFonts w:hint="eastAsia" w:ascii="宋体" w:hAnsi="宋体" w:eastAsia="宋体"/>
          <w:sz w:val="24"/>
        </w:rPr>
        <w:t>4.2电子投标文件的拒收情形</w:t>
      </w:r>
    </w:p>
    <w:p w14:paraId="4D2DCAE3">
      <w:pPr>
        <w:ind w:firstLine="420" w:firstLineChars="200"/>
        <w:rPr>
          <w:rFonts w:cs="宋体"/>
        </w:rPr>
      </w:pPr>
      <w:r>
        <w:rPr>
          <w:rFonts w:hint="eastAsia" w:cs="宋体"/>
        </w:rPr>
        <w:t>4.2.1.投标截止时间后送达（上传）的投标文件、未按招标文件要求上传的；</w:t>
      </w:r>
    </w:p>
    <w:p w14:paraId="3DC157CE">
      <w:pPr>
        <w:ind w:firstLine="420" w:firstLineChars="200"/>
        <w:rPr>
          <w:rFonts w:cs="宋体"/>
        </w:rPr>
      </w:pPr>
      <w:r>
        <w:rPr>
          <w:rFonts w:hint="eastAsia" w:cs="宋体"/>
        </w:rPr>
        <w:t>4.2.2.投标人未按规定加密的投标文件，应当拒收并提示。</w:t>
      </w:r>
    </w:p>
    <w:p w14:paraId="380AE6E7">
      <w:pPr>
        <w:ind w:firstLine="420" w:firstLineChars="200"/>
        <w:rPr>
          <w:rFonts w:cs="宋体"/>
        </w:rPr>
      </w:pPr>
      <w:r>
        <w:rPr>
          <w:rFonts w:hint="eastAsia" w:cs="宋体"/>
        </w:rPr>
        <w:t>4.2.3.存在下列情况之一的，视为拒收（因招标人或系统原因导致的，另见招标文件约定）：</w:t>
      </w:r>
    </w:p>
    <w:p w14:paraId="1E442E7C">
      <w:pPr>
        <w:ind w:firstLine="420" w:firstLineChars="200"/>
        <w:rPr>
          <w:rFonts w:cs="宋体"/>
        </w:rPr>
      </w:pPr>
      <w:r>
        <w:rPr>
          <w:rFonts w:hint="eastAsia" w:cs="宋体"/>
        </w:rPr>
        <w:t>（1）电子投标文件无法解密的；</w:t>
      </w:r>
    </w:p>
    <w:p w14:paraId="406CD3E6">
      <w:pPr>
        <w:ind w:firstLine="420" w:firstLineChars="200"/>
        <w:rPr>
          <w:rFonts w:cs="宋体"/>
        </w:rPr>
      </w:pPr>
      <w:r>
        <w:rPr>
          <w:rFonts w:hint="eastAsia" w:cs="宋体"/>
        </w:rPr>
        <w:t>（2）电子投标文件解密后无法正确读取的；</w:t>
      </w:r>
    </w:p>
    <w:p w14:paraId="142E9B6F">
      <w:pPr>
        <w:ind w:firstLine="420" w:firstLineChars="200"/>
        <w:rPr>
          <w:rFonts w:cs="宋体"/>
        </w:rPr>
      </w:pPr>
      <w:r>
        <w:rPr>
          <w:rFonts w:hint="eastAsia" w:cs="宋体"/>
        </w:rPr>
        <w:t>（3）电子投标文件无法导入成功的。</w:t>
      </w:r>
    </w:p>
    <w:p w14:paraId="5947E77E">
      <w:pPr>
        <w:pStyle w:val="27"/>
        <w:rPr>
          <w:rFonts w:eastAsia="宋体"/>
        </w:rPr>
      </w:pPr>
      <w:r>
        <w:rPr>
          <w:rFonts w:hint="eastAsia" w:eastAsia="宋体"/>
        </w:rPr>
        <w:t>4.3 投标文件的修改与撤回</w:t>
      </w:r>
    </w:p>
    <w:p w14:paraId="6B2181E1">
      <w:pPr>
        <w:ind w:firstLine="420" w:firstLineChars="200"/>
        <w:rPr>
          <w:rFonts w:cs="宋体"/>
        </w:rPr>
      </w:pPr>
      <w:r>
        <w:rPr>
          <w:rFonts w:hint="eastAsia" w:cs="宋体"/>
        </w:rPr>
        <w:t>4.3.1 在本章第2.2.2项规定的投标截止时间前，投标人可以修改或撤回已递交的投标文件，但应通过电子招标投标交易平台发送通知”。</w:t>
      </w:r>
    </w:p>
    <w:p w14:paraId="6AECF3DE">
      <w:pPr>
        <w:ind w:firstLine="420" w:firstLineChars="200"/>
        <w:rPr>
          <w:rFonts w:cs="宋体"/>
        </w:rPr>
      </w:pPr>
      <w:r>
        <w:rPr>
          <w:rFonts w:hint="eastAsia" w:cs="宋体"/>
        </w:rPr>
        <w:t>4.3.2 “投标人修改或撤回已递交投标文件的通知，应按要求加盖单位公章。电子招标投标交易平台收到通知后，即时向投标人发出确认回执通知。</w:t>
      </w:r>
    </w:p>
    <w:p w14:paraId="2F9DE09B">
      <w:pPr>
        <w:ind w:firstLine="420" w:firstLineChars="200"/>
        <w:rPr>
          <w:rFonts w:cs="宋体"/>
        </w:rPr>
      </w:pPr>
      <w:r>
        <w:rPr>
          <w:rFonts w:hint="eastAsia" w:cs="宋体"/>
        </w:rPr>
        <w:t>4.3.3 修改的内容为投标文件的组成部分。修改的投标文件应按照本章第3条、第4条规定进行编制、标记和递交，并标明“修改”字样。</w:t>
      </w:r>
    </w:p>
    <w:p w14:paraId="686121F1">
      <w:pPr>
        <w:pStyle w:val="25"/>
        <w:rPr>
          <w:rFonts w:ascii="宋体" w:hAnsi="宋体" w:eastAsia="宋体"/>
        </w:rPr>
      </w:pPr>
      <w:r>
        <w:rPr>
          <w:rFonts w:hint="eastAsia" w:ascii="宋体" w:hAnsi="宋体" w:eastAsia="宋体"/>
        </w:rPr>
        <w:t>5. 开标</w:t>
      </w:r>
    </w:p>
    <w:p w14:paraId="31166CFC">
      <w:pPr>
        <w:pStyle w:val="27"/>
        <w:rPr>
          <w:rFonts w:eastAsia="宋体"/>
        </w:rPr>
      </w:pPr>
      <w:r>
        <w:rPr>
          <w:rFonts w:hint="eastAsia" w:eastAsia="宋体"/>
        </w:rPr>
        <w:t>5.1 开标时间和地点</w:t>
      </w:r>
    </w:p>
    <w:p w14:paraId="366ED77D">
      <w:pPr>
        <w:ind w:firstLine="420" w:firstLineChars="200"/>
        <w:rPr>
          <w:rFonts w:cs="宋体"/>
        </w:rPr>
      </w:pPr>
      <w:r>
        <w:rPr>
          <w:rFonts w:hint="eastAsia" w:cs="宋体"/>
        </w:rPr>
        <w:t>招标人将在规定的时间和地点进行开标，投标人的法定代表人或其授权代表应在投标截止时间之后三十分钟内在“浙江海港投标管家”工具端—进入项目—开标—远程开标模块，进行开标结果确定，如超时未确认，视作投标人已对开标结果确认无误。</w:t>
      </w:r>
    </w:p>
    <w:p w14:paraId="30CFFB31">
      <w:pPr>
        <w:pStyle w:val="27"/>
        <w:rPr>
          <w:rFonts w:eastAsia="宋体"/>
        </w:rPr>
      </w:pPr>
      <w:r>
        <w:rPr>
          <w:rFonts w:hint="eastAsia" w:eastAsia="宋体"/>
        </w:rPr>
        <w:t>5.2 开标程序</w:t>
      </w:r>
    </w:p>
    <w:p w14:paraId="333D3555">
      <w:pPr>
        <w:ind w:firstLine="420" w:firstLineChars="200"/>
        <w:rPr>
          <w:rFonts w:cs="宋体"/>
        </w:rPr>
      </w:pPr>
      <w:r>
        <w:rPr>
          <w:rFonts w:hint="eastAsia" w:cs="宋体"/>
        </w:rPr>
        <w:t>主持人按下列程序进行开标：</w:t>
      </w:r>
    </w:p>
    <w:p w14:paraId="5FB72C5F">
      <w:pPr>
        <w:ind w:firstLine="420" w:firstLineChars="200"/>
        <w:rPr>
          <w:rFonts w:cs="宋体"/>
        </w:rPr>
      </w:pPr>
      <w:r>
        <w:rPr>
          <w:rFonts w:hint="eastAsia" w:cs="宋体"/>
        </w:rPr>
        <w:t>（1）开标会由招标人或代理机构主持，主持人宣布开标会议开始；</w:t>
      </w:r>
    </w:p>
    <w:p w14:paraId="6055FCCC">
      <w:pPr>
        <w:ind w:firstLine="420" w:firstLineChars="200"/>
        <w:rPr>
          <w:rFonts w:cs="宋体"/>
        </w:rPr>
      </w:pPr>
      <w:r>
        <w:rPr>
          <w:rFonts w:hint="eastAsia" w:cs="宋体"/>
        </w:rPr>
        <w:t>（2）主持人介绍参加开标会的人员名单；</w:t>
      </w:r>
    </w:p>
    <w:p w14:paraId="48DCE7F1">
      <w:pPr>
        <w:ind w:firstLine="420" w:firstLineChars="200"/>
        <w:rPr>
          <w:rFonts w:cs="宋体"/>
        </w:rPr>
      </w:pPr>
      <w:r>
        <w:rPr>
          <w:rFonts w:hint="eastAsia" w:cs="宋体"/>
        </w:rPr>
        <w:t>（3）主持人发起投标文件解密；</w:t>
      </w:r>
    </w:p>
    <w:p w14:paraId="5F272BA1">
      <w:pPr>
        <w:ind w:firstLine="420" w:firstLineChars="200"/>
        <w:rPr>
          <w:rFonts w:cs="宋体"/>
        </w:rPr>
      </w:pPr>
      <w:r>
        <w:rPr>
          <w:rFonts w:hint="eastAsia" w:cs="宋体"/>
        </w:rPr>
        <w:t>（4）所有投标解密后开启电子投标文件；</w:t>
      </w:r>
    </w:p>
    <w:p w14:paraId="49043F82">
      <w:pPr>
        <w:ind w:firstLine="420" w:firstLineChars="200"/>
        <w:rPr>
          <w:rFonts w:cs="宋体"/>
        </w:rPr>
      </w:pPr>
      <w:r>
        <w:rPr>
          <w:rFonts w:hint="eastAsia" w:cs="宋体"/>
        </w:rPr>
        <w:t>（5）开启电子投标文件后公布开标结果。</w:t>
      </w:r>
    </w:p>
    <w:p w14:paraId="3E398AA5">
      <w:pPr>
        <w:ind w:firstLine="420" w:firstLineChars="200"/>
        <w:rPr>
          <w:rFonts w:cs="宋体"/>
        </w:rPr>
      </w:pPr>
      <w:r>
        <w:rPr>
          <w:rFonts w:hint="eastAsia" w:cs="宋体"/>
        </w:rPr>
        <w:t>（6）开标结束。</w:t>
      </w:r>
    </w:p>
    <w:p w14:paraId="79230A5A">
      <w:pPr>
        <w:pStyle w:val="25"/>
        <w:rPr>
          <w:rFonts w:ascii="宋体" w:hAnsi="宋体" w:eastAsia="宋体"/>
        </w:rPr>
      </w:pPr>
      <w:r>
        <w:rPr>
          <w:rFonts w:hint="eastAsia" w:ascii="宋体" w:hAnsi="宋体" w:eastAsia="宋体"/>
        </w:rPr>
        <w:t>6. 评标</w:t>
      </w:r>
    </w:p>
    <w:p w14:paraId="1464DDE5">
      <w:pPr>
        <w:pStyle w:val="27"/>
        <w:rPr>
          <w:rFonts w:eastAsia="宋体"/>
        </w:rPr>
      </w:pPr>
      <w:r>
        <w:rPr>
          <w:rFonts w:hint="eastAsia" w:eastAsia="宋体"/>
        </w:rPr>
        <w:t>6.1 评标委员会</w:t>
      </w:r>
    </w:p>
    <w:p w14:paraId="42814DEF">
      <w:pPr>
        <w:ind w:firstLine="420" w:firstLineChars="200"/>
        <w:rPr>
          <w:rFonts w:cs="宋体"/>
        </w:rPr>
      </w:pPr>
      <w:r>
        <w:rPr>
          <w:rFonts w:hint="eastAsia" w:cs="宋体"/>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13BCC53">
      <w:pPr>
        <w:ind w:firstLine="420" w:firstLineChars="200"/>
        <w:rPr>
          <w:rFonts w:cs="宋体"/>
        </w:rPr>
      </w:pPr>
      <w:r>
        <w:rPr>
          <w:rFonts w:hint="eastAsia" w:cs="宋体"/>
        </w:rPr>
        <w:t>6.1.2 评标委员会成员有下列情形之一的，应当回避：</w:t>
      </w:r>
    </w:p>
    <w:p w14:paraId="4711BECA">
      <w:pPr>
        <w:ind w:firstLine="420" w:firstLineChars="200"/>
        <w:rPr>
          <w:rFonts w:cs="宋体"/>
        </w:rPr>
      </w:pPr>
      <w:r>
        <w:rPr>
          <w:rFonts w:hint="eastAsia" w:cs="宋体"/>
        </w:rPr>
        <w:t>（1）招标人或投标人的主要负责人的近亲属；</w:t>
      </w:r>
    </w:p>
    <w:p w14:paraId="33A0A9E7">
      <w:pPr>
        <w:ind w:firstLine="420" w:firstLineChars="200"/>
        <w:rPr>
          <w:rFonts w:cs="宋体"/>
        </w:rPr>
      </w:pPr>
      <w:r>
        <w:rPr>
          <w:rFonts w:hint="eastAsia" w:cs="宋体"/>
        </w:rPr>
        <w:t>（2）项目主管部门或者行政监督部门的人员；</w:t>
      </w:r>
    </w:p>
    <w:p w14:paraId="2D124620">
      <w:pPr>
        <w:ind w:firstLine="420" w:firstLineChars="200"/>
        <w:rPr>
          <w:rFonts w:cs="宋体"/>
        </w:rPr>
      </w:pPr>
      <w:r>
        <w:rPr>
          <w:rFonts w:hint="eastAsia" w:cs="宋体"/>
        </w:rPr>
        <w:t>（3）与投标人有经济利益关系，可能影响对投标公正评审的；</w:t>
      </w:r>
    </w:p>
    <w:p w14:paraId="4911E61D">
      <w:pPr>
        <w:ind w:firstLine="420" w:firstLineChars="200"/>
        <w:rPr>
          <w:rFonts w:cs="宋体"/>
        </w:rPr>
      </w:pPr>
      <w:r>
        <w:rPr>
          <w:rFonts w:hint="eastAsia" w:cs="宋体"/>
        </w:rPr>
        <w:t>（4）曾因在招标、评标以及其他与招标投标有关活动中从事违法行为而受过行政处罚或刑事处罚的。</w:t>
      </w:r>
    </w:p>
    <w:p w14:paraId="580899F4">
      <w:pPr>
        <w:ind w:firstLine="420" w:firstLineChars="200"/>
        <w:rPr>
          <w:rFonts w:cs="宋体"/>
        </w:rPr>
      </w:pPr>
      <w:r>
        <w:rPr>
          <w:rFonts w:hint="eastAsia" w:cs="宋体"/>
        </w:rPr>
        <w:t>（5）与投标人有其他利害关系。</w:t>
      </w:r>
    </w:p>
    <w:p w14:paraId="0B970F4B">
      <w:pPr>
        <w:pStyle w:val="27"/>
        <w:rPr>
          <w:rFonts w:eastAsia="宋体"/>
        </w:rPr>
      </w:pPr>
      <w:r>
        <w:rPr>
          <w:rFonts w:hint="eastAsia" w:eastAsia="宋体"/>
        </w:rPr>
        <w:t>6.2 评标原则</w:t>
      </w:r>
      <w:r>
        <w:rPr>
          <w:rFonts w:hint="eastAsia" w:eastAsia="宋体"/>
        </w:rPr>
        <w:tab/>
      </w:r>
    </w:p>
    <w:p w14:paraId="43209AE2">
      <w:pPr>
        <w:ind w:firstLine="420" w:firstLineChars="200"/>
        <w:rPr>
          <w:rFonts w:cs="宋体"/>
        </w:rPr>
      </w:pPr>
      <w:r>
        <w:rPr>
          <w:rFonts w:hint="eastAsia" w:cs="宋体"/>
        </w:rPr>
        <w:t>评标活动遵循公平、公正、科学和择优的原则。</w:t>
      </w:r>
    </w:p>
    <w:p w14:paraId="126C4221">
      <w:pPr>
        <w:pStyle w:val="27"/>
        <w:rPr>
          <w:rFonts w:eastAsia="宋体"/>
        </w:rPr>
      </w:pPr>
      <w:r>
        <w:rPr>
          <w:rFonts w:hint="eastAsia" w:eastAsia="宋体"/>
        </w:rPr>
        <w:t>6.3 评标</w:t>
      </w:r>
    </w:p>
    <w:p w14:paraId="69FB4D52">
      <w:pPr>
        <w:ind w:firstLine="420" w:firstLineChars="200"/>
        <w:rPr>
          <w:rFonts w:cs="宋体"/>
        </w:rPr>
      </w:pPr>
      <w:r>
        <w:rPr>
          <w:rFonts w:hint="eastAsia" w:cs="宋体"/>
        </w:rPr>
        <w:t>评标委员会按照第三章“评标办法”规定的方法、评审因素、标准和程序对投标文件进行评审。第三章“评标办法”没有规定的方法、评审因素和标准，不作为评标依据。</w:t>
      </w:r>
    </w:p>
    <w:p w14:paraId="0FC245B2">
      <w:pPr>
        <w:pStyle w:val="25"/>
        <w:rPr>
          <w:rFonts w:ascii="宋体" w:hAnsi="宋体" w:eastAsia="宋体"/>
        </w:rPr>
      </w:pPr>
      <w:r>
        <w:rPr>
          <w:rFonts w:hint="eastAsia" w:ascii="宋体" w:hAnsi="宋体" w:eastAsia="宋体"/>
        </w:rPr>
        <w:t>7. 合同授予</w:t>
      </w:r>
    </w:p>
    <w:p w14:paraId="11ECEECE">
      <w:pPr>
        <w:pStyle w:val="27"/>
        <w:rPr>
          <w:rFonts w:eastAsia="宋体"/>
        </w:rPr>
      </w:pPr>
      <w:r>
        <w:rPr>
          <w:rFonts w:hint="eastAsia" w:eastAsia="宋体"/>
        </w:rPr>
        <w:t>7.1 定标方式</w:t>
      </w:r>
    </w:p>
    <w:p w14:paraId="51044229">
      <w:pPr>
        <w:ind w:firstLine="420" w:firstLineChars="200"/>
        <w:rPr>
          <w:rFonts w:cs="宋体"/>
        </w:rPr>
      </w:pPr>
      <w:r>
        <w:rPr>
          <w:rFonts w:hint="eastAsia" w:cs="宋体"/>
        </w:rPr>
        <w:t>除投标人须知前附表规定评标委员会直接确定中标人外，招标人依据评标委员会推荐的中标候选人确定中标人，评标委员会推荐中标候选人的人数见投标人须知前附表。</w:t>
      </w:r>
    </w:p>
    <w:p w14:paraId="23BD5CCE">
      <w:pPr>
        <w:ind w:firstLine="420" w:firstLineChars="200"/>
        <w:rPr>
          <w:rFonts w:cs="宋体"/>
        </w:rPr>
      </w:pPr>
      <w:r>
        <w:rPr>
          <w:rFonts w:hint="eastAsia" w:cs="宋体"/>
        </w:rPr>
        <w:t>国有资金占控股或者主导地位的依法必须进行招标的项目，招标人应当确定推荐的中标候选人为中标人。推荐的中标候选人放弃中标、因不可抗力不能履行合同、不按照招标文件要求提交履约保证金，或者被查实存在影响中标结果的违法行为等情形，不符合中标条件的，招标人重新招标。</w:t>
      </w:r>
    </w:p>
    <w:p w14:paraId="79C48887">
      <w:pPr>
        <w:pStyle w:val="27"/>
        <w:rPr>
          <w:rFonts w:eastAsia="宋体"/>
        </w:rPr>
      </w:pPr>
      <w:r>
        <w:rPr>
          <w:rFonts w:hint="eastAsia" w:eastAsia="宋体"/>
        </w:rPr>
        <w:t>7.2 中标通知</w:t>
      </w:r>
    </w:p>
    <w:p w14:paraId="2132AD3C">
      <w:pPr>
        <w:ind w:firstLine="420" w:firstLineChars="200"/>
        <w:jc w:val="left"/>
        <w:rPr>
          <w:rFonts w:cs="宋体"/>
        </w:rPr>
      </w:pPr>
      <w:r>
        <w:rPr>
          <w:rFonts w:hint="eastAsia" w:cs="宋体"/>
        </w:rPr>
        <w:t>在中标通知书发出前，招标人将中标候选人的情况在浙江海港电子招标采购平台（http://hgdzzb.nbport.com.cn/）、温州港集团有限公司网站（https://www.wzport.com/wzport/wzgzz/yggc/zbgg/index.html）予以公示，公示期不少于3日。</w:t>
      </w:r>
    </w:p>
    <w:p w14:paraId="5C33E5A8">
      <w:pPr>
        <w:ind w:firstLine="420" w:firstLineChars="200"/>
        <w:rPr>
          <w:rFonts w:cs="宋体"/>
        </w:rPr>
      </w:pPr>
      <w:r>
        <w:rPr>
          <w:rFonts w:hint="eastAsia" w:cs="宋体"/>
        </w:rPr>
        <w:t>在本章第3.3款规定的投标有效期内，招标人以书面形式向中标人发出中标通知书，同时将中标结果通知未中标的投标人。</w:t>
      </w:r>
    </w:p>
    <w:p w14:paraId="1BDB2932">
      <w:pPr>
        <w:pStyle w:val="27"/>
        <w:rPr>
          <w:rFonts w:eastAsia="宋体"/>
        </w:rPr>
      </w:pPr>
      <w:r>
        <w:rPr>
          <w:rFonts w:hint="eastAsia" w:eastAsia="宋体"/>
        </w:rPr>
        <w:t>7.3 履约担保</w:t>
      </w:r>
    </w:p>
    <w:p w14:paraId="12E44806">
      <w:pPr>
        <w:ind w:firstLine="420" w:firstLineChars="200"/>
        <w:rPr>
          <w:rFonts w:cs="宋体"/>
        </w:rPr>
      </w:pPr>
      <w:r>
        <w:rPr>
          <w:rFonts w:hint="eastAsia" w:cs="宋体"/>
        </w:rPr>
        <w:t>7.3.1在签订合同前，中标人应按投标人须知前附表规定的金额、担保形式和招标文件第四章“合同条款及格式”规定的履约担保格式向招标人提交履约担保。</w:t>
      </w:r>
    </w:p>
    <w:p w14:paraId="647A0251">
      <w:pPr>
        <w:ind w:firstLine="420" w:firstLineChars="200"/>
        <w:rPr>
          <w:rFonts w:cs="宋体"/>
        </w:rPr>
      </w:pPr>
      <w:r>
        <w:rPr>
          <w:rFonts w:hint="eastAsia" w:cs="宋体"/>
        </w:rPr>
        <w:t>7.3.2 中标人不能按本章第7.3.1项要求提交履约担保的，视为放弃中标，其投标保证金不予退还，给招标人造成的损失超过投标保证金数额的，中标人还应当对超过部分予以赔偿。</w:t>
      </w:r>
    </w:p>
    <w:p w14:paraId="1F5C5947">
      <w:pPr>
        <w:pStyle w:val="27"/>
        <w:rPr>
          <w:rFonts w:eastAsia="宋体"/>
        </w:rPr>
      </w:pPr>
      <w:r>
        <w:rPr>
          <w:rFonts w:hint="eastAsia" w:eastAsia="宋体"/>
        </w:rPr>
        <w:t>7.4 签订合同</w:t>
      </w:r>
    </w:p>
    <w:p w14:paraId="37223D47">
      <w:pPr>
        <w:ind w:firstLine="420" w:firstLineChars="200"/>
        <w:rPr>
          <w:rFonts w:cs="宋体"/>
        </w:rPr>
      </w:pPr>
      <w:r>
        <w:rPr>
          <w:rFonts w:hint="eastAsia" w:cs="宋体"/>
        </w:rPr>
        <w:t xml:space="preserve">7.4.1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36BABD1D">
      <w:pPr>
        <w:ind w:firstLine="420" w:firstLineChars="200"/>
        <w:rPr>
          <w:rFonts w:cs="宋体"/>
        </w:rPr>
      </w:pPr>
      <w:r>
        <w:rPr>
          <w:rFonts w:hint="eastAsia" w:cs="宋体"/>
        </w:rPr>
        <w:t xml:space="preserve">7.4.2 发出中标通知书后，招标人无正当理由拒签合同的，招标人向中标人退还投标保证金；给中标人造成损失的，还应当赔偿损失。 </w:t>
      </w:r>
    </w:p>
    <w:p w14:paraId="6D5A62F8">
      <w:pPr>
        <w:pStyle w:val="25"/>
        <w:rPr>
          <w:rFonts w:ascii="宋体" w:hAnsi="宋体" w:eastAsia="宋体"/>
        </w:rPr>
      </w:pPr>
      <w:r>
        <w:rPr>
          <w:rFonts w:hint="eastAsia" w:ascii="宋体" w:hAnsi="宋体" w:eastAsia="宋体"/>
        </w:rPr>
        <w:t>8. 重新招标和不再招标</w:t>
      </w:r>
    </w:p>
    <w:p w14:paraId="449FAB5A">
      <w:pPr>
        <w:pStyle w:val="27"/>
        <w:rPr>
          <w:rFonts w:eastAsia="宋体"/>
        </w:rPr>
      </w:pPr>
      <w:r>
        <w:rPr>
          <w:rFonts w:hint="eastAsia" w:eastAsia="宋体"/>
        </w:rPr>
        <w:t>8.1 重新招标</w:t>
      </w:r>
    </w:p>
    <w:p w14:paraId="59B75850">
      <w:pPr>
        <w:ind w:firstLine="420" w:firstLineChars="200"/>
        <w:rPr>
          <w:rFonts w:cs="宋体"/>
        </w:rPr>
      </w:pPr>
      <w:r>
        <w:rPr>
          <w:rFonts w:hint="eastAsia" w:cs="宋体"/>
        </w:rPr>
        <w:t>有下列情形之一的，招标人将重新招标：</w:t>
      </w:r>
    </w:p>
    <w:p w14:paraId="286E6CDD">
      <w:pPr>
        <w:ind w:firstLine="420" w:firstLineChars="200"/>
        <w:rPr>
          <w:rFonts w:cs="宋体"/>
        </w:rPr>
      </w:pPr>
      <w:r>
        <w:rPr>
          <w:rFonts w:hint="eastAsia" w:cs="宋体"/>
        </w:rPr>
        <w:t>（1）投标截止时间止，投标人少于3家的，</w:t>
      </w:r>
      <w:r>
        <w:rPr>
          <w:rFonts w:hint="eastAsia" w:cs="宋体"/>
          <w:bCs/>
          <w:szCs w:val="21"/>
        </w:rPr>
        <w:t>本项目无法开标，重新组织招标</w:t>
      </w:r>
      <w:r>
        <w:rPr>
          <w:rFonts w:hint="eastAsia" w:cs="宋体"/>
        </w:rPr>
        <w:t>。</w:t>
      </w:r>
    </w:p>
    <w:p w14:paraId="17A5A6D7">
      <w:pPr>
        <w:ind w:firstLine="420" w:firstLineChars="200"/>
        <w:rPr>
          <w:rFonts w:cs="宋体"/>
        </w:rPr>
      </w:pPr>
      <w:r>
        <w:rPr>
          <w:rFonts w:hint="eastAsia" w:cs="宋体"/>
        </w:rPr>
        <w:t>（2）</w:t>
      </w:r>
      <w:r>
        <w:rPr>
          <w:rFonts w:hint="eastAsia" w:cs="宋体"/>
          <w:bCs/>
          <w:szCs w:val="21"/>
        </w:rPr>
        <w:t>开标后经评审，当有效标不足3家时，评标委员会应否决全部投标，重新组织招标。</w:t>
      </w:r>
    </w:p>
    <w:p w14:paraId="5548D095">
      <w:pPr>
        <w:spacing w:line="360" w:lineRule="auto"/>
        <w:ind w:firstLine="420" w:firstLineChars="200"/>
        <w:contextualSpacing/>
        <w:rPr>
          <w:rFonts w:cs="宋体"/>
        </w:rPr>
      </w:pPr>
      <w:r>
        <w:rPr>
          <w:rFonts w:hint="eastAsia" w:cs="宋体"/>
        </w:rPr>
        <w:t>（</w:t>
      </w:r>
      <w:r>
        <w:rPr>
          <w:rFonts w:hint="eastAsia" w:cs="宋体"/>
          <w:bCs/>
          <w:szCs w:val="21"/>
        </w:rPr>
        <w:t>3）中标候选人未与招标人签订合同的，重新组织招标。</w:t>
      </w:r>
    </w:p>
    <w:p w14:paraId="2899E057">
      <w:pPr>
        <w:pStyle w:val="27"/>
        <w:rPr>
          <w:rFonts w:eastAsia="宋体"/>
        </w:rPr>
      </w:pPr>
      <w:r>
        <w:rPr>
          <w:rFonts w:hint="eastAsia" w:eastAsia="宋体"/>
        </w:rPr>
        <w:t>8.2 不再招标</w:t>
      </w:r>
    </w:p>
    <w:p w14:paraId="5A9B577F">
      <w:pPr>
        <w:ind w:firstLine="420" w:firstLineChars="200"/>
        <w:rPr>
          <w:rFonts w:cs="宋体"/>
        </w:rPr>
      </w:pPr>
      <w:r>
        <w:rPr>
          <w:rFonts w:hint="eastAsia" w:cs="宋体"/>
        </w:rPr>
        <w:t>重新招标后投标人仍少于</w:t>
      </w:r>
      <w:r>
        <w:rPr>
          <w:rFonts w:cs="宋体"/>
        </w:rPr>
        <w:t>3个，属于必须审批或核准的工程建设项目，经原审批或核准部门批准后不再进行招标。</w:t>
      </w:r>
    </w:p>
    <w:p w14:paraId="2DF77C23">
      <w:pPr>
        <w:pStyle w:val="25"/>
        <w:rPr>
          <w:rFonts w:ascii="宋体" w:hAnsi="宋体" w:eastAsia="宋体"/>
        </w:rPr>
      </w:pPr>
      <w:r>
        <w:rPr>
          <w:rFonts w:hint="eastAsia" w:ascii="宋体" w:hAnsi="宋体" w:eastAsia="宋体"/>
        </w:rPr>
        <w:t>9. 纪律和监督</w:t>
      </w:r>
    </w:p>
    <w:p w14:paraId="1BD987B3">
      <w:pPr>
        <w:pStyle w:val="27"/>
        <w:rPr>
          <w:rFonts w:eastAsia="宋体"/>
        </w:rPr>
      </w:pPr>
      <w:r>
        <w:rPr>
          <w:rFonts w:hint="eastAsia" w:eastAsia="宋体"/>
        </w:rPr>
        <w:t>9.1 对招标人的纪律要求</w:t>
      </w:r>
    </w:p>
    <w:p w14:paraId="6F566D4B">
      <w:pPr>
        <w:ind w:firstLine="420" w:firstLineChars="200"/>
        <w:rPr>
          <w:rFonts w:cs="宋体"/>
        </w:rPr>
      </w:pPr>
      <w:r>
        <w:rPr>
          <w:rFonts w:hint="eastAsia" w:cs="宋体"/>
        </w:rPr>
        <w:t>招标人不得泄漏招标投标活动中应当保密的情况和资料，不得与投标人串通损害国家利益、社会公共利益或者他人合法权益。</w:t>
      </w:r>
    </w:p>
    <w:p w14:paraId="39C10F3E">
      <w:pPr>
        <w:pStyle w:val="27"/>
        <w:rPr>
          <w:rFonts w:eastAsia="宋体"/>
        </w:rPr>
      </w:pPr>
      <w:r>
        <w:rPr>
          <w:rFonts w:hint="eastAsia" w:eastAsia="宋体"/>
        </w:rPr>
        <w:t>9.2 对投标人的纪律要求</w:t>
      </w:r>
    </w:p>
    <w:p w14:paraId="49E0B1BC">
      <w:pPr>
        <w:ind w:firstLine="420" w:firstLineChars="200"/>
        <w:rPr>
          <w:rFonts w:cs="宋体"/>
        </w:rPr>
      </w:pPr>
      <w:r>
        <w:rPr>
          <w:rFonts w:hint="eastAsia" w:cs="宋体"/>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8290BE3">
      <w:pPr>
        <w:pStyle w:val="27"/>
        <w:rPr>
          <w:rFonts w:eastAsia="宋体"/>
        </w:rPr>
      </w:pPr>
      <w:r>
        <w:rPr>
          <w:rFonts w:hint="eastAsia" w:eastAsia="宋体"/>
        </w:rPr>
        <w:t>9.3 对评标委员会成员的纪律要求</w:t>
      </w:r>
    </w:p>
    <w:p w14:paraId="048ED711">
      <w:pPr>
        <w:ind w:firstLine="420" w:firstLineChars="200"/>
        <w:rPr>
          <w:rFonts w:cs="宋体"/>
        </w:rPr>
      </w:pPr>
      <w:r>
        <w:rPr>
          <w:rFonts w:hint="eastAsia" w:cs="宋体"/>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62574B5B">
      <w:pPr>
        <w:pStyle w:val="27"/>
        <w:rPr>
          <w:rFonts w:eastAsia="宋体"/>
        </w:rPr>
      </w:pPr>
      <w:r>
        <w:rPr>
          <w:rFonts w:hint="eastAsia" w:eastAsia="宋体"/>
        </w:rPr>
        <w:t>9.4 对与评标活动有关的工作人员的纪律要求</w:t>
      </w:r>
    </w:p>
    <w:p w14:paraId="75537FF8">
      <w:pPr>
        <w:ind w:firstLine="420" w:firstLineChars="200"/>
        <w:rPr>
          <w:rFonts w:cs="宋体"/>
        </w:rPr>
      </w:pPr>
      <w:r>
        <w:rPr>
          <w:rFonts w:hint="eastAsia" w:cs="宋体"/>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5CA03AF">
      <w:pPr>
        <w:pStyle w:val="27"/>
        <w:rPr>
          <w:rFonts w:eastAsia="宋体"/>
        </w:rPr>
      </w:pPr>
      <w:r>
        <w:rPr>
          <w:rFonts w:hint="eastAsia" w:eastAsia="宋体"/>
        </w:rPr>
        <w:t>9.5 投诉</w:t>
      </w:r>
    </w:p>
    <w:p w14:paraId="699EC9A9">
      <w:pPr>
        <w:ind w:firstLine="420" w:firstLineChars="200"/>
        <w:rPr>
          <w:rFonts w:cs="宋体"/>
        </w:rPr>
      </w:pPr>
      <w:r>
        <w:rPr>
          <w:rFonts w:hint="eastAsia" w:cs="宋体"/>
        </w:rPr>
        <w:t>投标人或者其他利害关系人认为招标投标活动不符合法律、行政法规规定的，可以自知道或者应当知道之日起10日内向有关行政监督部门投诉。投诉应当有明确的请求和必要的证明材料。</w:t>
      </w:r>
    </w:p>
    <w:p w14:paraId="5AC0D36E">
      <w:pPr>
        <w:ind w:firstLine="420" w:firstLineChars="200"/>
        <w:rPr>
          <w:rFonts w:cs="宋体"/>
        </w:rPr>
      </w:pPr>
      <w:r>
        <w:rPr>
          <w:rFonts w:hint="eastAsia" w:cs="宋体"/>
        </w:rPr>
        <w:t>《中华人民共和国招标投标法实施条例》第二十二条、第四十四条、第五十四条规定事项投诉的，应当先向招标人提出异议，异议答复期间不计算在前款规定的期限内。</w:t>
      </w:r>
    </w:p>
    <w:p w14:paraId="228736C4">
      <w:pPr>
        <w:pStyle w:val="25"/>
        <w:rPr>
          <w:rFonts w:ascii="宋体" w:hAnsi="宋体" w:eastAsia="宋体"/>
        </w:rPr>
      </w:pPr>
      <w:r>
        <w:rPr>
          <w:rFonts w:hint="eastAsia" w:ascii="宋体" w:hAnsi="宋体" w:eastAsia="宋体"/>
        </w:rPr>
        <w:t>10. 需要补充的其他内容</w:t>
      </w:r>
    </w:p>
    <w:p w14:paraId="052550CD">
      <w:pPr>
        <w:pStyle w:val="27"/>
        <w:rPr>
          <w:rFonts w:eastAsia="宋体"/>
        </w:rPr>
      </w:pPr>
      <w:r>
        <w:rPr>
          <w:rFonts w:hint="eastAsia" w:eastAsia="宋体"/>
        </w:rPr>
        <w:t>10.1解释权</w:t>
      </w:r>
    </w:p>
    <w:p w14:paraId="1F1B0DCA">
      <w:pPr>
        <w:ind w:firstLine="420" w:firstLineChars="200"/>
        <w:rPr>
          <w:rFonts w:cs="宋体"/>
        </w:rPr>
      </w:pPr>
      <w:r>
        <w:rPr>
          <w:rFonts w:hint="eastAsia" w:cs="宋体"/>
        </w:rPr>
        <w:t>构成招标文件组成部分的“通用合同条款”、“专用合同条款”、“技术标准和要求”和“工程量清单”等章节中出现的措辞“发包人”和“承包人”，在招标投标阶段应当分别按“招标人”和“投标人”进行理解。</w:t>
      </w:r>
    </w:p>
    <w:p w14:paraId="03BB945E">
      <w:pPr>
        <w:ind w:firstLine="420" w:firstLineChars="200"/>
        <w:rPr>
          <w:rFonts w:cs="宋体"/>
        </w:rPr>
      </w:pPr>
      <w:r>
        <w:rPr>
          <w:rFonts w:hint="eastAsia" w:cs="宋体"/>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714908D2">
      <w:pPr>
        <w:pStyle w:val="27"/>
        <w:rPr>
          <w:rFonts w:eastAsia="宋体"/>
        </w:rPr>
      </w:pPr>
      <w:r>
        <w:rPr>
          <w:rFonts w:hint="eastAsia" w:eastAsia="宋体"/>
        </w:rPr>
        <w:t>10.2工程造价</w:t>
      </w:r>
    </w:p>
    <w:p w14:paraId="51C12093">
      <w:pPr>
        <w:ind w:firstLine="420" w:firstLineChars="200"/>
        <w:rPr>
          <w:rFonts w:cs="宋体"/>
        </w:rPr>
      </w:pPr>
      <w:r>
        <w:rPr>
          <w:rFonts w:hint="eastAsia" w:cs="宋体"/>
        </w:rPr>
        <w:t>本项目的招标控制价见投标人须知前附表。</w:t>
      </w:r>
    </w:p>
    <w:p w14:paraId="5248BDF6">
      <w:pPr>
        <w:pStyle w:val="27"/>
        <w:rPr>
          <w:rFonts w:eastAsia="宋体"/>
        </w:rPr>
      </w:pPr>
      <w:r>
        <w:rPr>
          <w:rFonts w:hint="eastAsia" w:eastAsia="宋体"/>
        </w:rPr>
        <w:t>10.3业绩证明材料提供的要求</w:t>
      </w:r>
    </w:p>
    <w:p w14:paraId="03649494">
      <w:pPr>
        <w:ind w:firstLine="420" w:firstLineChars="200"/>
        <w:rPr>
          <w:rFonts w:cs="宋体"/>
        </w:rPr>
      </w:pPr>
      <w:r>
        <w:rPr>
          <w:rFonts w:hint="eastAsia" w:cs="宋体"/>
        </w:rPr>
        <w:t>不要求。</w:t>
      </w:r>
    </w:p>
    <w:p w14:paraId="0BCDD717">
      <w:pPr>
        <w:pStyle w:val="27"/>
        <w:rPr>
          <w:rFonts w:eastAsia="宋体"/>
        </w:rPr>
      </w:pPr>
      <w:r>
        <w:rPr>
          <w:rFonts w:hint="eastAsia" w:eastAsia="宋体"/>
        </w:rPr>
        <w:t>10.4投标人信誉要求</w:t>
      </w:r>
    </w:p>
    <w:p w14:paraId="0525C68F">
      <w:pPr>
        <w:ind w:firstLine="420" w:firstLineChars="200"/>
        <w:rPr>
          <w:rFonts w:cs="宋体"/>
        </w:rPr>
      </w:pPr>
      <w:r>
        <w:rPr>
          <w:rFonts w:hint="eastAsia" w:cs="宋体"/>
        </w:rPr>
        <w:t>投标人发生合并、分立、破产等重大变化的，应当及时书面告知招标人。投标人不再具备招标文件规定的资格条件或者其投标影响招标公正性的，其投标无效。</w:t>
      </w:r>
    </w:p>
    <w:p w14:paraId="50F39412">
      <w:pPr>
        <w:pStyle w:val="27"/>
        <w:rPr>
          <w:rFonts w:eastAsia="宋体"/>
        </w:rPr>
      </w:pPr>
      <w:r>
        <w:rPr>
          <w:rFonts w:hint="eastAsia" w:eastAsia="宋体"/>
        </w:rPr>
        <w:t>10.5项目经理要求</w:t>
      </w:r>
    </w:p>
    <w:p w14:paraId="5FDC3BC7">
      <w:pPr>
        <w:ind w:firstLine="420" w:firstLineChars="200"/>
        <w:rPr>
          <w:rFonts w:cs="宋体"/>
        </w:rPr>
      </w:pPr>
      <w:r>
        <w:rPr>
          <w:rFonts w:hint="eastAsia" w:cs="宋体"/>
        </w:rPr>
        <w:t>对项目经理的其他要求如下：</w:t>
      </w:r>
    </w:p>
    <w:p w14:paraId="118108FF">
      <w:pPr>
        <w:ind w:firstLine="420" w:firstLineChars="200"/>
        <w:rPr>
          <w:rFonts w:cs="宋体"/>
        </w:rPr>
      </w:pPr>
      <w:r>
        <w:rPr>
          <w:rFonts w:hint="eastAsia" w:cs="宋体"/>
        </w:rPr>
        <w:t>具备房屋建筑工程专业二级及以上注册建造师证书及有效的项目经理安全生产考核合格证书（B类）。</w:t>
      </w:r>
    </w:p>
    <w:p w14:paraId="2B35196F">
      <w:pPr>
        <w:pStyle w:val="27"/>
        <w:rPr>
          <w:rFonts w:eastAsia="宋体"/>
        </w:rPr>
      </w:pPr>
      <w:r>
        <w:rPr>
          <w:rFonts w:hint="eastAsia" w:eastAsia="宋体"/>
        </w:rPr>
        <w:t>10.6</w:t>
      </w:r>
      <w:bookmarkStart w:id="55" w:name="_Toc527143505"/>
      <w:r>
        <w:rPr>
          <w:rFonts w:hint="eastAsia" w:eastAsia="宋体"/>
        </w:rPr>
        <w:t>投标人不得存在的其他情形</w:t>
      </w:r>
      <w:bookmarkEnd w:id="55"/>
      <w:r>
        <w:rPr>
          <w:rFonts w:hint="eastAsia" w:eastAsia="宋体"/>
        </w:rPr>
        <w:t>（补充）</w:t>
      </w:r>
    </w:p>
    <w:p w14:paraId="42A4A4BB">
      <w:pPr>
        <w:ind w:firstLine="420" w:firstLineChars="200"/>
        <w:rPr>
          <w:rFonts w:cs="宋体"/>
        </w:rPr>
      </w:pPr>
      <w:r>
        <w:rPr>
          <w:rFonts w:hint="eastAsia" w:cs="宋体"/>
        </w:rPr>
        <w:t>（1）投标人之间协商投标报价等投标文件的实质性内容；</w:t>
      </w:r>
    </w:p>
    <w:p w14:paraId="451271A9">
      <w:pPr>
        <w:ind w:firstLine="420" w:firstLineChars="200"/>
        <w:rPr>
          <w:rFonts w:cs="宋体"/>
        </w:rPr>
      </w:pPr>
      <w:r>
        <w:rPr>
          <w:rFonts w:hint="eastAsia" w:cs="宋体"/>
        </w:rPr>
        <w:t>（2）投标人之间约定中标人；</w:t>
      </w:r>
    </w:p>
    <w:p w14:paraId="4F96B0FA">
      <w:pPr>
        <w:ind w:firstLine="420" w:firstLineChars="200"/>
        <w:rPr>
          <w:rFonts w:cs="宋体"/>
        </w:rPr>
      </w:pPr>
      <w:r>
        <w:rPr>
          <w:rFonts w:hint="eastAsia" w:cs="宋体"/>
        </w:rPr>
        <w:t>（3）投标人之间约定部分投标人放弃投标或者中标；</w:t>
      </w:r>
    </w:p>
    <w:p w14:paraId="3C007290">
      <w:pPr>
        <w:ind w:firstLine="420" w:firstLineChars="200"/>
        <w:rPr>
          <w:rFonts w:cs="宋体"/>
        </w:rPr>
      </w:pPr>
      <w:r>
        <w:rPr>
          <w:rFonts w:hint="eastAsia" w:cs="宋体"/>
        </w:rPr>
        <w:t>（4）属于同一集团、协会、商会等组织成员的投标人按照该组织要求协同投标；</w:t>
      </w:r>
    </w:p>
    <w:p w14:paraId="7472B37F">
      <w:pPr>
        <w:ind w:firstLine="420" w:firstLineChars="200"/>
        <w:rPr>
          <w:rFonts w:cs="宋体"/>
        </w:rPr>
      </w:pPr>
      <w:r>
        <w:rPr>
          <w:rFonts w:hint="eastAsia" w:cs="宋体"/>
        </w:rPr>
        <w:t>（5）投标人之间为谋取中标或者排斥特定投标人而采取的其他联合行动；</w:t>
      </w:r>
    </w:p>
    <w:p w14:paraId="137039F2">
      <w:pPr>
        <w:ind w:firstLine="420" w:firstLineChars="200"/>
        <w:rPr>
          <w:rFonts w:cs="宋体"/>
        </w:rPr>
      </w:pPr>
      <w:r>
        <w:rPr>
          <w:rFonts w:hint="eastAsia" w:cs="宋体"/>
        </w:rPr>
        <w:t>（6）</w:t>
      </w:r>
      <w:r>
        <w:rPr>
          <w:rFonts w:hint="eastAsia" w:cs="宋体"/>
          <w:b/>
          <w:bCs/>
          <w:spacing w:val="-4"/>
          <w:szCs w:val="21"/>
        </w:rPr>
        <w:t>不同投标人的电子投标文件编制时的计算机硬件信息中网卡MAC地址（如有）、硬盘（含移动存储介质）序列号（Optane_0000或0100_0000_0000_0000序列号除外）、互联网接入IP地址相同的，投标文件为无效标</w:t>
      </w:r>
      <w:r>
        <w:rPr>
          <w:rFonts w:hint="eastAsia" w:cs="宋体"/>
        </w:rPr>
        <w:t>；</w:t>
      </w:r>
    </w:p>
    <w:p w14:paraId="6B60D268">
      <w:pPr>
        <w:ind w:firstLine="420" w:firstLineChars="200"/>
        <w:rPr>
          <w:rFonts w:cs="宋体"/>
        </w:rPr>
      </w:pPr>
      <w:r>
        <w:rPr>
          <w:rFonts w:hint="eastAsia" w:cs="宋体"/>
        </w:rPr>
        <w:t>（7）不同投标人委托同一单位或者个人办理投标事宜（采用电子招投标的，从一个投标单位或同一个自然人的IP地址下载招标文件或者上传投标文件的，也属于该情形）；</w:t>
      </w:r>
    </w:p>
    <w:p w14:paraId="0A9F2327">
      <w:pPr>
        <w:ind w:firstLine="420" w:firstLineChars="200"/>
        <w:rPr>
          <w:rFonts w:cs="宋体"/>
        </w:rPr>
      </w:pPr>
      <w:r>
        <w:rPr>
          <w:rFonts w:hint="eastAsia" w:cs="宋体"/>
        </w:rPr>
        <w:t>（8）不同投标人的投标文件载明的项目管理成员为同一人；</w:t>
      </w:r>
    </w:p>
    <w:p w14:paraId="72C7E23D">
      <w:pPr>
        <w:ind w:firstLine="420" w:firstLineChars="200"/>
        <w:rPr>
          <w:rFonts w:cs="宋体"/>
        </w:rPr>
      </w:pPr>
      <w:r>
        <w:rPr>
          <w:rFonts w:hint="eastAsia" w:cs="宋体"/>
        </w:rPr>
        <w:t>（9）不同投标人的投标文件异常一致或者投标报价呈规律性差异（投标文件雷同性部分达80%以上的）；</w:t>
      </w:r>
    </w:p>
    <w:p w14:paraId="4B291C1E">
      <w:pPr>
        <w:ind w:firstLine="420" w:firstLineChars="200"/>
        <w:rPr>
          <w:rFonts w:cs="宋体"/>
        </w:rPr>
      </w:pPr>
      <w:r>
        <w:rPr>
          <w:rFonts w:hint="eastAsia" w:cs="宋体"/>
        </w:rPr>
        <w:t>（10）不同投标人的投标文件相互混装；</w:t>
      </w:r>
    </w:p>
    <w:p w14:paraId="4EBED85D">
      <w:pPr>
        <w:ind w:firstLine="420" w:firstLineChars="200"/>
        <w:rPr>
          <w:rFonts w:cs="宋体"/>
        </w:rPr>
      </w:pPr>
      <w:r>
        <w:rPr>
          <w:rFonts w:hint="eastAsia" w:cs="宋体"/>
        </w:rPr>
        <w:t>（11）不同投标人的投标保证金从同一单位或者个人的账户转出；</w:t>
      </w:r>
    </w:p>
    <w:p w14:paraId="37A9E383">
      <w:pPr>
        <w:ind w:firstLine="420" w:firstLineChars="200"/>
        <w:rPr>
          <w:rFonts w:cs="宋体"/>
        </w:rPr>
      </w:pPr>
      <w:r>
        <w:rPr>
          <w:rFonts w:hint="eastAsia" w:cs="宋体"/>
        </w:rPr>
        <w:t>（12）招标人在开标前开启投标文件并将有关信息泄露给其他投标人；</w:t>
      </w:r>
    </w:p>
    <w:p w14:paraId="3A068DA0">
      <w:pPr>
        <w:ind w:firstLine="420" w:firstLineChars="200"/>
        <w:rPr>
          <w:rFonts w:cs="宋体"/>
        </w:rPr>
      </w:pPr>
      <w:r>
        <w:rPr>
          <w:rFonts w:hint="eastAsia" w:cs="宋体"/>
        </w:rPr>
        <w:t>（13）招标人直接或者间接向投标人泄露标底、评标委员会成员等信息；</w:t>
      </w:r>
    </w:p>
    <w:p w14:paraId="1D9EF259">
      <w:pPr>
        <w:ind w:firstLine="420" w:firstLineChars="200"/>
        <w:rPr>
          <w:rFonts w:cs="宋体"/>
        </w:rPr>
      </w:pPr>
      <w:r>
        <w:rPr>
          <w:rFonts w:hint="eastAsia" w:cs="宋体"/>
        </w:rPr>
        <w:t>（14）招标人明示或者暗示投标人压低或者抬高投标报价；</w:t>
      </w:r>
    </w:p>
    <w:p w14:paraId="48FA60EC">
      <w:pPr>
        <w:ind w:firstLine="420" w:firstLineChars="200"/>
        <w:rPr>
          <w:rFonts w:cs="宋体"/>
        </w:rPr>
      </w:pPr>
      <w:r>
        <w:rPr>
          <w:rFonts w:hint="eastAsia" w:cs="宋体"/>
        </w:rPr>
        <w:t>（15）招标人授意投标人撤换、修改投标文件；</w:t>
      </w:r>
    </w:p>
    <w:p w14:paraId="237D4218">
      <w:pPr>
        <w:ind w:firstLine="420" w:firstLineChars="200"/>
        <w:rPr>
          <w:rFonts w:cs="宋体"/>
        </w:rPr>
      </w:pPr>
      <w:r>
        <w:rPr>
          <w:rFonts w:hint="eastAsia" w:cs="宋体"/>
        </w:rPr>
        <w:t>（16）招标人明示或者暗示投标人为特定投标人中标提供方便；</w:t>
      </w:r>
    </w:p>
    <w:p w14:paraId="3B3A7CA3">
      <w:pPr>
        <w:ind w:firstLine="420" w:firstLineChars="200"/>
        <w:rPr>
          <w:rFonts w:cs="宋体"/>
        </w:rPr>
      </w:pPr>
      <w:r>
        <w:rPr>
          <w:rFonts w:hint="eastAsia" w:cs="宋体"/>
        </w:rPr>
        <w:t>（17）招标人与投标人为谋求特定投标人中标而采取的其他串通行为；</w:t>
      </w:r>
    </w:p>
    <w:p w14:paraId="55671877">
      <w:pPr>
        <w:ind w:firstLine="420" w:firstLineChars="200"/>
        <w:rPr>
          <w:rFonts w:cs="宋体"/>
        </w:rPr>
      </w:pPr>
      <w:r>
        <w:rPr>
          <w:rFonts w:hint="eastAsia" w:cs="宋体"/>
        </w:rPr>
        <w:t>（18）使用通过受让或者租借等方式获取的资格、资质证书投标的，属于招标投标法第三十三条规定的以他人名义投标；</w:t>
      </w:r>
    </w:p>
    <w:p w14:paraId="3209D24B">
      <w:pPr>
        <w:ind w:firstLine="420" w:firstLineChars="200"/>
        <w:rPr>
          <w:rFonts w:cs="宋体"/>
        </w:rPr>
      </w:pPr>
      <w:r>
        <w:rPr>
          <w:rFonts w:hint="eastAsia" w:cs="宋体"/>
        </w:rPr>
        <w:t>（19）投标人有下列情形之一的，属于招标投标法第三十三条规定的以其他方式弄虚作假的行为：</w:t>
      </w:r>
    </w:p>
    <w:p w14:paraId="58D8EF13">
      <w:pPr>
        <w:ind w:firstLine="420" w:firstLineChars="200"/>
        <w:rPr>
          <w:rFonts w:cs="宋体"/>
        </w:rPr>
      </w:pPr>
      <w:r>
        <w:rPr>
          <w:rFonts w:hint="eastAsia" w:cs="宋体"/>
        </w:rPr>
        <w:t>①使用伪造、变造的许可证件；</w:t>
      </w:r>
    </w:p>
    <w:p w14:paraId="4CE19D3F">
      <w:pPr>
        <w:ind w:firstLine="420" w:firstLineChars="200"/>
        <w:rPr>
          <w:rFonts w:cs="宋体"/>
        </w:rPr>
      </w:pPr>
      <w:r>
        <w:rPr>
          <w:rFonts w:hint="eastAsia" w:cs="宋体"/>
        </w:rPr>
        <w:t>②提供虚假的财务状况或者业绩；</w:t>
      </w:r>
    </w:p>
    <w:p w14:paraId="789F4E6A">
      <w:pPr>
        <w:ind w:firstLine="420" w:firstLineChars="200"/>
        <w:rPr>
          <w:rFonts w:cs="宋体"/>
        </w:rPr>
      </w:pPr>
      <w:r>
        <w:rPr>
          <w:rFonts w:hint="eastAsia" w:cs="宋体"/>
        </w:rPr>
        <w:t>③提供虚假的项目经理或者主要技术人员简历、劳动关系证明；</w:t>
      </w:r>
    </w:p>
    <w:p w14:paraId="2BE2C93B">
      <w:pPr>
        <w:ind w:firstLine="420" w:firstLineChars="200"/>
        <w:rPr>
          <w:rFonts w:cs="宋体"/>
        </w:rPr>
      </w:pPr>
      <w:r>
        <w:rPr>
          <w:rFonts w:hint="eastAsia" w:cs="宋体"/>
        </w:rPr>
        <w:t>④提供虚假的信用状况；</w:t>
      </w:r>
    </w:p>
    <w:p w14:paraId="56E871BE">
      <w:pPr>
        <w:ind w:firstLine="420" w:firstLineChars="200"/>
        <w:rPr>
          <w:rFonts w:cs="宋体"/>
        </w:rPr>
      </w:pPr>
      <w:r>
        <w:rPr>
          <w:rFonts w:hint="eastAsia" w:cs="宋体"/>
        </w:rPr>
        <w:t>⑤其他弄虚作假的行为。</w:t>
      </w:r>
    </w:p>
    <w:p w14:paraId="274A76AB">
      <w:pPr>
        <w:rPr>
          <w:rFonts w:cs="宋体"/>
        </w:rPr>
      </w:pPr>
      <w:r>
        <w:rPr>
          <w:rFonts w:cs="宋体"/>
        </w:rPr>
        <w:t>10.7企业《安全生产许可证》和企业主要负责人的“三类人员”A类证书审查要求（适用于未进行资格预审的）</w:t>
      </w:r>
    </w:p>
    <w:p w14:paraId="7E66ED5F">
      <w:pPr>
        <w:ind w:firstLine="420" w:firstLineChars="200"/>
        <w:rPr>
          <w:rFonts w:cs="宋体"/>
        </w:rPr>
      </w:pPr>
      <w:r>
        <w:rPr>
          <w:rFonts w:hint="eastAsia" w:cs="宋体"/>
        </w:rPr>
        <w:t>(1)投标人应提供企业《安全生产许可证》（副本）和企业主要负责人的“三类人员”A类证书扫描件。企业主要负责人包括企业法定代表人、企业分管安全生产的副经理。</w:t>
      </w:r>
    </w:p>
    <w:p w14:paraId="34F8A17F">
      <w:pPr>
        <w:ind w:firstLine="420" w:firstLineChars="200"/>
        <w:rPr>
          <w:rFonts w:cs="宋体"/>
        </w:rPr>
      </w:pPr>
      <w:r>
        <w:rPr>
          <w:rFonts w:hint="eastAsia" w:cs="宋体"/>
        </w:rPr>
        <w:t>(2)A类证书中的企业法定代表人应和《企业资质等级证书》上载明的情况一致，A类证书中的企业分管安全生产副经理必须与提供的任职文件相一致。</w:t>
      </w:r>
    </w:p>
    <w:p w14:paraId="067C6E3E">
      <w:pPr>
        <w:pStyle w:val="27"/>
        <w:rPr>
          <w:rFonts w:eastAsia="宋体"/>
        </w:rPr>
      </w:pPr>
      <w:r>
        <w:rPr>
          <w:rFonts w:hint="eastAsia" w:eastAsia="宋体"/>
        </w:rPr>
        <w:t>10.8失信被执行人名单查询</w:t>
      </w:r>
    </w:p>
    <w:p w14:paraId="410B9634">
      <w:pPr>
        <w:ind w:firstLine="420" w:firstLineChars="200"/>
        <w:rPr>
          <w:rFonts w:cs="宋体"/>
        </w:rPr>
      </w:pPr>
      <w:r>
        <w:rPr>
          <w:rFonts w:hint="eastAsia" w:cs="宋体"/>
        </w:rPr>
        <w:t>10.8.1本次招标要求投标人及其法定代表人、项目负责人不得有失信记录，投标人未被列入建筑市场主体“黑名单”。招标代理人对其投标人失信信息进行查询【具体以“信用中国”网站（</w:t>
      </w:r>
      <w:r>
        <w:rPr>
          <w:rFonts w:cs="宋体"/>
        </w:rPr>
        <w:t>www.creditchina.gov.cn）开标当天的查询为准】，若为失信被执行人的，则否决其投标资格</w:t>
      </w:r>
      <w:r>
        <w:rPr>
          <w:rFonts w:hint="eastAsia" w:cs="宋体"/>
        </w:rPr>
        <w:t>。</w:t>
      </w:r>
    </w:p>
    <w:p w14:paraId="4EF1CA0D">
      <w:pPr>
        <w:ind w:firstLine="420" w:firstLineChars="200"/>
        <w:rPr>
          <w:rFonts w:cs="宋体"/>
        </w:rPr>
      </w:pPr>
      <w:r>
        <w:rPr>
          <w:rFonts w:hint="eastAsia" w:cs="宋体"/>
        </w:rPr>
        <w:t>10.8.2未被列入安全生产严重失信主体名单，招标代理对投标人安全生产失信信息进行查询(具体以开标当天通过“应急管理部”网站www.mem.gov.cn和“信用中国”网站www.creditchina.gov.cn查询为准)。若被列入安全生产严重失信主体名单或为失信被执行人的，则否决其投标。</w:t>
      </w:r>
    </w:p>
    <w:p w14:paraId="76A482BE">
      <w:pPr>
        <w:ind w:firstLine="420" w:firstLineChars="200"/>
        <w:rPr>
          <w:rFonts w:cs="宋体"/>
        </w:rPr>
      </w:pPr>
      <w:r>
        <w:rPr>
          <w:rFonts w:hint="eastAsia" w:cs="宋体"/>
        </w:rPr>
        <w:t>10.9弄虚作假投标行为的认定</w:t>
      </w:r>
    </w:p>
    <w:p w14:paraId="1B98E373">
      <w:pPr>
        <w:ind w:firstLine="420" w:firstLineChars="200"/>
        <w:rPr>
          <w:rFonts w:cs="宋体"/>
        </w:rPr>
      </w:pPr>
      <w:r>
        <w:rPr>
          <w:rFonts w:hint="eastAsia" w:cs="宋体"/>
        </w:rPr>
        <w:t>（1）使用通过受让或者租借等方式获取的资格、资质证书投标的，属于招标投标法第三十三条规定的以他人名义投标。</w:t>
      </w:r>
    </w:p>
    <w:p w14:paraId="4DA1C583">
      <w:pPr>
        <w:ind w:firstLine="420" w:firstLineChars="200"/>
        <w:rPr>
          <w:rFonts w:cs="宋体"/>
        </w:rPr>
      </w:pPr>
      <w:r>
        <w:rPr>
          <w:rFonts w:hint="eastAsia" w:cs="宋体"/>
        </w:rPr>
        <w:t>（2）投标人有下列情形之一的，属于招标投标法第三十三条规定的以其他方式弄虚作假的行为：</w:t>
      </w:r>
    </w:p>
    <w:p w14:paraId="34017FC5">
      <w:pPr>
        <w:ind w:firstLine="420" w:firstLineChars="200"/>
        <w:rPr>
          <w:rFonts w:cs="宋体"/>
        </w:rPr>
      </w:pPr>
      <w:r>
        <w:rPr>
          <w:rFonts w:hint="eastAsia" w:cs="宋体"/>
        </w:rPr>
        <w:t>①使用伪造、变造的许可证件；</w:t>
      </w:r>
    </w:p>
    <w:p w14:paraId="733DF656">
      <w:pPr>
        <w:ind w:firstLine="420" w:firstLineChars="200"/>
        <w:rPr>
          <w:rFonts w:cs="宋体"/>
        </w:rPr>
      </w:pPr>
      <w:r>
        <w:rPr>
          <w:rFonts w:hint="eastAsia" w:cs="宋体"/>
        </w:rPr>
        <w:t>②提供虚假的财务状况或者业绩；</w:t>
      </w:r>
    </w:p>
    <w:p w14:paraId="63C1DBA3">
      <w:pPr>
        <w:ind w:firstLine="420" w:firstLineChars="200"/>
        <w:rPr>
          <w:rFonts w:cs="宋体"/>
        </w:rPr>
      </w:pPr>
      <w:r>
        <w:rPr>
          <w:rFonts w:hint="eastAsia" w:cs="宋体"/>
        </w:rPr>
        <w:t>③提供虚假的项目经理或者主要技术人员简历、劳动关系证明；</w:t>
      </w:r>
    </w:p>
    <w:p w14:paraId="2ACC8DD0">
      <w:pPr>
        <w:ind w:firstLine="420" w:firstLineChars="200"/>
        <w:rPr>
          <w:rFonts w:cs="宋体"/>
        </w:rPr>
      </w:pPr>
      <w:r>
        <w:rPr>
          <w:rFonts w:hint="eastAsia" w:cs="宋体"/>
        </w:rPr>
        <w:t>④提供虚假的信用状况；</w:t>
      </w:r>
    </w:p>
    <w:p w14:paraId="6FEC5B14">
      <w:pPr>
        <w:ind w:firstLine="420" w:firstLineChars="200"/>
        <w:rPr>
          <w:rFonts w:cs="宋体"/>
        </w:rPr>
      </w:pPr>
      <w:r>
        <w:rPr>
          <w:rFonts w:hint="eastAsia" w:cs="宋体"/>
        </w:rPr>
        <w:t>⑤其他弄虚作假的行为。</w:t>
      </w:r>
    </w:p>
    <w:p w14:paraId="20C9B94C">
      <w:pPr>
        <w:pStyle w:val="27"/>
        <w:rPr>
          <w:rFonts w:eastAsia="宋体"/>
        </w:rPr>
      </w:pPr>
      <w:r>
        <w:rPr>
          <w:rFonts w:hint="eastAsia" w:eastAsia="宋体"/>
        </w:rPr>
        <w:t>10.10串通投标行为的认定</w:t>
      </w:r>
    </w:p>
    <w:p w14:paraId="024B145E">
      <w:pPr>
        <w:ind w:firstLine="630" w:firstLineChars="300"/>
        <w:rPr>
          <w:rFonts w:cs="宋体"/>
          <w:szCs w:val="21"/>
        </w:rPr>
      </w:pPr>
      <w:r>
        <w:rPr>
          <w:rFonts w:hint="eastAsia" w:cs="宋体"/>
        </w:rPr>
        <w:t>根据《中华人民共和国招标投标法实施条例》有下列情形之一的，属于串通投标行为：</w:t>
      </w:r>
    </w:p>
    <w:p w14:paraId="45A7EDF5">
      <w:pPr>
        <w:pStyle w:val="26"/>
        <w:numPr>
          <w:ilvl w:val="0"/>
          <w:numId w:val="3"/>
        </w:numPr>
        <w:rPr>
          <w:rFonts w:cs="宋体"/>
        </w:rPr>
      </w:pPr>
      <w:r>
        <w:rPr>
          <w:rFonts w:hint="eastAsia" w:cs="宋体"/>
        </w:rPr>
        <w:t>投标人之间协商投标报价等投标文件的实质性内容；</w:t>
      </w:r>
    </w:p>
    <w:p w14:paraId="6ED35082">
      <w:pPr>
        <w:pStyle w:val="26"/>
        <w:numPr>
          <w:ilvl w:val="0"/>
          <w:numId w:val="3"/>
        </w:numPr>
        <w:rPr>
          <w:rFonts w:cs="宋体"/>
        </w:rPr>
      </w:pPr>
      <w:r>
        <w:rPr>
          <w:rFonts w:hint="eastAsia" w:cs="宋体"/>
        </w:rPr>
        <w:t>投标人之间约定中标人；</w:t>
      </w:r>
    </w:p>
    <w:p w14:paraId="20C23E95">
      <w:pPr>
        <w:pStyle w:val="26"/>
        <w:numPr>
          <w:ilvl w:val="0"/>
          <w:numId w:val="3"/>
        </w:numPr>
        <w:rPr>
          <w:rFonts w:cs="宋体"/>
        </w:rPr>
      </w:pPr>
      <w:r>
        <w:rPr>
          <w:rFonts w:hint="eastAsia" w:cs="宋体"/>
        </w:rPr>
        <w:t>投标人之间约定部分投标人放弃投标或者中标；</w:t>
      </w:r>
    </w:p>
    <w:p w14:paraId="357D9A60">
      <w:pPr>
        <w:pStyle w:val="26"/>
        <w:numPr>
          <w:ilvl w:val="0"/>
          <w:numId w:val="3"/>
        </w:numPr>
        <w:rPr>
          <w:rFonts w:cs="宋体"/>
        </w:rPr>
      </w:pPr>
      <w:r>
        <w:rPr>
          <w:rFonts w:hint="eastAsia" w:cs="宋体"/>
        </w:rPr>
        <w:t>属于同一集团、协会、商会等组织成员的投标人按照该组织要求协同投标；</w:t>
      </w:r>
    </w:p>
    <w:p w14:paraId="430ED69B">
      <w:pPr>
        <w:pStyle w:val="26"/>
        <w:numPr>
          <w:ilvl w:val="0"/>
          <w:numId w:val="3"/>
        </w:numPr>
        <w:rPr>
          <w:rFonts w:cs="宋体"/>
        </w:rPr>
      </w:pPr>
      <w:r>
        <w:rPr>
          <w:rFonts w:hint="eastAsia" w:cs="宋体"/>
        </w:rPr>
        <w:t>投标人之间为谋取中标或者排斥特定投标人而采取的其他联合行动。</w:t>
      </w:r>
    </w:p>
    <w:p w14:paraId="6863B146">
      <w:pPr>
        <w:pStyle w:val="26"/>
        <w:numPr>
          <w:ilvl w:val="0"/>
          <w:numId w:val="3"/>
        </w:numPr>
        <w:rPr>
          <w:rFonts w:cs="宋体"/>
        </w:rPr>
      </w:pPr>
      <w:r>
        <w:rPr>
          <w:rFonts w:hint="eastAsia" w:cs="宋体"/>
        </w:rPr>
        <w:t>不同投标人的投标文件由同一单位或者个人编制；</w:t>
      </w:r>
    </w:p>
    <w:p w14:paraId="6099D6C3">
      <w:pPr>
        <w:pStyle w:val="26"/>
        <w:numPr>
          <w:ilvl w:val="0"/>
          <w:numId w:val="3"/>
        </w:numPr>
        <w:rPr>
          <w:rFonts w:cs="宋体"/>
        </w:rPr>
      </w:pPr>
      <w:r>
        <w:rPr>
          <w:rFonts w:hint="eastAsia" w:cs="宋体"/>
        </w:rPr>
        <w:t>不同投标人委托同一单位或者个人办理投标事宜；</w:t>
      </w:r>
    </w:p>
    <w:p w14:paraId="69F783A2">
      <w:pPr>
        <w:pStyle w:val="26"/>
        <w:numPr>
          <w:ilvl w:val="0"/>
          <w:numId w:val="3"/>
        </w:numPr>
        <w:rPr>
          <w:rFonts w:cs="宋体"/>
        </w:rPr>
      </w:pPr>
      <w:r>
        <w:rPr>
          <w:rFonts w:hint="eastAsia" w:cs="宋体"/>
        </w:rPr>
        <w:t>不同投标人的投标文件载明的项目管理成员为同一人；</w:t>
      </w:r>
    </w:p>
    <w:p w14:paraId="0C2C91F0">
      <w:pPr>
        <w:pStyle w:val="26"/>
        <w:numPr>
          <w:ilvl w:val="0"/>
          <w:numId w:val="3"/>
        </w:numPr>
        <w:rPr>
          <w:rFonts w:cs="宋体"/>
        </w:rPr>
      </w:pPr>
      <w:r>
        <w:rPr>
          <w:rFonts w:hint="eastAsia" w:cs="宋体"/>
        </w:rPr>
        <w:t>不同投标人的投标文件异常一致或者投标报价呈规律性差异；</w:t>
      </w:r>
    </w:p>
    <w:p w14:paraId="0EE89DA5">
      <w:pPr>
        <w:pStyle w:val="26"/>
        <w:numPr>
          <w:ilvl w:val="0"/>
          <w:numId w:val="3"/>
        </w:numPr>
        <w:rPr>
          <w:rFonts w:cs="宋体"/>
        </w:rPr>
      </w:pPr>
      <w:r>
        <w:rPr>
          <w:rFonts w:hint="eastAsia" w:cs="宋体"/>
        </w:rPr>
        <w:t>不同投标人的投标文件相互混装；</w:t>
      </w:r>
    </w:p>
    <w:p w14:paraId="3BBB90FA">
      <w:pPr>
        <w:pStyle w:val="26"/>
        <w:numPr>
          <w:ilvl w:val="0"/>
          <w:numId w:val="3"/>
        </w:numPr>
        <w:rPr>
          <w:rFonts w:cs="宋体"/>
        </w:rPr>
      </w:pPr>
      <w:r>
        <w:rPr>
          <w:rFonts w:hint="eastAsia" w:cs="宋体"/>
        </w:rPr>
        <w:t>不同投标人的投标金从同一单位或者个人的账户转出；</w:t>
      </w:r>
    </w:p>
    <w:p w14:paraId="433FF2DD">
      <w:pPr>
        <w:pStyle w:val="26"/>
        <w:numPr>
          <w:ilvl w:val="0"/>
          <w:numId w:val="3"/>
        </w:numPr>
        <w:rPr>
          <w:rFonts w:cs="宋体"/>
        </w:rPr>
      </w:pPr>
      <w:r>
        <w:rPr>
          <w:rFonts w:hint="eastAsia" w:cs="宋体"/>
        </w:rPr>
        <w:t>招标人在开标前开启投标文件并将有关信息泄露给其他投标人；</w:t>
      </w:r>
    </w:p>
    <w:p w14:paraId="6377DFFD">
      <w:pPr>
        <w:pStyle w:val="26"/>
        <w:numPr>
          <w:ilvl w:val="0"/>
          <w:numId w:val="3"/>
        </w:numPr>
        <w:rPr>
          <w:rFonts w:cs="宋体"/>
        </w:rPr>
      </w:pPr>
      <w:r>
        <w:rPr>
          <w:rFonts w:hint="eastAsia" w:cs="宋体"/>
        </w:rPr>
        <w:t>招标人直接或者间接向投标人泄露标底、评标委员会成员等信息；</w:t>
      </w:r>
    </w:p>
    <w:p w14:paraId="5726B89A">
      <w:pPr>
        <w:pStyle w:val="26"/>
        <w:numPr>
          <w:ilvl w:val="0"/>
          <w:numId w:val="3"/>
        </w:numPr>
        <w:rPr>
          <w:rFonts w:cs="宋体"/>
        </w:rPr>
      </w:pPr>
      <w:r>
        <w:rPr>
          <w:rFonts w:hint="eastAsia" w:cs="宋体"/>
        </w:rPr>
        <w:t>招标人明示或者暗示投标人压低或者抬高投标报价；</w:t>
      </w:r>
    </w:p>
    <w:p w14:paraId="1625B0A3">
      <w:pPr>
        <w:pStyle w:val="26"/>
        <w:numPr>
          <w:ilvl w:val="0"/>
          <w:numId w:val="3"/>
        </w:numPr>
        <w:rPr>
          <w:rFonts w:cs="宋体"/>
        </w:rPr>
      </w:pPr>
      <w:r>
        <w:rPr>
          <w:rFonts w:hint="eastAsia" w:cs="宋体"/>
        </w:rPr>
        <w:t>招标人授意投标人撤换、修改投标文件；</w:t>
      </w:r>
    </w:p>
    <w:p w14:paraId="70F6CE37">
      <w:pPr>
        <w:pStyle w:val="26"/>
        <w:numPr>
          <w:ilvl w:val="0"/>
          <w:numId w:val="3"/>
        </w:numPr>
        <w:rPr>
          <w:rFonts w:cs="宋体"/>
        </w:rPr>
      </w:pPr>
      <w:r>
        <w:rPr>
          <w:rFonts w:hint="eastAsia" w:cs="宋体"/>
        </w:rPr>
        <w:t>招标人明示或者暗示投标人为特定投标人中标提供方便；</w:t>
      </w:r>
    </w:p>
    <w:p w14:paraId="4DD2D7D1">
      <w:pPr>
        <w:pStyle w:val="26"/>
        <w:numPr>
          <w:ilvl w:val="0"/>
          <w:numId w:val="3"/>
        </w:numPr>
        <w:rPr>
          <w:rFonts w:cs="宋体"/>
        </w:rPr>
      </w:pPr>
      <w:r>
        <w:rPr>
          <w:rFonts w:hint="eastAsia" w:cs="宋体"/>
        </w:rPr>
        <w:t>招标人与投标人为谋求特定投标人中标而采取的其他串通行为。</w:t>
      </w:r>
    </w:p>
    <w:p w14:paraId="5C8F7649">
      <w:pPr>
        <w:pStyle w:val="27"/>
        <w:rPr>
          <w:rFonts w:eastAsia="宋体"/>
        </w:rPr>
      </w:pPr>
      <w:r>
        <w:rPr>
          <w:rFonts w:hint="eastAsia" w:eastAsia="宋体"/>
        </w:rPr>
        <w:t>10.11招标、评标、中标无效</w:t>
      </w:r>
    </w:p>
    <w:p w14:paraId="39D9F6AF">
      <w:pPr>
        <w:ind w:firstLine="420" w:firstLineChars="200"/>
        <w:rPr>
          <w:rFonts w:cs="宋体"/>
        </w:rPr>
      </w:pPr>
      <w:r>
        <w:rPr>
          <w:rFonts w:hint="eastAsia" w:cs="宋体"/>
        </w:rPr>
        <w:t>依法必须进行招标的项目的招标投标活动违反招标投标法和招标投标法实施条例的规定，对中标结果造成实质性影响，且不能采取补救措施予以纠正的，招标、投标、中标无效，应当依法重新招标或者评标。</w:t>
      </w:r>
    </w:p>
    <w:p w14:paraId="5948F55F">
      <w:pPr>
        <w:pStyle w:val="27"/>
        <w:rPr>
          <w:rFonts w:eastAsia="宋体"/>
        </w:rPr>
      </w:pPr>
      <w:r>
        <w:rPr>
          <w:rFonts w:hint="eastAsia" w:eastAsia="宋体"/>
        </w:rPr>
        <w:t>10.12创文明施工标准化工地要求</w:t>
      </w:r>
    </w:p>
    <w:p w14:paraId="57D4C293">
      <w:pPr>
        <w:ind w:firstLine="420" w:firstLineChars="200"/>
        <w:rPr>
          <w:rFonts w:cs="宋体"/>
        </w:rPr>
      </w:pPr>
      <w:r>
        <w:rPr>
          <w:rFonts w:hint="eastAsia" w:cs="宋体"/>
        </w:rPr>
        <w:t>(1)创文明标化工地要求见投标须知前附表。</w:t>
      </w:r>
    </w:p>
    <w:p w14:paraId="7F13FF73">
      <w:pPr>
        <w:pStyle w:val="27"/>
        <w:rPr>
          <w:rFonts w:eastAsia="宋体"/>
        </w:rPr>
      </w:pPr>
      <w:r>
        <w:rPr>
          <w:rFonts w:hint="eastAsia" w:eastAsia="宋体"/>
        </w:rPr>
        <w:t>10.13招标人补充的其他内容见投标须知前附表。</w:t>
      </w:r>
      <w:bookmarkStart w:id="56" w:name="_Toc152042364"/>
      <w:bookmarkStart w:id="57" w:name="_Toc144974554"/>
      <w:bookmarkStart w:id="58" w:name="_Toc179632605"/>
      <w:bookmarkStart w:id="59" w:name="_Toc152045587"/>
    </w:p>
    <w:p w14:paraId="571A50C2">
      <w:pPr>
        <w:pStyle w:val="4"/>
        <w:numPr>
          <w:ilvl w:val="0"/>
          <w:numId w:val="1"/>
        </w:numPr>
        <w:jc w:val="center"/>
        <w:rPr>
          <w:rFonts w:cs="宋体"/>
        </w:rPr>
      </w:pPr>
      <w:r>
        <w:rPr>
          <w:rFonts w:hint="eastAsia" w:cs="宋体"/>
        </w:rPr>
        <w:br w:type="page"/>
      </w:r>
      <w:bookmarkStart w:id="60" w:name="_Toc15469"/>
      <w:r>
        <w:rPr>
          <w:rFonts w:hint="eastAsia" w:cs="宋体"/>
        </w:rPr>
        <w:t>评标办法</w:t>
      </w:r>
      <w:bookmarkEnd w:id="56"/>
      <w:bookmarkEnd w:id="57"/>
      <w:bookmarkEnd w:id="58"/>
      <w:bookmarkEnd w:id="59"/>
      <w:bookmarkEnd w:id="60"/>
    </w:p>
    <w:p w14:paraId="41636DFC">
      <w:pPr>
        <w:pStyle w:val="25"/>
        <w:jc w:val="center"/>
        <w:rPr>
          <w:rFonts w:ascii="宋体" w:hAnsi="宋体" w:eastAsia="宋体"/>
        </w:rPr>
      </w:pPr>
      <w:bookmarkStart w:id="61" w:name="_Toc144974555"/>
      <w:bookmarkStart w:id="62" w:name="_Toc152045588"/>
      <w:bookmarkStart w:id="63" w:name="_Toc152042365"/>
      <w:bookmarkStart w:id="64" w:name="_Toc179632606"/>
      <w:r>
        <w:rPr>
          <w:rFonts w:hint="eastAsia" w:ascii="宋体" w:hAnsi="宋体" w:eastAsia="宋体"/>
        </w:rPr>
        <w:t>评标办法前附表</w:t>
      </w:r>
      <w:bookmarkEnd w:id="61"/>
      <w:bookmarkEnd w:id="62"/>
      <w:bookmarkEnd w:id="63"/>
      <w:bookmarkEnd w:id="64"/>
    </w:p>
    <w:tbl>
      <w:tblPr>
        <w:tblStyle w:val="18"/>
        <w:tblW w:w="10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75"/>
        <w:gridCol w:w="1847"/>
        <w:gridCol w:w="189"/>
        <w:gridCol w:w="7242"/>
      </w:tblGrid>
      <w:tr w14:paraId="518F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20" w:type="dxa"/>
            <w:gridSpan w:val="2"/>
            <w:noWrap/>
            <w:vAlign w:val="center"/>
          </w:tcPr>
          <w:p w14:paraId="736DEE60">
            <w:pPr>
              <w:rPr>
                <w:rFonts w:cs="宋体"/>
                <w:szCs w:val="21"/>
              </w:rPr>
            </w:pPr>
            <w:r>
              <w:rPr>
                <w:rFonts w:hint="eastAsia" w:cs="宋体"/>
              </w:rPr>
              <w:t>条款号</w:t>
            </w:r>
          </w:p>
        </w:tc>
        <w:tc>
          <w:tcPr>
            <w:tcW w:w="2036" w:type="dxa"/>
            <w:gridSpan w:val="2"/>
            <w:noWrap/>
            <w:vAlign w:val="center"/>
          </w:tcPr>
          <w:p w14:paraId="2D8A060A">
            <w:pPr>
              <w:rPr>
                <w:rFonts w:cs="宋体"/>
                <w:szCs w:val="21"/>
              </w:rPr>
            </w:pPr>
            <w:r>
              <w:rPr>
                <w:rFonts w:hint="eastAsia" w:cs="宋体"/>
              </w:rPr>
              <w:t>评审因素</w:t>
            </w:r>
          </w:p>
        </w:tc>
        <w:tc>
          <w:tcPr>
            <w:tcW w:w="7242" w:type="dxa"/>
            <w:noWrap/>
            <w:vAlign w:val="center"/>
          </w:tcPr>
          <w:p w14:paraId="14CC3653">
            <w:pPr>
              <w:rPr>
                <w:rFonts w:cs="宋体"/>
                <w:szCs w:val="21"/>
              </w:rPr>
            </w:pPr>
            <w:r>
              <w:rPr>
                <w:rFonts w:hint="eastAsia" w:cs="宋体"/>
              </w:rPr>
              <w:t>评审标准</w:t>
            </w:r>
          </w:p>
        </w:tc>
      </w:tr>
      <w:tr w14:paraId="5CFF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498" w:type="dxa"/>
            <w:gridSpan w:val="5"/>
            <w:noWrap/>
            <w:vAlign w:val="center"/>
          </w:tcPr>
          <w:p w14:paraId="1B3249AC">
            <w:pPr>
              <w:rPr>
                <w:rFonts w:cs="宋体"/>
                <w:szCs w:val="21"/>
              </w:rPr>
            </w:pPr>
            <w:r>
              <w:rPr>
                <w:rFonts w:hint="eastAsia" w:cs="宋体"/>
              </w:rPr>
              <w:t>在投标人或其投标文件的形式评审、资格评审、响应性评审中，评标委员会认定投标人的投标文件不符合评标办法前附表中规定的任何一项评审标准的，将否决其投标。</w:t>
            </w:r>
          </w:p>
        </w:tc>
      </w:tr>
      <w:tr w14:paraId="3148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5" w:type="dxa"/>
            <w:vMerge w:val="restart"/>
            <w:noWrap/>
            <w:vAlign w:val="center"/>
          </w:tcPr>
          <w:p w14:paraId="0518E30D">
            <w:pPr>
              <w:rPr>
                <w:rFonts w:cs="宋体"/>
                <w:szCs w:val="21"/>
              </w:rPr>
            </w:pPr>
            <w:r>
              <w:rPr>
                <w:rFonts w:hint="eastAsia" w:cs="宋体"/>
              </w:rPr>
              <w:t>2.1.1</w:t>
            </w:r>
          </w:p>
          <w:p w14:paraId="67265DD9">
            <w:pPr>
              <w:rPr>
                <w:rFonts w:cs="宋体"/>
              </w:rPr>
            </w:pPr>
            <w:r>
              <w:rPr>
                <w:rFonts w:hint="eastAsia" w:cs="宋体"/>
              </w:rPr>
              <w:t>形式</w:t>
            </w:r>
          </w:p>
          <w:p w14:paraId="426BCBA8">
            <w:pPr>
              <w:rPr>
                <w:rFonts w:cs="宋体"/>
              </w:rPr>
            </w:pPr>
            <w:r>
              <w:rPr>
                <w:rFonts w:hint="eastAsia" w:cs="宋体"/>
              </w:rPr>
              <w:t>评审</w:t>
            </w:r>
          </w:p>
          <w:p w14:paraId="207F6F79">
            <w:pPr>
              <w:rPr>
                <w:rFonts w:cs="宋体"/>
                <w:szCs w:val="21"/>
              </w:rPr>
            </w:pPr>
            <w:r>
              <w:rPr>
                <w:rFonts w:hint="eastAsia" w:cs="宋体"/>
              </w:rPr>
              <w:t>标准</w:t>
            </w:r>
          </w:p>
        </w:tc>
        <w:tc>
          <w:tcPr>
            <w:tcW w:w="1922" w:type="dxa"/>
            <w:gridSpan w:val="2"/>
            <w:noWrap/>
            <w:vAlign w:val="center"/>
          </w:tcPr>
          <w:p w14:paraId="1E986AE9">
            <w:pPr>
              <w:rPr>
                <w:rFonts w:cs="宋体"/>
                <w:szCs w:val="21"/>
              </w:rPr>
            </w:pPr>
            <w:r>
              <w:rPr>
                <w:rFonts w:hint="eastAsia" w:cs="宋体"/>
              </w:rPr>
              <w:t>投标人名称</w:t>
            </w:r>
          </w:p>
        </w:tc>
        <w:tc>
          <w:tcPr>
            <w:tcW w:w="7431" w:type="dxa"/>
            <w:gridSpan w:val="2"/>
            <w:noWrap/>
            <w:vAlign w:val="center"/>
          </w:tcPr>
          <w:p w14:paraId="1BDD019C">
            <w:pPr>
              <w:rPr>
                <w:rFonts w:cs="宋体"/>
                <w:szCs w:val="21"/>
              </w:rPr>
            </w:pPr>
            <w:r>
              <w:rPr>
                <w:rFonts w:hint="eastAsia" w:cs="宋体"/>
              </w:rPr>
              <w:t>与营业执照、资质证书、安全生产许可证一致</w:t>
            </w:r>
          </w:p>
        </w:tc>
      </w:tr>
      <w:tr w14:paraId="42C8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45" w:type="dxa"/>
            <w:vMerge w:val="continue"/>
            <w:noWrap/>
            <w:vAlign w:val="center"/>
          </w:tcPr>
          <w:p w14:paraId="1D4F1F83">
            <w:pPr>
              <w:rPr>
                <w:rFonts w:cs="宋体"/>
              </w:rPr>
            </w:pPr>
          </w:p>
        </w:tc>
        <w:tc>
          <w:tcPr>
            <w:tcW w:w="1922" w:type="dxa"/>
            <w:gridSpan w:val="2"/>
            <w:noWrap/>
            <w:vAlign w:val="center"/>
          </w:tcPr>
          <w:p w14:paraId="3FD36E0E">
            <w:pPr>
              <w:rPr>
                <w:rFonts w:cs="宋体"/>
                <w:szCs w:val="21"/>
              </w:rPr>
            </w:pPr>
            <w:r>
              <w:rPr>
                <w:rFonts w:hint="eastAsia" w:cs="宋体"/>
              </w:rPr>
              <w:t>投标文件签字盖章</w:t>
            </w:r>
          </w:p>
        </w:tc>
        <w:tc>
          <w:tcPr>
            <w:tcW w:w="7431" w:type="dxa"/>
            <w:gridSpan w:val="2"/>
            <w:noWrap/>
            <w:vAlign w:val="center"/>
          </w:tcPr>
          <w:p w14:paraId="6C2D6ABF">
            <w:pPr>
              <w:rPr>
                <w:rFonts w:cs="宋体"/>
                <w:sz w:val="18"/>
                <w:szCs w:val="18"/>
              </w:rPr>
            </w:pPr>
            <w:r>
              <w:rPr>
                <w:rFonts w:hint="eastAsia" w:cs="宋体"/>
              </w:rPr>
              <w:t>符合第二章“投标人须知前附表”第3.7.3项规定</w:t>
            </w:r>
          </w:p>
        </w:tc>
      </w:tr>
      <w:tr w14:paraId="3741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1145" w:type="dxa"/>
            <w:vMerge w:val="continue"/>
            <w:noWrap/>
            <w:vAlign w:val="center"/>
          </w:tcPr>
          <w:p w14:paraId="604FC6C7">
            <w:pPr>
              <w:rPr>
                <w:rFonts w:cs="宋体"/>
              </w:rPr>
            </w:pPr>
          </w:p>
        </w:tc>
        <w:tc>
          <w:tcPr>
            <w:tcW w:w="1922" w:type="dxa"/>
            <w:gridSpan w:val="2"/>
            <w:noWrap/>
            <w:vAlign w:val="center"/>
          </w:tcPr>
          <w:p w14:paraId="1249E7B6">
            <w:pPr>
              <w:rPr>
                <w:rFonts w:cs="宋体"/>
                <w:szCs w:val="21"/>
              </w:rPr>
            </w:pPr>
            <w:r>
              <w:rPr>
                <w:rFonts w:hint="eastAsia" w:cs="宋体"/>
              </w:rPr>
              <w:t>报价唯一</w:t>
            </w:r>
          </w:p>
        </w:tc>
        <w:tc>
          <w:tcPr>
            <w:tcW w:w="7431" w:type="dxa"/>
            <w:gridSpan w:val="2"/>
            <w:noWrap/>
            <w:vAlign w:val="center"/>
          </w:tcPr>
          <w:p w14:paraId="01746DB6">
            <w:pPr>
              <w:rPr>
                <w:rFonts w:cs="宋体"/>
                <w:szCs w:val="21"/>
              </w:rPr>
            </w:pPr>
            <w:r>
              <w:rPr>
                <w:rFonts w:hint="eastAsia" w:cs="宋体"/>
              </w:rPr>
              <w:t>只能有一个有效报价，出现下列情形之一，作否决其投标处理：</w:t>
            </w:r>
          </w:p>
          <w:p w14:paraId="5BF01785">
            <w:pPr>
              <w:rPr>
                <w:rFonts w:cs="宋体"/>
              </w:rPr>
            </w:pPr>
            <w:r>
              <w:rPr>
                <w:rFonts w:hint="eastAsia" w:cs="宋体"/>
              </w:rPr>
              <w:t>1、投标人递交两份或多份内容不同的投标文件；</w:t>
            </w:r>
          </w:p>
          <w:p w14:paraId="68F56857">
            <w:pPr>
              <w:rPr>
                <w:rFonts w:cs="宋体"/>
              </w:rPr>
            </w:pPr>
            <w:r>
              <w:rPr>
                <w:rFonts w:hint="eastAsia" w:cs="宋体"/>
              </w:rPr>
              <w:t>2、在一份投标文件中对同一招标项目报价有两个或多个报价，且未声明哪一个有效；</w:t>
            </w:r>
          </w:p>
          <w:p w14:paraId="611C1058">
            <w:pPr>
              <w:rPr>
                <w:rFonts w:cs="宋体"/>
              </w:rPr>
            </w:pPr>
            <w:r>
              <w:rPr>
                <w:rFonts w:hint="eastAsia" w:cs="宋体"/>
              </w:rPr>
              <w:t>3、投标文件中投标函上的报价与投标总价上的报价不一致；</w:t>
            </w:r>
          </w:p>
          <w:p w14:paraId="373E13A5">
            <w:pPr>
              <w:rPr>
                <w:rFonts w:cs="宋体"/>
                <w:szCs w:val="21"/>
              </w:rPr>
            </w:pPr>
            <w:r>
              <w:rPr>
                <w:rFonts w:hint="eastAsia" w:cs="宋体"/>
              </w:rPr>
              <w:t>4、商务标中未提供投标函或提供的投标函无有效投标报价。</w:t>
            </w:r>
          </w:p>
        </w:tc>
      </w:tr>
      <w:tr w14:paraId="5CE1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145" w:type="dxa"/>
            <w:vMerge w:val="continue"/>
            <w:noWrap/>
            <w:vAlign w:val="center"/>
          </w:tcPr>
          <w:p w14:paraId="5C01988A">
            <w:pPr>
              <w:rPr>
                <w:rFonts w:cs="宋体"/>
              </w:rPr>
            </w:pPr>
          </w:p>
        </w:tc>
        <w:tc>
          <w:tcPr>
            <w:tcW w:w="1922" w:type="dxa"/>
            <w:gridSpan w:val="2"/>
            <w:noWrap/>
            <w:vAlign w:val="center"/>
          </w:tcPr>
          <w:p w14:paraId="03C11531">
            <w:pPr>
              <w:rPr>
                <w:rFonts w:cs="宋体"/>
              </w:rPr>
            </w:pPr>
            <w:r>
              <w:rPr>
                <w:rFonts w:hint="eastAsia" w:cs="宋体"/>
              </w:rPr>
              <w:t>其他</w:t>
            </w:r>
          </w:p>
        </w:tc>
        <w:tc>
          <w:tcPr>
            <w:tcW w:w="7431" w:type="dxa"/>
            <w:gridSpan w:val="2"/>
            <w:noWrap/>
            <w:vAlign w:val="center"/>
          </w:tcPr>
          <w:p w14:paraId="65ABE28E">
            <w:pPr>
              <w:rPr>
                <w:rFonts w:cs="宋体"/>
              </w:rPr>
            </w:pPr>
            <w:r>
              <w:rPr>
                <w:rFonts w:hint="eastAsia" w:cs="宋体"/>
              </w:rPr>
              <w:t>不同投标人的电子投标文件编制时的计算机硬件信息中网卡MAC地址（如有）、硬盘（含移动存储介质）序列号（Optane_0000、0100_0000_0000_0000序列号除外）、互联网接入IP地址相同作否决投标处理。</w:t>
            </w:r>
          </w:p>
        </w:tc>
      </w:tr>
      <w:tr w14:paraId="1919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5" w:type="dxa"/>
            <w:vMerge w:val="restart"/>
            <w:noWrap/>
            <w:vAlign w:val="center"/>
          </w:tcPr>
          <w:p w14:paraId="6DC5E949">
            <w:pPr>
              <w:rPr>
                <w:rFonts w:cs="宋体"/>
                <w:szCs w:val="21"/>
              </w:rPr>
            </w:pPr>
            <w:r>
              <w:rPr>
                <w:rFonts w:hint="eastAsia" w:cs="宋体"/>
              </w:rPr>
              <w:t>2.1.2</w:t>
            </w:r>
          </w:p>
          <w:p w14:paraId="0E2D5729">
            <w:pPr>
              <w:rPr>
                <w:rFonts w:cs="宋体"/>
              </w:rPr>
            </w:pPr>
            <w:r>
              <w:rPr>
                <w:rFonts w:hint="eastAsia" w:cs="宋体"/>
              </w:rPr>
              <w:t>资格</w:t>
            </w:r>
          </w:p>
          <w:p w14:paraId="44B73F4A">
            <w:pPr>
              <w:rPr>
                <w:rFonts w:cs="宋体"/>
              </w:rPr>
            </w:pPr>
            <w:r>
              <w:rPr>
                <w:rFonts w:hint="eastAsia" w:cs="宋体"/>
              </w:rPr>
              <w:t>评审</w:t>
            </w:r>
          </w:p>
          <w:p w14:paraId="69F4B651">
            <w:pPr>
              <w:rPr>
                <w:rFonts w:cs="宋体"/>
                <w:szCs w:val="21"/>
              </w:rPr>
            </w:pPr>
            <w:r>
              <w:rPr>
                <w:rFonts w:hint="eastAsia" w:cs="宋体"/>
              </w:rPr>
              <w:t>标准</w:t>
            </w:r>
          </w:p>
        </w:tc>
        <w:tc>
          <w:tcPr>
            <w:tcW w:w="1922" w:type="dxa"/>
            <w:gridSpan w:val="2"/>
            <w:noWrap/>
            <w:vAlign w:val="center"/>
          </w:tcPr>
          <w:p w14:paraId="52856C1E">
            <w:pPr>
              <w:rPr>
                <w:rFonts w:cs="宋体"/>
                <w:szCs w:val="21"/>
              </w:rPr>
            </w:pPr>
            <w:r>
              <w:rPr>
                <w:rFonts w:hint="eastAsia" w:cs="宋体"/>
              </w:rPr>
              <w:t>营业执照</w:t>
            </w:r>
          </w:p>
        </w:tc>
        <w:tc>
          <w:tcPr>
            <w:tcW w:w="7431" w:type="dxa"/>
            <w:gridSpan w:val="2"/>
            <w:noWrap/>
            <w:vAlign w:val="center"/>
          </w:tcPr>
          <w:p w14:paraId="5924502B">
            <w:pPr>
              <w:rPr>
                <w:rFonts w:cs="宋体"/>
                <w:szCs w:val="21"/>
              </w:rPr>
            </w:pPr>
            <w:r>
              <w:rPr>
                <w:rFonts w:hint="eastAsia" w:cs="宋体"/>
              </w:rPr>
              <w:t>具备有效的营业执照</w:t>
            </w:r>
          </w:p>
        </w:tc>
      </w:tr>
      <w:tr w14:paraId="107D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1145" w:type="dxa"/>
            <w:vMerge w:val="continue"/>
            <w:noWrap/>
            <w:vAlign w:val="center"/>
          </w:tcPr>
          <w:p w14:paraId="41200DF4">
            <w:pPr>
              <w:rPr>
                <w:rFonts w:cs="宋体"/>
              </w:rPr>
            </w:pPr>
          </w:p>
        </w:tc>
        <w:tc>
          <w:tcPr>
            <w:tcW w:w="1922" w:type="dxa"/>
            <w:gridSpan w:val="2"/>
            <w:noWrap/>
            <w:vAlign w:val="center"/>
          </w:tcPr>
          <w:p w14:paraId="58F94F35">
            <w:pPr>
              <w:rPr>
                <w:rFonts w:cs="宋体"/>
              </w:rPr>
            </w:pPr>
            <w:r>
              <w:rPr>
                <w:rFonts w:hint="eastAsia" w:cs="宋体"/>
              </w:rPr>
              <w:t>安全生产许可证及企业主要负责人</w:t>
            </w:r>
            <w:r>
              <w:rPr>
                <w:rFonts w:hint="eastAsia" w:cs="宋体"/>
                <w:bCs/>
              </w:rPr>
              <w:t>“三类人员”A类证书审查</w:t>
            </w:r>
          </w:p>
        </w:tc>
        <w:tc>
          <w:tcPr>
            <w:tcW w:w="7431" w:type="dxa"/>
            <w:gridSpan w:val="2"/>
            <w:noWrap/>
            <w:vAlign w:val="center"/>
          </w:tcPr>
          <w:p w14:paraId="29F2BE9D">
            <w:pPr>
              <w:rPr>
                <w:rFonts w:cs="宋体"/>
                <w:szCs w:val="21"/>
              </w:rPr>
            </w:pPr>
            <w:r>
              <w:rPr>
                <w:rFonts w:hint="eastAsia" w:cs="宋体"/>
              </w:rPr>
              <w:t>具备有效的安全生产许可证及企业主要负责人“三类人员”A 类证书，企业主要负责人包括企业法定代表人、企业分管安全生产的副经理。</w:t>
            </w:r>
          </w:p>
        </w:tc>
      </w:tr>
      <w:tr w14:paraId="1A46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145" w:type="dxa"/>
            <w:vMerge w:val="continue"/>
            <w:noWrap/>
            <w:vAlign w:val="center"/>
          </w:tcPr>
          <w:p w14:paraId="080713EF">
            <w:pPr>
              <w:rPr>
                <w:rFonts w:cs="宋体"/>
              </w:rPr>
            </w:pPr>
          </w:p>
        </w:tc>
        <w:tc>
          <w:tcPr>
            <w:tcW w:w="1922" w:type="dxa"/>
            <w:gridSpan w:val="2"/>
            <w:noWrap/>
            <w:vAlign w:val="center"/>
          </w:tcPr>
          <w:p w14:paraId="1A51455E">
            <w:pPr>
              <w:rPr>
                <w:rFonts w:cs="宋体"/>
                <w:szCs w:val="21"/>
              </w:rPr>
            </w:pPr>
            <w:r>
              <w:rPr>
                <w:rFonts w:hint="eastAsia" w:cs="宋体"/>
              </w:rPr>
              <w:t>资质等级</w:t>
            </w:r>
          </w:p>
        </w:tc>
        <w:tc>
          <w:tcPr>
            <w:tcW w:w="7431" w:type="dxa"/>
            <w:gridSpan w:val="2"/>
            <w:noWrap/>
            <w:vAlign w:val="center"/>
          </w:tcPr>
          <w:p w14:paraId="50A91098">
            <w:pPr>
              <w:rPr>
                <w:rFonts w:cs="宋体"/>
                <w:szCs w:val="21"/>
              </w:rPr>
            </w:pPr>
            <w:r>
              <w:rPr>
                <w:rFonts w:hint="eastAsia" w:cs="宋体"/>
              </w:rPr>
              <w:t>具备有效的资质证书，符合第二章“投标人须知”第1.4.1项规定</w:t>
            </w:r>
          </w:p>
        </w:tc>
      </w:tr>
      <w:tr w14:paraId="5BFA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45" w:type="dxa"/>
            <w:vMerge w:val="continue"/>
            <w:noWrap/>
            <w:vAlign w:val="center"/>
          </w:tcPr>
          <w:p w14:paraId="17570C03">
            <w:pPr>
              <w:rPr>
                <w:rFonts w:cs="宋体"/>
              </w:rPr>
            </w:pPr>
          </w:p>
        </w:tc>
        <w:tc>
          <w:tcPr>
            <w:tcW w:w="1922" w:type="dxa"/>
            <w:gridSpan w:val="2"/>
            <w:noWrap/>
            <w:vAlign w:val="center"/>
          </w:tcPr>
          <w:p w14:paraId="00864B9F">
            <w:pPr>
              <w:rPr>
                <w:rFonts w:cs="宋体"/>
                <w:szCs w:val="21"/>
              </w:rPr>
            </w:pPr>
            <w:r>
              <w:rPr>
                <w:rFonts w:hint="eastAsia" w:cs="宋体"/>
              </w:rPr>
              <w:t>信誉</w:t>
            </w:r>
          </w:p>
        </w:tc>
        <w:tc>
          <w:tcPr>
            <w:tcW w:w="7431" w:type="dxa"/>
            <w:gridSpan w:val="2"/>
            <w:noWrap/>
            <w:vAlign w:val="center"/>
          </w:tcPr>
          <w:p w14:paraId="5A49EE11">
            <w:pPr>
              <w:rPr>
                <w:rFonts w:cs="宋体"/>
                <w:szCs w:val="21"/>
              </w:rPr>
            </w:pPr>
            <w:r>
              <w:rPr>
                <w:rFonts w:hint="eastAsia" w:cs="宋体"/>
              </w:rPr>
              <w:t>符合第二章“投标人须知”第1.4.1项规定</w:t>
            </w:r>
          </w:p>
        </w:tc>
      </w:tr>
      <w:tr w14:paraId="6BBC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45" w:type="dxa"/>
            <w:vMerge w:val="continue"/>
            <w:noWrap/>
            <w:vAlign w:val="center"/>
          </w:tcPr>
          <w:p w14:paraId="6A996596">
            <w:pPr>
              <w:rPr>
                <w:rFonts w:cs="宋体"/>
              </w:rPr>
            </w:pPr>
          </w:p>
        </w:tc>
        <w:tc>
          <w:tcPr>
            <w:tcW w:w="1922" w:type="dxa"/>
            <w:gridSpan w:val="2"/>
            <w:noWrap/>
            <w:vAlign w:val="center"/>
          </w:tcPr>
          <w:p w14:paraId="55B88116">
            <w:pPr>
              <w:rPr>
                <w:rFonts w:cs="宋体"/>
                <w:szCs w:val="21"/>
              </w:rPr>
            </w:pPr>
            <w:r>
              <w:rPr>
                <w:rFonts w:hint="eastAsia" w:cs="宋体"/>
              </w:rPr>
              <w:t>项目经理</w:t>
            </w:r>
          </w:p>
        </w:tc>
        <w:tc>
          <w:tcPr>
            <w:tcW w:w="7431" w:type="dxa"/>
            <w:gridSpan w:val="2"/>
            <w:noWrap/>
            <w:vAlign w:val="center"/>
          </w:tcPr>
          <w:p w14:paraId="14D373C6">
            <w:pPr>
              <w:rPr>
                <w:rFonts w:cs="宋体"/>
                <w:kern w:val="0"/>
                <w:szCs w:val="21"/>
              </w:rPr>
            </w:pPr>
            <w:r>
              <w:rPr>
                <w:rFonts w:hint="eastAsia" w:cs="宋体"/>
              </w:rPr>
              <w:t>符合第二章“投标人须知”第1.4.1项规定</w:t>
            </w:r>
          </w:p>
        </w:tc>
      </w:tr>
      <w:tr w14:paraId="7D69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5" w:type="dxa"/>
            <w:vMerge w:val="continue"/>
            <w:noWrap/>
            <w:vAlign w:val="center"/>
          </w:tcPr>
          <w:p w14:paraId="3F4C34F9">
            <w:pPr>
              <w:rPr>
                <w:rFonts w:cs="宋体"/>
              </w:rPr>
            </w:pPr>
          </w:p>
        </w:tc>
        <w:tc>
          <w:tcPr>
            <w:tcW w:w="1922" w:type="dxa"/>
            <w:gridSpan w:val="2"/>
            <w:noWrap/>
            <w:vAlign w:val="center"/>
          </w:tcPr>
          <w:p w14:paraId="706BBCC1">
            <w:pPr>
              <w:rPr>
                <w:rFonts w:cs="宋体"/>
                <w:szCs w:val="21"/>
              </w:rPr>
            </w:pPr>
            <w:r>
              <w:rPr>
                <w:rFonts w:hint="eastAsia" w:cs="宋体"/>
              </w:rPr>
              <w:t>其他要求</w:t>
            </w:r>
          </w:p>
        </w:tc>
        <w:tc>
          <w:tcPr>
            <w:tcW w:w="7431" w:type="dxa"/>
            <w:gridSpan w:val="2"/>
            <w:noWrap/>
            <w:vAlign w:val="center"/>
          </w:tcPr>
          <w:p w14:paraId="7B94745B">
            <w:pPr>
              <w:rPr>
                <w:rFonts w:cs="宋体"/>
                <w:szCs w:val="21"/>
              </w:rPr>
            </w:pPr>
            <w:r>
              <w:rPr>
                <w:rFonts w:hint="eastAsia" w:cs="宋体"/>
              </w:rPr>
              <w:t>符合第二章“投标人须知”第1.4.1项规定</w:t>
            </w:r>
          </w:p>
        </w:tc>
      </w:tr>
      <w:tr w14:paraId="0006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45" w:type="dxa"/>
            <w:vMerge w:val="restart"/>
            <w:noWrap/>
            <w:vAlign w:val="center"/>
          </w:tcPr>
          <w:p w14:paraId="0DF45246">
            <w:pPr>
              <w:rPr>
                <w:rFonts w:cs="宋体"/>
                <w:szCs w:val="21"/>
              </w:rPr>
            </w:pPr>
            <w:r>
              <w:rPr>
                <w:rFonts w:hint="eastAsia" w:cs="宋体"/>
              </w:rPr>
              <w:t>2.1.3</w:t>
            </w:r>
          </w:p>
          <w:p w14:paraId="1EEF2442">
            <w:pPr>
              <w:rPr>
                <w:rFonts w:cs="宋体"/>
              </w:rPr>
            </w:pPr>
            <w:r>
              <w:rPr>
                <w:rFonts w:hint="eastAsia" w:cs="宋体"/>
              </w:rPr>
              <w:t>响应性</w:t>
            </w:r>
          </w:p>
          <w:p w14:paraId="05935D74">
            <w:pPr>
              <w:rPr>
                <w:rFonts w:cs="宋体"/>
              </w:rPr>
            </w:pPr>
            <w:r>
              <w:rPr>
                <w:rFonts w:hint="eastAsia" w:cs="宋体"/>
              </w:rPr>
              <w:t>评审</w:t>
            </w:r>
          </w:p>
          <w:p w14:paraId="28D4FC8A">
            <w:pPr>
              <w:rPr>
                <w:rFonts w:cs="宋体"/>
                <w:szCs w:val="21"/>
              </w:rPr>
            </w:pPr>
            <w:r>
              <w:rPr>
                <w:rFonts w:hint="eastAsia" w:cs="宋体"/>
              </w:rPr>
              <w:t>标准</w:t>
            </w:r>
          </w:p>
        </w:tc>
        <w:tc>
          <w:tcPr>
            <w:tcW w:w="1922" w:type="dxa"/>
            <w:gridSpan w:val="2"/>
            <w:noWrap/>
            <w:vAlign w:val="center"/>
          </w:tcPr>
          <w:p w14:paraId="26397C1A">
            <w:pPr>
              <w:rPr>
                <w:rFonts w:cs="宋体"/>
                <w:szCs w:val="21"/>
              </w:rPr>
            </w:pPr>
            <w:r>
              <w:rPr>
                <w:rFonts w:hint="eastAsia" w:cs="宋体"/>
              </w:rPr>
              <w:t>投标内容</w:t>
            </w:r>
          </w:p>
        </w:tc>
        <w:tc>
          <w:tcPr>
            <w:tcW w:w="7431" w:type="dxa"/>
            <w:gridSpan w:val="2"/>
            <w:noWrap/>
            <w:vAlign w:val="center"/>
          </w:tcPr>
          <w:p w14:paraId="5329C1DC">
            <w:pPr>
              <w:rPr>
                <w:rFonts w:cs="宋体"/>
                <w:szCs w:val="21"/>
              </w:rPr>
            </w:pPr>
            <w:r>
              <w:rPr>
                <w:rFonts w:hint="eastAsia" w:cs="宋体"/>
              </w:rPr>
              <w:t>符合第二章“投标人须知”第1.3.1项规定</w:t>
            </w:r>
          </w:p>
        </w:tc>
      </w:tr>
      <w:tr w14:paraId="7A73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45" w:type="dxa"/>
            <w:vMerge w:val="continue"/>
            <w:noWrap/>
            <w:vAlign w:val="center"/>
          </w:tcPr>
          <w:p w14:paraId="51EAEC00">
            <w:pPr>
              <w:rPr>
                <w:rFonts w:cs="宋体"/>
              </w:rPr>
            </w:pPr>
          </w:p>
        </w:tc>
        <w:tc>
          <w:tcPr>
            <w:tcW w:w="1922" w:type="dxa"/>
            <w:gridSpan w:val="2"/>
            <w:noWrap/>
            <w:vAlign w:val="center"/>
          </w:tcPr>
          <w:p w14:paraId="243A22F9">
            <w:pPr>
              <w:rPr>
                <w:rFonts w:cs="宋体"/>
                <w:szCs w:val="21"/>
              </w:rPr>
            </w:pPr>
            <w:r>
              <w:rPr>
                <w:rFonts w:hint="eastAsia" w:cs="宋体"/>
              </w:rPr>
              <w:t>工期</w:t>
            </w:r>
          </w:p>
        </w:tc>
        <w:tc>
          <w:tcPr>
            <w:tcW w:w="7431" w:type="dxa"/>
            <w:gridSpan w:val="2"/>
            <w:noWrap/>
            <w:vAlign w:val="center"/>
          </w:tcPr>
          <w:p w14:paraId="43346605">
            <w:pPr>
              <w:rPr>
                <w:rFonts w:cs="宋体"/>
                <w:szCs w:val="21"/>
              </w:rPr>
            </w:pPr>
            <w:r>
              <w:rPr>
                <w:rFonts w:hint="eastAsia" w:cs="宋体"/>
              </w:rPr>
              <w:t>符合第二章“投标人须知”第1.3.2项规定，以投标函上的工期为准。</w:t>
            </w:r>
          </w:p>
        </w:tc>
      </w:tr>
      <w:tr w14:paraId="0A29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45" w:type="dxa"/>
            <w:vMerge w:val="continue"/>
            <w:noWrap/>
            <w:vAlign w:val="center"/>
          </w:tcPr>
          <w:p w14:paraId="543B3939">
            <w:pPr>
              <w:rPr>
                <w:rFonts w:cs="宋体"/>
              </w:rPr>
            </w:pPr>
          </w:p>
        </w:tc>
        <w:tc>
          <w:tcPr>
            <w:tcW w:w="1922" w:type="dxa"/>
            <w:gridSpan w:val="2"/>
            <w:noWrap/>
            <w:vAlign w:val="center"/>
          </w:tcPr>
          <w:p w14:paraId="24E23DE7">
            <w:pPr>
              <w:rPr>
                <w:rFonts w:cs="宋体"/>
                <w:szCs w:val="21"/>
              </w:rPr>
            </w:pPr>
            <w:r>
              <w:rPr>
                <w:rFonts w:hint="eastAsia" w:cs="宋体"/>
              </w:rPr>
              <w:t>工程质量</w:t>
            </w:r>
          </w:p>
        </w:tc>
        <w:tc>
          <w:tcPr>
            <w:tcW w:w="7431" w:type="dxa"/>
            <w:gridSpan w:val="2"/>
            <w:noWrap/>
            <w:vAlign w:val="center"/>
          </w:tcPr>
          <w:p w14:paraId="59C9387F">
            <w:pPr>
              <w:rPr>
                <w:rFonts w:cs="宋体"/>
                <w:szCs w:val="21"/>
              </w:rPr>
            </w:pPr>
            <w:r>
              <w:rPr>
                <w:rFonts w:hint="eastAsia" w:cs="宋体"/>
              </w:rPr>
              <w:t>符合第二章“投标人须知”第1.3.3项规定</w:t>
            </w:r>
          </w:p>
        </w:tc>
      </w:tr>
      <w:tr w14:paraId="5807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45" w:type="dxa"/>
            <w:vMerge w:val="continue"/>
            <w:noWrap/>
            <w:vAlign w:val="center"/>
          </w:tcPr>
          <w:p w14:paraId="025ED2C3">
            <w:pPr>
              <w:rPr>
                <w:rFonts w:cs="宋体"/>
              </w:rPr>
            </w:pPr>
          </w:p>
        </w:tc>
        <w:tc>
          <w:tcPr>
            <w:tcW w:w="1922" w:type="dxa"/>
            <w:gridSpan w:val="2"/>
            <w:noWrap/>
            <w:vAlign w:val="center"/>
          </w:tcPr>
          <w:p w14:paraId="0B4CCC29">
            <w:pPr>
              <w:rPr>
                <w:rFonts w:cs="宋体"/>
                <w:szCs w:val="21"/>
              </w:rPr>
            </w:pPr>
            <w:r>
              <w:rPr>
                <w:rFonts w:hint="eastAsia" w:cs="宋体"/>
              </w:rPr>
              <w:t>投标有效期</w:t>
            </w:r>
          </w:p>
        </w:tc>
        <w:tc>
          <w:tcPr>
            <w:tcW w:w="7431" w:type="dxa"/>
            <w:gridSpan w:val="2"/>
            <w:noWrap/>
            <w:vAlign w:val="center"/>
          </w:tcPr>
          <w:p w14:paraId="52C0AC92">
            <w:pPr>
              <w:rPr>
                <w:rFonts w:cs="宋体"/>
                <w:szCs w:val="21"/>
              </w:rPr>
            </w:pPr>
            <w:r>
              <w:rPr>
                <w:rFonts w:hint="eastAsia" w:cs="宋体"/>
              </w:rPr>
              <w:t>符合第二章“投标人须知”第3.3.1项规定</w:t>
            </w:r>
          </w:p>
        </w:tc>
      </w:tr>
      <w:tr w14:paraId="2A69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45" w:type="dxa"/>
            <w:vMerge w:val="continue"/>
            <w:noWrap/>
            <w:vAlign w:val="center"/>
          </w:tcPr>
          <w:p w14:paraId="784D2264">
            <w:pPr>
              <w:rPr>
                <w:rFonts w:cs="宋体"/>
              </w:rPr>
            </w:pPr>
          </w:p>
        </w:tc>
        <w:tc>
          <w:tcPr>
            <w:tcW w:w="1922" w:type="dxa"/>
            <w:gridSpan w:val="2"/>
            <w:noWrap/>
            <w:vAlign w:val="center"/>
          </w:tcPr>
          <w:p w14:paraId="359B5CB9">
            <w:pPr>
              <w:rPr>
                <w:rFonts w:cs="宋体"/>
                <w:szCs w:val="21"/>
              </w:rPr>
            </w:pPr>
            <w:r>
              <w:rPr>
                <w:rFonts w:hint="eastAsia" w:cs="宋体"/>
              </w:rPr>
              <w:t>投标保证金</w:t>
            </w:r>
          </w:p>
        </w:tc>
        <w:tc>
          <w:tcPr>
            <w:tcW w:w="7431" w:type="dxa"/>
            <w:gridSpan w:val="2"/>
            <w:noWrap/>
            <w:vAlign w:val="center"/>
          </w:tcPr>
          <w:p w14:paraId="45902488">
            <w:pPr>
              <w:rPr>
                <w:rFonts w:cs="宋体"/>
                <w:szCs w:val="21"/>
              </w:rPr>
            </w:pPr>
            <w:r>
              <w:rPr>
                <w:rFonts w:hint="eastAsia" w:cs="宋体"/>
              </w:rPr>
              <w:t>符合第二章“投标人须知”第3.4款规定</w:t>
            </w:r>
          </w:p>
        </w:tc>
      </w:tr>
      <w:tr w14:paraId="3EB7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145" w:type="dxa"/>
            <w:vMerge w:val="continue"/>
            <w:noWrap/>
            <w:vAlign w:val="center"/>
          </w:tcPr>
          <w:p w14:paraId="3C9A1346">
            <w:pPr>
              <w:rPr>
                <w:rFonts w:cs="宋体"/>
              </w:rPr>
            </w:pPr>
          </w:p>
        </w:tc>
        <w:tc>
          <w:tcPr>
            <w:tcW w:w="1922" w:type="dxa"/>
            <w:gridSpan w:val="2"/>
            <w:noWrap/>
            <w:vAlign w:val="center"/>
          </w:tcPr>
          <w:p w14:paraId="2FFCC3F5">
            <w:pPr>
              <w:rPr>
                <w:rFonts w:cs="宋体"/>
                <w:szCs w:val="21"/>
              </w:rPr>
            </w:pPr>
            <w:r>
              <w:rPr>
                <w:rFonts w:hint="eastAsia" w:cs="宋体"/>
              </w:rPr>
              <w:t>技术标准和要求</w:t>
            </w:r>
          </w:p>
        </w:tc>
        <w:tc>
          <w:tcPr>
            <w:tcW w:w="7431" w:type="dxa"/>
            <w:gridSpan w:val="2"/>
            <w:noWrap/>
            <w:vAlign w:val="center"/>
          </w:tcPr>
          <w:p w14:paraId="51321E52">
            <w:pPr>
              <w:rPr>
                <w:rFonts w:cs="宋体"/>
              </w:rPr>
            </w:pPr>
            <w:r>
              <w:rPr>
                <w:rFonts w:hint="eastAsia" w:cs="宋体"/>
              </w:rPr>
              <w:t>符合第七章“技术标准和要求”规定，所有加★的条款均为实质性要求和条件，没有加★的条款在评标时不能认定为实质性要求和条件。</w:t>
            </w:r>
          </w:p>
        </w:tc>
      </w:tr>
      <w:tr w14:paraId="7861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45" w:type="dxa"/>
            <w:vMerge w:val="continue"/>
            <w:noWrap/>
            <w:vAlign w:val="center"/>
          </w:tcPr>
          <w:p w14:paraId="5992FF96">
            <w:pPr>
              <w:rPr>
                <w:rFonts w:cs="宋体"/>
              </w:rPr>
            </w:pPr>
          </w:p>
        </w:tc>
        <w:tc>
          <w:tcPr>
            <w:tcW w:w="1922" w:type="dxa"/>
            <w:gridSpan w:val="2"/>
            <w:noWrap/>
            <w:vAlign w:val="center"/>
          </w:tcPr>
          <w:p w14:paraId="261B3DC7">
            <w:pPr>
              <w:rPr>
                <w:rFonts w:cs="宋体"/>
                <w:szCs w:val="21"/>
              </w:rPr>
            </w:pPr>
            <w:r>
              <w:rPr>
                <w:rFonts w:hint="eastAsia" w:cs="宋体"/>
              </w:rPr>
              <w:t>投标总报价</w:t>
            </w:r>
          </w:p>
        </w:tc>
        <w:tc>
          <w:tcPr>
            <w:tcW w:w="7431" w:type="dxa"/>
            <w:gridSpan w:val="2"/>
            <w:noWrap/>
            <w:vAlign w:val="center"/>
          </w:tcPr>
          <w:p w14:paraId="44DA306E">
            <w:pPr>
              <w:rPr>
                <w:rFonts w:cs="宋体"/>
                <w:szCs w:val="21"/>
              </w:rPr>
            </w:pPr>
            <w:r>
              <w:rPr>
                <w:rFonts w:hint="eastAsia" w:cs="宋体"/>
              </w:rPr>
              <w:t>投标总报价（含税价）不得超过招标人设定的最高投标限价。</w:t>
            </w:r>
          </w:p>
        </w:tc>
      </w:tr>
      <w:tr w14:paraId="4D6A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45" w:type="dxa"/>
            <w:vMerge w:val="continue"/>
            <w:noWrap/>
            <w:vAlign w:val="center"/>
          </w:tcPr>
          <w:p w14:paraId="5510D9C7">
            <w:pPr>
              <w:rPr>
                <w:rFonts w:cs="宋体"/>
              </w:rPr>
            </w:pPr>
          </w:p>
        </w:tc>
        <w:tc>
          <w:tcPr>
            <w:tcW w:w="1922" w:type="dxa"/>
            <w:gridSpan w:val="2"/>
            <w:noWrap/>
            <w:vAlign w:val="center"/>
          </w:tcPr>
          <w:p w14:paraId="4F65040A">
            <w:pPr>
              <w:rPr>
                <w:rFonts w:cs="宋体"/>
              </w:rPr>
            </w:pPr>
            <w:r>
              <w:rPr>
                <w:rFonts w:hint="eastAsia" w:cs="宋体"/>
              </w:rPr>
              <w:t>已标价工程量清单</w:t>
            </w:r>
          </w:p>
        </w:tc>
        <w:tc>
          <w:tcPr>
            <w:tcW w:w="7431" w:type="dxa"/>
            <w:gridSpan w:val="2"/>
            <w:noWrap/>
            <w:vAlign w:val="center"/>
          </w:tcPr>
          <w:p w14:paraId="228065CF">
            <w:pPr>
              <w:rPr>
                <w:rFonts w:cs="宋体"/>
              </w:rPr>
            </w:pPr>
            <w:r>
              <w:rPr>
                <w:rFonts w:hint="eastAsia" w:cs="宋体"/>
              </w:rPr>
              <w:t>符合第五章“招标工程量清单”给出的范围及数量</w:t>
            </w:r>
          </w:p>
        </w:tc>
      </w:tr>
      <w:tr w14:paraId="220F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45" w:type="dxa"/>
            <w:vMerge w:val="continue"/>
            <w:noWrap/>
            <w:vAlign w:val="center"/>
          </w:tcPr>
          <w:p w14:paraId="3EB6536B">
            <w:pPr>
              <w:rPr>
                <w:rFonts w:cs="宋体"/>
              </w:rPr>
            </w:pPr>
          </w:p>
        </w:tc>
        <w:tc>
          <w:tcPr>
            <w:tcW w:w="1922" w:type="dxa"/>
            <w:gridSpan w:val="2"/>
            <w:noWrap/>
            <w:vAlign w:val="center"/>
          </w:tcPr>
          <w:p w14:paraId="597AFF80">
            <w:pPr>
              <w:rPr>
                <w:rFonts w:cs="宋体"/>
              </w:rPr>
            </w:pPr>
            <w:r>
              <w:rPr>
                <w:rFonts w:hint="eastAsia" w:cs="宋体"/>
              </w:rPr>
              <w:t>商务标的评审</w:t>
            </w:r>
          </w:p>
        </w:tc>
        <w:tc>
          <w:tcPr>
            <w:tcW w:w="7431" w:type="dxa"/>
            <w:gridSpan w:val="2"/>
            <w:noWrap/>
            <w:vAlign w:val="center"/>
          </w:tcPr>
          <w:p w14:paraId="70164426">
            <w:pPr>
              <w:rPr>
                <w:rFonts w:cs="宋体"/>
              </w:rPr>
            </w:pPr>
            <w:r>
              <w:rPr>
                <w:rFonts w:hint="eastAsia" w:cs="宋体"/>
              </w:rPr>
              <w:t>因投标人原因造成投标报价发生算术错误、冒算、多报费用、少算等，累计投标报价错误绝对值总额（冒算、多报费用不得抵消缺漏费用）≥投标报价</w:t>
            </w:r>
            <w:r>
              <w:rPr>
                <w:rFonts w:hint="eastAsia" w:cs="宋体"/>
                <w:u w:val="single"/>
              </w:rPr>
              <w:t>3%</w:t>
            </w:r>
            <w:r>
              <w:rPr>
                <w:rFonts w:hint="eastAsia" w:cs="宋体"/>
              </w:rPr>
              <w:t>者，作为重大偏差判定，评标委员会应当否决其投标，错误绝对值累计＜投标报价</w:t>
            </w:r>
            <w:r>
              <w:rPr>
                <w:rFonts w:hint="eastAsia" w:cs="宋体"/>
                <w:u w:val="single"/>
              </w:rPr>
              <w:t>3%</w:t>
            </w:r>
            <w:r>
              <w:rPr>
                <w:rFonts w:hint="eastAsia" w:cs="宋体"/>
              </w:rPr>
              <w:t>则视为该项费用已分配到其它工程量报价中，对投标报价不作调整。</w:t>
            </w:r>
          </w:p>
        </w:tc>
      </w:tr>
      <w:tr w14:paraId="3304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1145" w:type="dxa"/>
            <w:noWrap/>
            <w:vAlign w:val="center"/>
          </w:tcPr>
          <w:p w14:paraId="44D5EC6E">
            <w:pPr>
              <w:rPr>
                <w:rFonts w:cs="宋体"/>
              </w:rPr>
            </w:pPr>
            <w:r>
              <w:rPr>
                <w:rFonts w:hint="eastAsia" w:cs="宋体"/>
              </w:rPr>
              <w:t>2.2.1</w:t>
            </w:r>
          </w:p>
        </w:tc>
        <w:tc>
          <w:tcPr>
            <w:tcW w:w="1922" w:type="dxa"/>
            <w:gridSpan w:val="2"/>
            <w:noWrap/>
            <w:vAlign w:val="center"/>
          </w:tcPr>
          <w:p w14:paraId="4BD03CF9">
            <w:pPr>
              <w:rPr>
                <w:rFonts w:cs="宋体"/>
              </w:rPr>
            </w:pPr>
            <w:r>
              <w:rPr>
                <w:rFonts w:hint="eastAsia" w:cs="宋体"/>
              </w:rPr>
              <w:t>分值构成</w:t>
            </w:r>
          </w:p>
        </w:tc>
        <w:tc>
          <w:tcPr>
            <w:tcW w:w="7431" w:type="dxa"/>
            <w:gridSpan w:val="2"/>
            <w:noWrap/>
            <w:vAlign w:val="center"/>
          </w:tcPr>
          <w:p w14:paraId="2EB95E4A">
            <w:pPr>
              <w:rPr>
                <w:rFonts w:cs="宋体"/>
              </w:rPr>
            </w:pPr>
            <w:r>
              <w:rPr>
                <w:rFonts w:hint="eastAsia" w:cs="宋体"/>
              </w:rPr>
              <w:t>1、技术标：</w:t>
            </w:r>
            <w:r>
              <w:rPr>
                <w:rFonts w:hint="eastAsia" w:cs="宋体"/>
                <w:u w:val="single"/>
              </w:rPr>
              <w:t>0</w:t>
            </w:r>
            <w:r>
              <w:rPr>
                <w:rFonts w:hint="eastAsia" w:cs="宋体"/>
              </w:rPr>
              <w:t>分；</w:t>
            </w:r>
          </w:p>
          <w:p w14:paraId="08DC6A30">
            <w:pPr>
              <w:rPr>
                <w:rFonts w:cs="宋体"/>
              </w:rPr>
            </w:pPr>
            <w:r>
              <w:rPr>
                <w:rFonts w:hint="eastAsia" w:cs="宋体"/>
              </w:rPr>
              <w:t>2、资信标：</w:t>
            </w:r>
            <w:r>
              <w:rPr>
                <w:rFonts w:hint="eastAsia" w:cs="宋体"/>
                <w:u w:val="single"/>
              </w:rPr>
              <w:t>0</w:t>
            </w:r>
            <w:r>
              <w:rPr>
                <w:rFonts w:hint="eastAsia" w:cs="宋体"/>
              </w:rPr>
              <w:t>分；</w:t>
            </w:r>
          </w:p>
          <w:p w14:paraId="23DC58B5">
            <w:pPr>
              <w:rPr>
                <w:rFonts w:cs="宋体"/>
              </w:rPr>
            </w:pPr>
            <w:r>
              <w:rPr>
                <w:rFonts w:hint="eastAsia" w:cs="宋体"/>
              </w:rPr>
              <w:t>3、商务标：</w:t>
            </w:r>
            <w:r>
              <w:rPr>
                <w:rFonts w:hint="eastAsia" w:cs="宋体"/>
                <w:u w:val="single"/>
              </w:rPr>
              <w:t>100</w:t>
            </w:r>
            <w:r>
              <w:rPr>
                <w:rFonts w:hint="eastAsia" w:cs="宋体"/>
              </w:rPr>
              <w:t>分；</w:t>
            </w:r>
          </w:p>
          <w:p w14:paraId="5F0100B7">
            <w:pPr>
              <w:rPr>
                <w:rFonts w:cs="宋体"/>
              </w:rPr>
            </w:pPr>
            <w:r>
              <w:rPr>
                <w:rFonts w:hint="eastAsia" w:cs="宋体"/>
              </w:rPr>
              <w:t>4、其他评分因素：</w:t>
            </w:r>
            <w:r>
              <w:rPr>
                <w:rFonts w:hint="eastAsia" w:cs="宋体"/>
                <w:u w:val="single"/>
              </w:rPr>
              <w:t>0</w:t>
            </w:r>
            <w:r>
              <w:rPr>
                <w:rFonts w:hint="eastAsia" w:cs="宋体"/>
              </w:rPr>
              <w:t>分</w:t>
            </w:r>
          </w:p>
        </w:tc>
      </w:tr>
      <w:tr w14:paraId="59AC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1145" w:type="dxa"/>
            <w:noWrap/>
            <w:vAlign w:val="center"/>
          </w:tcPr>
          <w:p w14:paraId="701A0CA8">
            <w:pPr>
              <w:rPr>
                <w:rFonts w:cs="宋体"/>
              </w:rPr>
            </w:pPr>
            <w:r>
              <w:rPr>
                <w:rFonts w:hint="eastAsia" w:cs="宋体"/>
              </w:rPr>
              <w:t>2.2.2</w:t>
            </w:r>
          </w:p>
        </w:tc>
        <w:tc>
          <w:tcPr>
            <w:tcW w:w="1922" w:type="dxa"/>
            <w:gridSpan w:val="2"/>
            <w:noWrap/>
            <w:vAlign w:val="center"/>
          </w:tcPr>
          <w:p w14:paraId="473E6BB9">
            <w:pPr>
              <w:rPr>
                <w:rFonts w:cs="宋体"/>
              </w:rPr>
            </w:pPr>
            <w:r>
              <w:rPr>
                <w:rFonts w:hint="eastAsia" w:cs="宋体"/>
              </w:rPr>
              <w:t>评标基准价</w:t>
            </w:r>
          </w:p>
          <w:p w14:paraId="17BBF686">
            <w:pPr>
              <w:rPr>
                <w:rFonts w:cs="宋体"/>
              </w:rPr>
            </w:pPr>
            <w:r>
              <w:rPr>
                <w:rFonts w:hint="eastAsia" w:cs="宋体"/>
              </w:rPr>
              <w:t>计算方法</w:t>
            </w:r>
          </w:p>
        </w:tc>
        <w:tc>
          <w:tcPr>
            <w:tcW w:w="7431" w:type="dxa"/>
            <w:gridSpan w:val="2"/>
            <w:noWrap/>
            <w:vAlign w:val="center"/>
          </w:tcPr>
          <w:p w14:paraId="2DBD1916">
            <w:pPr>
              <w:pStyle w:val="8"/>
              <w:rPr>
                <w:rFonts w:cs="宋体"/>
                <w:lang w:val="zh-CN"/>
              </w:rPr>
            </w:pPr>
            <w:r>
              <w:rPr>
                <w:rFonts w:hint="eastAsia" w:cs="宋体"/>
                <w:lang w:val="zh-CN"/>
              </w:rPr>
              <w:t>评标</w:t>
            </w:r>
            <w:r>
              <w:rPr>
                <w:rFonts w:hint="eastAsia" w:cs="宋体"/>
              </w:rPr>
              <w:t>基准值</w:t>
            </w:r>
            <w:r>
              <w:rPr>
                <w:rFonts w:hint="eastAsia" w:cs="宋体"/>
                <w:lang w:val="zh-CN"/>
              </w:rPr>
              <w:t>价由评标委员会计算、复核并签字确认。经过确认计算准确无误的评标价在本次招标期间保持不变。</w:t>
            </w:r>
          </w:p>
          <w:p w14:paraId="07115BA6">
            <w:pPr>
              <w:rPr>
                <w:rFonts w:cs="宋体"/>
              </w:rPr>
            </w:pPr>
            <w:r>
              <w:rPr>
                <w:rFonts w:hint="eastAsia" w:cs="宋体"/>
              </w:rPr>
              <w:t>（1）评标基准价=评标委员会按以下公式计算出评标基准价</w:t>
            </w:r>
          </w:p>
          <w:p w14:paraId="49D8E52D">
            <w:pPr>
              <w:rPr>
                <w:rFonts w:cs="宋体"/>
              </w:rPr>
            </w:pPr>
            <w:r>
              <w:rPr>
                <w:rFonts w:hint="eastAsia" w:cs="宋体"/>
              </w:rPr>
              <w:t>评标基准价=A*(1-</w:t>
            </w:r>
            <w:r>
              <w:rPr>
                <w:rFonts w:cs="宋体"/>
              </w:rPr>
              <w:t>1%×X-0.1%×Y</w:t>
            </w:r>
            <w:r>
              <w:rPr>
                <w:rFonts w:hint="eastAsia" w:cs="宋体"/>
              </w:rPr>
              <w:t>)，评标基准价保留至元，元后四舍五入。</w:t>
            </w:r>
          </w:p>
          <w:p w14:paraId="1D9842AF">
            <w:pPr>
              <w:ind w:firstLine="420" w:firstLineChars="200"/>
              <w:rPr>
                <w:rFonts w:cs="宋体"/>
              </w:rPr>
            </w:pPr>
            <w:r>
              <w:rPr>
                <w:rFonts w:hint="eastAsia" w:cs="宋体"/>
              </w:rPr>
              <w:t>A=当有效投标人数量≥</w:t>
            </w:r>
            <w:r>
              <w:rPr>
                <w:rFonts w:cs="宋体"/>
              </w:rPr>
              <w:t xml:space="preserve">5 </w:t>
            </w:r>
            <w:r>
              <w:rPr>
                <w:rFonts w:hint="eastAsia" w:cs="宋体"/>
              </w:rPr>
              <w:t>家时，则去掉</w:t>
            </w:r>
            <w:r>
              <w:rPr>
                <w:rFonts w:cs="宋体"/>
              </w:rPr>
              <w:t xml:space="preserve"> 1个最高</w:t>
            </w:r>
            <w:r>
              <w:rPr>
                <w:rFonts w:hint="eastAsia" w:cs="宋体"/>
              </w:rPr>
              <w:t>投标报价、</w:t>
            </w:r>
            <w:r>
              <w:rPr>
                <w:rFonts w:cs="宋体"/>
              </w:rPr>
              <w:t xml:space="preserve">1 </w:t>
            </w:r>
            <w:r>
              <w:rPr>
                <w:rFonts w:hint="eastAsia" w:cs="宋体"/>
              </w:rPr>
              <w:t>个最低投标报价后的算术平均值；当有效投标人数量＜</w:t>
            </w:r>
            <w:r>
              <w:rPr>
                <w:rFonts w:cs="宋体"/>
              </w:rPr>
              <w:t xml:space="preserve">5 </w:t>
            </w:r>
            <w:r>
              <w:rPr>
                <w:rFonts w:hint="eastAsia" w:cs="宋体"/>
              </w:rPr>
              <w:t>家时，取全部有效投标评标价的算术平均</w:t>
            </w:r>
            <w:r>
              <w:rPr>
                <w:rFonts w:hint="eastAsia" w:cs="宋体"/>
                <w:u w:val="single"/>
              </w:rPr>
              <w:t>值；计</w:t>
            </w:r>
            <w:r>
              <w:rPr>
                <w:rFonts w:hint="eastAsia" w:cs="宋体"/>
              </w:rPr>
              <w:t>算结果保留小数点后</w:t>
            </w:r>
            <w:r>
              <w:rPr>
                <w:rFonts w:cs="宋体"/>
              </w:rPr>
              <w:t xml:space="preserve"> 2 </w:t>
            </w:r>
            <w:r>
              <w:rPr>
                <w:rFonts w:hint="eastAsia" w:cs="宋体"/>
              </w:rPr>
              <w:t>位，第</w:t>
            </w:r>
            <w:r>
              <w:rPr>
                <w:rFonts w:cs="宋体"/>
              </w:rPr>
              <w:t xml:space="preserve"> 3 </w:t>
            </w:r>
            <w:r>
              <w:rPr>
                <w:rFonts w:hint="eastAsia" w:cs="宋体"/>
              </w:rPr>
              <w:t>位四舍五入。</w:t>
            </w:r>
          </w:p>
          <w:p w14:paraId="393AD1D7">
            <w:pPr>
              <w:spacing w:line="340" w:lineRule="exact"/>
              <w:ind w:firstLine="420" w:firstLineChars="200"/>
              <w:rPr>
                <w:color w:val="000000"/>
              </w:rPr>
            </w:pPr>
            <w:r>
              <w:rPr>
                <w:rFonts w:hint="eastAsia"/>
                <w:color w:val="000000"/>
              </w:rPr>
              <w:t>X、Y为调整系数；X值在商务标开标会议上从4、5、6共3个数中随机抽取，以抽中值为准；Y值在商务标开标会议上从0～9（整数）十个数数字中抽取，以抽取值为准。</w:t>
            </w:r>
          </w:p>
          <w:p w14:paraId="55602B95">
            <w:pPr>
              <w:rPr>
                <w:rFonts w:cs="宋体"/>
                <w:b/>
                <w:bCs/>
              </w:rPr>
            </w:pPr>
            <w:r>
              <w:rPr>
                <w:rFonts w:hint="eastAsia"/>
              </w:rPr>
              <w:t xml:space="preserve">   </w:t>
            </w:r>
            <w:r>
              <w:rPr>
                <w:rFonts w:hint="eastAsia"/>
                <w:color w:val="000000"/>
              </w:rPr>
              <w:t>评标基准价由评标委员会依据上述方法计算，除计算差错外，确认后的评标基准价在本次招标期间保持不变。</w:t>
            </w:r>
          </w:p>
        </w:tc>
      </w:tr>
      <w:tr w14:paraId="79EA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5" w:type="dxa"/>
            <w:noWrap/>
            <w:vAlign w:val="center"/>
          </w:tcPr>
          <w:p w14:paraId="56484EC0">
            <w:pPr>
              <w:rPr>
                <w:rFonts w:cs="宋体"/>
              </w:rPr>
            </w:pPr>
            <w:r>
              <w:rPr>
                <w:rFonts w:hint="eastAsia" w:cs="宋体"/>
              </w:rPr>
              <w:t>2.2.3</w:t>
            </w:r>
          </w:p>
        </w:tc>
        <w:tc>
          <w:tcPr>
            <w:tcW w:w="1922" w:type="dxa"/>
            <w:gridSpan w:val="2"/>
            <w:noWrap/>
            <w:vAlign w:val="center"/>
          </w:tcPr>
          <w:p w14:paraId="7BF6E8A8">
            <w:pPr>
              <w:rPr>
                <w:rFonts w:cs="宋体"/>
              </w:rPr>
            </w:pPr>
            <w:r>
              <w:rPr>
                <w:rFonts w:hint="eastAsia" w:cs="宋体"/>
              </w:rPr>
              <w:t>投标报价的偏差率计算公式</w:t>
            </w:r>
          </w:p>
        </w:tc>
        <w:tc>
          <w:tcPr>
            <w:tcW w:w="7431" w:type="dxa"/>
            <w:gridSpan w:val="2"/>
            <w:noWrap/>
            <w:vAlign w:val="center"/>
          </w:tcPr>
          <w:p w14:paraId="2A206007">
            <w:pPr>
              <w:rPr>
                <w:rFonts w:cs="宋体"/>
              </w:rPr>
            </w:pPr>
            <w:r>
              <w:rPr>
                <w:rFonts w:hint="eastAsia" w:cs="宋体"/>
              </w:rPr>
              <w:t>偏差率=100% ×（投标报价- 评标基准价）/评标基准价。</w:t>
            </w:r>
          </w:p>
          <w:p w14:paraId="6751DAAB">
            <w:pPr>
              <w:pStyle w:val="8"/>
              <w:rPr>
                <w:rFonts w:cs="宋体"/>
                <w:lang w:val="zh-CN"/>
              </w:rPr>
            </w:pPr>
            <w:r>
              <w:rPr>
                <w:rFonts w:hint="eastAsia" w:cs="宋体"/>
              </w:rPr>
              <w:t>偏差率保留小数点后2 位，第3 位四舍五入。</w:t>
            </w:r>
          </w:p>
        </w:tc>
      </w:tr>
      <w:tr w14:paraId="2CAB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1145" w:type="dxa"/>
            <w:noWrap/>
            <w:vAlign w:val="center"/>
          </w:tcPr>
          <w:p w14:paraId="664DB453">
            <w:pPr>
              <w:rPr>
                <w:rFonts w:cs="宋体"/>
              </w:rPr>
            </w:pPr>
            <w:bookmarkStart w:id="65" w:name="_Toc415561144"/>
            <w:bookmarkStart w:id="66" w:name="_Toc154675072"/>
            <w:r>
              <w:rPr>
                <w:rFonts w:hint="eastAsia" w:cs="宋体"/>
              </w:rPr>
              <w:t>2.2.4</w:t>
            </w:r>
          </w:p>
        </w:tc>
        <w:tc>
          <w:tcPr>
            <w:tcW w:w="1922" w:type="dxa"/>
            <w:gridSpan w:val="2"/>
            <w:noWrap/>
            <w:vAlign w:val="center"/>
          </w:tcPr>
          <w:p w14:paraId="63DB450E">
            <w:pPr>
              <w:jc w:val="center"/>
              <w:rPr>
                <w:rFonts w:cs="宋体"/>
              </w:rPr>
            </w:pPr>
            <w:r>
              <w:rPr>
                <w:rFonts w:hint="eastAsia" w:cs="宋体"/>
              </w:rPr>
              <w:t>商务标</w:t>
            </w:r>
          </w:p>
          <w:p w14:paraId="251B930A">
            <w:pPr>
              <w:jc w:val="center"/>
              <w:rPr>
                <w:rFonts w:cs="宋体"/>
              </w:rPr>
            </w:pPr>
            <w:r>
              <w:rPr>
                <w:rFonts w:hint="eastAsia" w:cs="宋体"/>
              </w:rPr>
              <w:t>评分标准</w:t>
            </w:r>
          </w:p>
        </w:tc>
        <w:tc>
          <w:tcPr>
            <w:tcW w:w="7431" w:type="dxa"/>
            <w:gridSpan w:val="2"/>
            <w:noWrap/>
            <w:vAlign w:val="center"/>
          </w:tcPr>
          <w:p w14:paraId="4A7779A7">
            <w:pPr>
              <w:rPr>
                <w:rFonts w:cs="宋体"/>
              </w:rPr>
            </w:pPr>
            <w:r>
              <w:rPr>
                <w:rFonts w:hint="eastAsia" w:cs="宋体"/>
              </w:rPr>
              <w:t>计算公式</w:t>
            </w:r>
          </w:p>
          <w:p w14:paraId="75F1F246">
            <w:pPr>
              <w:rPr>
                <w:rFonts w:cs="宋体"/>
              </w:rPr>
            </w:pPr>
            <w:r>
              <w:rPr>
                <w:rFonts w:hint="eastAsia" w:cs="宋体"/>
              </w:rPr>
              <w:t>1、如果投标人的报价≥评标基准价，则投标报价得分＝E-偏差率×100×E1；</w:t>
            </w:r>
          </w:p>
          <w:p w14:paraId="1360809A">
            <w:pPr>
              <w:rPr>
                <w:rFonts w:cs="宋体"/>
              </w:rPr>
            </w:pPr>
            <w:r>
              <w:rPr>
                <w:rFonts w:hint="eastAsia" w:cs="宋体"/>
              </w:rPr>
              <w:t>2、如果投标人的报价＜评标基准价，则投标报价得分＝E+偏差率×100×E2；</w:t>
            </w:r>
          </w:p>
          <w:p w14:paraId="6EDB7781">
            <w:pPr>
              <w:rPr>
                <w:rFonts w:cs="宋体"/>
              </w:rPr>
            </w:pPr>
            <w:r>
              <w:rPr>
                <w:rFonts w:hint="eastAsia" w:cs="宋体"/>
              </w:rPr>
              <w:t>其中；E 值是投标报价所占的权重分值；E1 是投标报价每高于评标基准价一个百分点的扣分值；E2 是投标报价每低于评标基准价一个百分点的扣分值。</w:t>
            </w:r>
          </w:p>
          <w:p w14:paraId="32DD7A68">
            <w:pPr>
              <w:rPr>
                <w:rFonts w:cs="宋体"/>
              </w:rPr>
            </w:pPr>
            <w:r>
              <w:rPr>
                <w:rFonts w:hint="eastAsia" w:cs="宋体"/>
              </w:rPr>
              <w:t>E1=1，E2=0.5，E=100</w:t>
            </w:r>
          </w:p>
          <w:p w14:paraId="665A4FAD">
            <w:pPr>
              <w:rPr>
                <w:rFonts w:cs="宋体"/>
              </w:rPr>
            </w:pPr>
            <w:r>
              <w:rPr>
                <w:rFonts w:hint="eastAsia" w:cs="宋体"/>
              </w:rPr>
              <w:t>报价得分保留小数点后2位，第3位四舍五入。</w:t>
            </w:r>
          </w:p>
        </w:tc>
      </w:tr>
      <w:tr w14:paraId="4B0A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145" w:type="dxa"/>
            <w:noWrap/>
            <w:vAlign w:val="center"/>
          </w:tcPr>
          <w:p w14:paraId="147D22DE">
            <w:pPr>
              <w:rPr>
                <w:rFonts w:cs="宋体"/>
              </w:rPr>
            </w:pPr>
            <w:r>
              <w:rPr>
                <w:rFonts w:hint="eastAsia" w:cs="宋体"/>
              </w:rPr>
              <w:t>3.1</w:t>
            </w:r>
          </w:p>
        </w:tc>
        <w:tc>
          <w:tcPr>
            <w:tcW w:w="1922" w:type="dxa"/>
            <w:gridSpan w:val="2"/>
            <w:noWrap/>
            <w:vAlign w:val="center"/>
          </w:tcPr>
          <w:p w14:paraId="2E66728A">
            <w:pPr>
              <w:jc w:val="center"/>
              <w:rPr>
                <w:rFonts w:cs="宋体"/>
              </w:rPr>
            </w:pPr>
            <w:r>
              <w:rPr>
                <w:rFonts w:hint="eastAsia" w:cs="宋体"/>
              </w:rPr>
              <w:t>评标程序</w:t>
            </w:r>
          </w:p>
        </w:tc>
        <w:tc>
          <w:tcPr>
            <w:tcW w:w="7431" w:type="dxa"/>
            <w:gridSpan w:val="2"/>
            <w:noWrap/>
            <w:vAlign w:val="center"/>
          </w:tcPr>
          <w:p w14:paraId="2FC0E457">
            <w:pPr>
              <w:rPr>
                <w:rFonts w:cs="宋体"/>
              </w:rPr>
            </w:pPr>
            <w:r>
              <w:rPr>
                <w:rFonts w:hint="eastAsia" w:cs="宋体"/>
              </w:rPr>
              <w:t>第一阶段：初步评审（形式评审、资格评审、响应性评审）；</w:t>
            </w:r>
          </w:p>
          <w:p w14:paraId="01F7CBFB">
            <w:pPr>
              <w:rPr>
                <w:rFonts w:cs="宋体"/>
              </w:rPr>
            </w:pPr>
            <w:r>
              <w:rPr>
                <w:rFonts w:hint="eastAsia" w:cs="宋体"/>
              </w:rPr>
              <w:t>第二阶段：商务标评审</w:t>
            </w:r>
          </w:p>
          <w:p w14:paraId="0C74BE32">
            <w:pPr>
              <w:rPr>
                <w:rFonts w:cs="宋体"/>
              </w:rPr>
            </w:pPr>
            <w:r>
              <w:rPr>
                <w:rFonts w:hint="eastAsia" w:cs="宋体"/>
              </w:rPr>
              <w:t>第三阶段：推荐中标候选人。</w:t>
            </w:r>
          </w:p>
        </w:tc>
      </w:tr>
      <w:tr w14:paraId="51BB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145" w:type="dxa"/>
            <w:noWrap/>
            <w:vAlign w:val="center"/>
          </w:tcPr>
          <w:p w14:paraId="57DE492D">
            <w:pPr>
              <w:rPr>
                <w:rFonts w:cs="宋体"/>
              </w:rPr>
            </w:pPr>
            <w:r>
              <w:rPr>
                <w:rFonts w:hint="eastAsia" w:cs="宋体"/>
              </w:rPr>
              <w:t>3.2</w:t>
            </w:r>
          </w:p>
        </w:tc>
        <w:tc>
          <w:tcPr>
            <w:tcW w:w="1922" w:type="dxa"/>
            <w:gridSpan w:val="2"/>
            <w:noWrap/>
            <w:vAlign w:val="center"/>
          </w:tcPr>
          <w:p w14:paraId="74CCA239">
            <w:pPr>
              <w:rPr>
                <w:rFonts w:cs="宋体"/>
              </w:rPr>
            </w:pPr>
            <w:r>
              <w:rPr>
                <w:rFonts w:hint="eastAsia" w:cs="宋体"/>
              </w:rPr>
              <w:t>最高投标限价</w:t>
            </w:r>
          </w:p>
        </w:tc>
        <w:tc>
          <w:tcPr>
            <w:tcW w:w="7431" w:type="dxa"/>
            <w:gridSpan w:val="2"/>
            <w:noWrap/>
            <w:vAlign w:val="center"/>
          </w:tcPr>
          <w:p w14:paraId="6113EBE1">
            <w:pPr>
              <w:rPr>
                <w:rFonts w:cs="宋体"/>
                <w:b/>
                <w:bCs/>
                <w:szCs w:val="21"/>
              </w:rPr>
            </w:pPr>
            <w:r>
              <w:rPr>
                <w:rFonts w:hint="eastAsia" w:cs="宋体"/>
                <w:b/>
                <w:bCs/>
                <w:szCs w:val="21"/>
              </w:rPr>
              <w:t xml:space="preserve">本项目最高投标限价= </w:t>
            </w:r>
            <w:r>
              <w:rPr>
                <w:rFonts w:hint="eastAsia" w:cs="宋体"/>
                <w:b/>
                <w:bCs/>
                <w:szCs w:val="21"/>
                <w:lang w:eastAsia="zh-CN"/>
              </w:rPr>
              <w:t>434169</w:t>
            </w:r>
            <w:r>
              <w:rPr>
                <w:rFonts w:hint="eastAsia" w:cs="宋体"/>
                <w:b/>
                <w:bCs/>
                <w:szCs w:val="21"/>
              </w:rPr>
              <w:t xml:space="preserve">元 </w:t>
            </w:r>
            <w:r>
              <w:rPr>
                <w:rFonts w:hint="eastAsia" w:cs="宋体"/>
                <w:kern w:val="0"/>
                <w:szCs w:val="21"/>
              </w:rPr>
              <w:t>（含税）</w:t>
            </w:r>
          </w:p>
          <w:p w14:paraId="5BE1F06C">
            <w:pPr>
              <w:rPr>
                <w:rFonts w:cs="宋体"/>
                <w:lang w:val="zh-CN"/>
              </w:rPr>
            </w:pPr>
            <w:r>
              <w:rPr>
                <w:rFonts w:hint="eastAsia" w:cs="宋体"/>
              </w:rPr>
              <w:t>投标人的投标报价高于最高投标限价的，应当否决其投标。</w:t>
            </w:r>
          </w:p>
        </w:tc>
      </w:tr>
      <w:tr w14:paraId="2D62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45" w:type="dxa"/>
            <w:noWrap/>
            <w:vAlign w:val="center"/>
          </w:tcPr>
          <w:p w14:paraId="1586EAF3">
            <w:pPr>
              <w:rPr>
                <w:rFonts w:cs="宋体"/>
              </w:rPr>
            </w:pPr>
            <w:r>
              <w:rPr>
                <w:rFonts w:hint="eastAsia" w:cs="宋体"/>
              </w:rPr>
              <w:t>3.3</w:t>
            </w:r>
          </w:p>
        </w:tc>
        <w:tc>
          <w:tcPr>
            <w:tcW w:w="1922" w:type="dxa"/>
            <w:gridSpan w:val="2"/>
            <w:noWrap/>
            <w:vAlign w:val="center"/>
          </w:tcPr>
          <w:p w14:paraId="05C5EE76">
            <w:pPr>
              <w:rPr>
                <w:rFonts w:cs="宋体"/>
              </w:rPr>
            </w:pPr>
            <w:r>
              <w:rPr>
                <w:rFonts w:hint="eastAsia" w:cs="宋体"/>
              </w:rPr>
              <w:t>投标人得分</w:t>
            </w:r>
          </w:p>
        </w:tc>
        <w:tc>
          <w:tcPr>
            <w:tcW w:w="7431" w:type="dxa"/>
            <w:gridSpan w:val="2"/>
            <w:noWrap/>
            <w:vAlign w:val="center"/>
          </w:tcPr>
          <w:p w14:paraId="5E612836">
            <w:pPr>
              <w:rPr>
                <w:rFonts w:cs="宋体"/>
                <w:lang w:val="zh-CN"/>
              </w:rPr>
            </w:pPr>
            <w:r>
              <w:rPr>
                <w:rFonts w:hint="eastAsia" w:cs="宋体"/>
              </w:rPr>
              <w:t>投标人得分=商务标得分</w:t>
            </w:r>
          </w:p>
        </w:tc>
      </w:tr>
    </w:tbl>
    <w:p w14:paraId="60C183DB">
      <w:pPr>
        <w:pStyle w:val="5"/>
        <w:spacing w:before="0" w:after="0" w:line="360" w:lineRule="auto"/>
        <w:rPr>
          <w:rFonts w:ascii="宋体" w:hAnsi="宋体" w:eastAsia="宋体" w:cs="宋体"/>
          <w:b w:val="0"/>
          <w:sz w:val="28"/>
          <w:szCs w:val="28"/>
        </w:rPr>
      </w:pPr>
      <w:r>
        <w:rPr>
          <w:rFonts w:hint="eastAsia" w:ascii="宋体" w:hAnsi="宋体" w:eastAsia="宋体" w:cs="宋体"/>
          <w:b w:val="0"/>
          <w:sz w:val="28"/>
          <w:szCs w:val="28"/>
        </w:rPr>
        <w:br w:type="page"/>
      </w:r>
      <w:r>
        <w:rPr>
          <w:rFonts w:hint="eastAsia" w:ascii="宋体" w:hAnsi="宋体" w:eastAsia="宋体" w:cs="宋体"/>
          <w:b w:val="0"/>
          <w:sz w:val="28"/>
          <w:szCs w:val="28"/>
        </w:rPr>
        <w:t>1. 评标方法</w:t>
      </w:r>
      <w:bookmarkEnd w:id="65"/>
      <w:bookmarkEnd w:id="66"/>
    </w:p>
    <w:p w14:paraId="69142CB3">
      <w:pPr>
        <w:adjustRightInd/>
        <w:spacing w:line="360" w:lineRule="auto"/>
        <w:ind w:firstLine="420" w:firstLineChars="200"/>
        <w:textAlignment w:val="auto"/>
        <w:rPr>
          <w:rFonts w:cs="宋体"/>
          <w:szCs w:val="21"/>
        </w:rPr>
      </w:pPr>
      <w:bookmarkStart w:id="67" w:name="OLE_LINK1"/>
      <w:r>
        <w:rPr>
          <w:rFonts w:hint="eastAsia" w:cs="宋体"/>
        </w:rPr>
        <w:t>本次评标采用经评审的合理低价法。评标委员会对满足招标文件实质要求的投标文件，按照本章2.2款规定的评分标准进行打分，并按得分由高到低的顺序推荐中标候选人，但投标报价低于其成本的除外。经评审的</w:t>
      </w:r>
      <w:r>
        <w:rPr>
          <w:rFonts w:hint="eastAsia" w:cs="宋体"/>
          <w:b/>
          <w:bCs/>
        </w:rPr>
        <w:t>投标价</w:t>
      </w:r>
      <w:r>
        <w:rPr>
          <w:rFonts w:hint="eastAsia" w:cs="宋体"/>
        </w:rPr>
        <w:t>相等时，</w:t>
      </w:r>
      <w:r>
        <w:rPr>
          <w:rFonts w:hint="eastAsia" w:cs="宋体"/>
          <w:szCs w:val="21"/>
        </w:rPr>
        <w:t>评标委员会应依照以下优先顺序推荐中标候选人：</w:t>
      </w:r>
    </w:p>
    <w:p w14:paraId="2CBF08BD">
      <w:pPr>
        <w:adjustRightInd/>
        <w:spacing w:line="360" w:lineRule="auto"/>
        <w:ind w:firstLine="420" w:firstLineChars="200"/>
        <w:textAlignment w:val="auto"/>
        <w:rPr>
          <w:rFonts w:cs="宋体"/>
          <w:szCs w:val="21"/>
        </w:rPr>
      </w:pPr>
      <w:r>
        <w:rPr>
          <w:rFonts w:hint="eastAsia" w:cs="宋体"/>
          <w:szCs w:val="21"/>
        </w:rPr>
        <w:t>（1）递交电子版投标文件时间较前的投标人优先。</w:t>
      </w:r>
    </w:p>
    <w:bookmarkEnd w:id="67"/>
    <w:p w14:paraId="693C2327">
      <w:pPr>
        <w:adjustRightInd/>
        <w:spacing w:line="360" w:lineRule="auto"/>
        <w:ind w:firstLine="420" w:firstLineChars="200"/>
        <w:textAlignment w:val="auto"/>
        <w:rPr>
          <w:rFonts w:cs="宋体"/>
        </w:rPr>
      </w:pPr>
      <w:r>
        <w:rPr>
          <w:rFonts w:hint="eastAsia" w:cs="宋体"/>
        </w:rPr>
        <w:t>凡评标委员会拟作出否决投标决定的，应先向投标人进行询问核实。未进行询问核实程序的，不得做出否决投标决定（投标人所留联系方式无法联系上、在限定时间内投标人不参加询问核实或未出具答复意见的除外）。</w:t>
      </w:r>
    </w:p>
    <w:p w14:paraId="6FB14700">
      <w:pPr>
        <w:adjustRightInd/>
        <w:spacing w:line="360" w:lineRule="auto"/>
        <w:ind w:firstLine="420" w:firstLineChars="200"/>
        <w:textAlignment w:val="auto"/>
        <w:rPr>
          <w:rFonts w:cs="宋体"/>
        </w:rPr>
      </w:pPr>
      <w:r>
        <w:rPr>
          <w:rFonts w:hint="eastAsia" w:cs="宋体"/>
        </w:rPr>
        <w:t>“评标办法”中规定的否决投标情形，由评标委员会审核并经过询问核实程序，其投标文件作否决处理。除此之外招标文件中其他条款均不得作为否决投标的依据。</w:t>
      </w:r>
    </w:p>
    <w:p w14:paraId="7E99E250">
      <w:pPr>
        <w:adjustRightInd/>
        <w:spacing w:line="360" w:lineRule="auto"/>
        <w:ind w:firstLine="420" w:firstLineChars="200"/>
        <w:textAlignment w:val="auto"/>
        <w:rPr>
          <w:rFonts w:cs="宋体"/>
          <w:szCs w:val="21"/>
        </w:rPr>
      </w:pPr>
      <w:r>
        <w:rPr>
          <w:rFonts w:hint="eastAsia" w:cs="宋体"/>
          <w:szCs w:val="21"/>
        </w:rPr>
        <w:t>由于评标标准和方法前后内容不一致或者部分条款存在易引起歧义、模糊的文字，导致难以界定投标文件偏差的性质，评标委员会应当按照有利于投标人的原则进行处理</w:t>
      </w:r>
    </w:p>
    <w:p w14:paraId="0A884F27">
      <w:pPr>
        <w:adjustRightInd/>
        <w:spacing w:line="360" w:lineRule="auto"/>
        <w:ind w:firstLine="420" w:firstLineChars="200"/>
        <w:textAlignment w:val="auto"/>
        <w:rPr>
          <w:rFonts w:cs="宋体"/>
        </w:rPr>
      </w:pPr>
      <w:r>
        <w:rPr>
          <w:rFonts w:hint="eastAsia" w:cs="宋体"/>
          <w:szCs w:val="21"/>
        </w:rPr>
        <w:t>评标委员会成员对需要共同认定的事项存在争议的，应当按照少数服从多数的原则作出结论。持不同意见的评标委员会成员应当在评标报告上以书面形式说明其不同意见和理由并签字确认。评标委员会成员拒绝在评标报告上签字又不书面说明其不同意见和理由的，视为同意评标结果。</w:t>
      </w:r>
    </w:p>
    <w:p w14:paraId="64B5EA0F">
      <w:pPr>
        <w:pStyle w:val="25"/>
        <w:rPr>
          <w:rFonts w:ascii="宋体" w:hAnsi="宋体" w:eastAsia="宋体"/>
        </w:rPr>
      </w:pPr>
      <w:r>
        <w:rPr>
          <w:rFonts w:hint="eastAsia" w:ascii="宋体" w:hAnsi="宋体" w:eastAsia="宋体"/>
        </w:rPr>
        <w:t>2. 评审标准</w:t>
      </w:r>
    </w:p>
    <w:p w14:paraId="66CE6050">
      <w:pPr>
        <w:pStyle w:val="27"/>
        <w:rPr>
          <w:rFonts w:eastAsia="宋体"/>
        </w:rPr>
      </w:pPr>
      <w:r>
        <w:rPr>
          <w:rFonts w:hint="eastAsia" w:eastAsia="宋体"/>
        </w:rPr>
        <w:t>2.1评审标准</w:t>
      </w:r>
    </w:p>
    <w:p w14:paraId="4BD7F124">
      <w:pPr>
        <w:ind w:firstLine="420" w:firstLineChars="200"/>
        <w:rPr>
          <w:rFonts w:cs="宋体"/>
        </w:rPr>
      </w:pPr>
      <w:r>
        <w:rPr>
          <w:rFonts w:hint="eastAsia" w:cs="宋体"/>
        </w:rPr>
        <w:t>2.1.1 形式评审标准：见评标办法前附表。</w:t>
      </w:r>
    </w:p>
    <w:p w14:paraId="2E8D3CC9">
      <w:pPr>
        <w:ind w:firstLine="420" w:firstLineChars="200"/>
        <w:rPr>
          <w:rFonts w:cs="宋体"/>
        </w:rPr>
      </w:pPr>
      <w:r>
        <w:rPr>
          <w:rFonts w:hint="eastAsia" w:cs="宋体"/>
        </w:rPr>
        <w:t>2.1.2 资格评审标准：见评标办法前附表。</w:t>
      </w:r>
    </w:p>
    <w:p w14:paraId="2FD3D23A">
      <w:pPr>
        <w:ind w:firstLine="420" w:firstLineChars="200"/>
        <w:rPr>
          <w:rFonts w:cs="宋体"/>
        </w:rPr>
      </w:pPr>
      <w:r>
        <w:rPr>
          <w:rFonts w:hint="eastAsia" w:cs="宋体"/>
        </w:rPr>
        <w:t>2.1.3 响应性评审标准：见评标办法前附表。</w:t>
      </w:r>
    </w:p>
    <w:p w14:paraId="029BFF02">
      <w:pPr>
        <w:pStyle w:val="27"/>
        <w:rPr>
          <w:rFonts w:eastAsia="宋体"/>
        </w:rPr>
      </w:pPr>
      <w:bookmarkStart w:id="68" w:name="_Toc527143513"/>
      <w:r>
        <w:rPr>
          <w:rFonts w:hint="eastAsia" w:eastAsia="宋体"/>
        </w:rPr>
        <w:t>2.2 详细评审标准</w:t>
      </w:r>
    </w:p>
    <w:p w14:paraId="69359817">
      <w:pPr>
        <w:rPr>
          <w:rFonts w:cs="宋体"/>
        </w:rPr>
      </w:pPr>
      <w:r>
        <w:rPr>
          <w:rFonts w:hint="eastAsia" w:cs="宋体"/>
        </w:rPr>
        <w:t>2.2.1 分值构成</w:t>
      </w:r>
    </w:p>
    <w:p w14:paraId="6CE060D3">
      <w:pPr>
        <w:ind w:firstLine="420" w:firstLineChars="200"/>
        <w:rPr>
          <w:rFonts w:cs="宋体"/>
        </w:rPr>
      </w:pPr>
      <w:r>
        <w:rPr>
          <w:rFonts w:hint="eastAsia" w:cs="宋体"/>
        </w:rPr>
        <w:t>（1）技术标：见评标办法前附表；</w:t>
      </w:r>
    </w:p>
    <w:p w14:paraId="22677321">
      <w:pPr>
        <w:ind w:firstLine="420" w:firstLineChars="200"/>
        <w:rPr>
          <w:rFonts w:cs="宋体"/>
        </w:rPr>
      </w:pPr>
      <w:r>
        <w:rPr>
          <w:rFonts w:hint="eastAsia" w:cs="宋体"/>
        </w:rPr>
        <w:t>（2）资信标：见评标办法前附表；</w:t>
      </w:r>
    </w:p>
    <w:p w14:paraId="20B67679">
      <w:pPr>
        <w:ind w:firstLine="420" w:firstLineChars="200"/>
        <w:rPr>
          <w:rFonts w:cs="宋体"/>
        </w:rPr>
      </w:pPr>
      <w:r>
        <w:rPr>
          <w:rFonts w:hint="eastAsia" w:cs="宋体"/>
        </w:rPr>
        <w:t>（3）商务标：见评标办法前附表；</w:t>
      </w:r>
    </w:p>
    <w:p w14:paraId="256EBB50">
      <w:pPr>
        <w:ind w:firstLine="420" w:firstLineChars="200"/>
        <w:rPr>
          <w:rFonts w:cs="宋体"/>
        </w:rPr>
      </w:pPr>
      <w:r>
        <w:rPr>
          <w:rFonts w:hint="eastAsia" w:cs="宋体"/>
        </w:rPr>
        <w:t>（4）其他评分因素：见评标办法前附表。</w:t>
      </w:r>
    </w:p>
    <w:p w14:paraId="257F7F37">
      <w:pPr>
        <w:rPr>
          <w:rFonts w:cs="宋体"/>
        </w:rPr>
      </w:pPr>
      <w:r>
        <w:rPr>
          <w:rFonts w:hint="eastAsia" w:cs="宋体"/>
        </w:rPr>
        <w:t>2.2.2 评标基准价计算</w:t>
      </w:r>
    </w:p>
    <w:p w14:paraId="36B4C8AC">
      <w:pPr>
        <w:ind w:firstLine="420" w:firstLineChars="200"/>
        <w:rPr>
          <w:rFonts w:cs="宋体"/>
        </w:rPr>
      </w:pPr>
      <w:r>
        <w:rPr>
          <w:rFonts w:hint="eastAsia" w:cs="宋体"/>
        </w:rPr>
        <w:t>评标基准价计算方法：见评标办法前附表。评标基准值确定后，除计算错误外不再受其他任何因素（包括商务标详细评审阶段中和资格评审中作否决其投标处理等因素）的影响而改变。</w:t>
      </w:r>
    </w:p>
    <w:p w14:paraId="18AD094B">
      <w:pPr>
        <w:rPr>
          <w:rFonts w:cs="宋体"/>
        </w:rPr>
      </w:pPr>
      <w:r>
        <w:rPr>
          <w:rFonts w:hint="eastAsia" w:cs="宋体"/>
        </w:rPr>
        <w:t>2.2.3 投标报价的偏差率计算</w:t>
      </w:r>
    </w:p>
    <w:p w14:paraId="4D9155FC">
      <w:pPr>
        <w:ind w:firstLine="420" w:firstLineChars="200"/>
        <w:rPr>
          <w:rFonts w:cs="宋体"/>
        </w:rPr>
      </w:pPr>
      <w:r>
        <w:rPr>
          <w:rFonts w:hint="eastAsia" w:cs="宋体"/>
        </w:rPr>
        <w:t>投标报价的偏差率计算公式：见评标办法前附表。</w:t>
      </w:r>
    </w:p>
    <w:p w14:paraId="27C58F51">
      <w:pPr>
        <w:rPr>
          <w:rFonts w:cs="宋体"/>
        </w:rPr>
      </w:pPr>
      <w:r>
        <w:rPr>
          <w:rFonts w:hint="eastAsia" w:cs="宋体"/>
        </w:rPr>
        <w:t>2.2.4 评分标准</w:t>
      </w:r>
    </w:p>
    <w:p w14:paraId="27C93E68">
      <w:pPr>
        <w:ind w:firstLine="420" w:firstLineChars="200"/>
        <w:rPr>
          <w:rFonts w:cs="宋体"/>
        </w:rPr>
      </w:pPr>
      <w:r>
        <w:rPr>
          <w:rFonts w:hint="eastAsia" w:cs="宋体"/>
        </w:rPr>
        <w:t>（1）技术标评分标准：见评标办法前附表；</w:t>
      </w:r>
    </w:p>
    <w:p w14:paraId="26AC3872">
      <w:pPr>
        <w:ind w:firstLine="420" w:firstLineChars="200"/>
        <w:rPr>
          <w:rFonts w:cs="宋体"/>
        </w:rPr>
      </w:pPr>
      <w:r>
        <w:rPr>
          <w:rFonts w:hint="eastAsia" w:cs="宋体"/>
        </w:rPr>
        <w:t>（2）资信标评分标准：见评标办法前附表；</w:t>
      </w:r>
    </w:p>
    <w:p w14:paraId="6A8EEE36">
      <w:pPr>
        <w:ind w:firstLine="420" w:firstLineChars="200"/>
        <w:rPr>
          <w:rFonts w:cs="宋体"/>
        </w:rPr>
      </w:pPr>
      <w:r>
        <w:rPr>
          <w:rFonts w:hint="eastAsia" w:cs="宋体"/>
        </w:rPr>
        <w:t>（3）商务标评分标准：见评标办法前附表；</w:t>
      </w:r>
    </w:p>
    <w:p w14:paraId="7CEC6748">
      <w:pPr>
        <w:ind w:firstLine="420" w:firstLineChars="200"/>
        <w:rPr>
          <w:rFonts w:cs="宋体"/>
        </w:rPr>
      </w:pPr>
      <w:r>
        <w:rPr>
          <w:rFonts w:hint="eastAsia" w:cs="宋体"/>
        </w:rPr>
        <w:t>（4）其他评分因素评分标准：见评标办法前附表。</w:t>
      </w:r>
    </w:p>
    <w:bookmarkEnd w:id="68"/>
    <w:p w14:paraId="171C08C5">
      <w:pPr>
        <w:pStyle w:val="25"/>
        <w:rPr>
          <w:rFonts w:ascii="宋体" w:hAnsi="宋体" w:eastAsia="宋体"/>
        </w:rPr>
      </w:pPr>
      <w:r>
        <w:rPr>
          <w:rFonts w:hint="eastAsia" w:ascii="宋体" w:hAnsi="宋体" w:eastAsia="宋体"/>
        </w:rPr>
        <w:t>3. 评标程序</w:t>
      </w:r>
    </w:p>
    <w:p w14:paraId="414BCB5C">
      <w:pPr>
        <w:pStyle w:val="27"/>
        <w:rPr>
          <w:rFonts w:eastAsia="宋体"/>
        </w:rPr>
      </w:pPr>
      <w:r>
        <w:rPr>
          <w:rFonts w:hint="eastAsia" w:eastAsia="宋体"/>
        </w:rPr>
        <w:t>3.1评标程序：见评标办法前附表。</w:t>
      </w:r>
    </w:p>
    <w:p w14:paraId="43B18400">
      <w:pPr>
        <w:pStyle w:val="27"/>
        <w:rPr>
          <w:rFonts w:eastAsia="宋体"/>
        </w:rPr>
      </w:pPr>
      <w:r>
        <w:rPr>
          <w:rFonts w:hint="eastAsia" w:eastAsia="宋体"/>
        </w:rPr>
        <w:t>3.2最高投标限价：见评标办法前附表。</w:t>
      </w:r>
    </w:p>
    <w:p w14:paraId="3E4DB737">
      <w:pPr>
        <w:ind w:firstLine="420" w:firstLineChars="200"/>
        <w:rPr>
          <w:rFonts w:cs="宋体"/>
        </w:rPr>
      </w:pPr>
      <w:r>
        <w:rPr>
          <w:rFonts w:hint="eastAsia" w:cs="宋体"/>
        </w:rPr>
        <w:t>3.3.1最高投标限价按上述方法确定后，除计算错误外，不再受其他任何因素（包括投标书评审阶段中作否决投标处理的或招标控制价编制出现重大失误或对投标报价错误进行修正等因素）的影响而改变。</w:t>
      </w:r>
    </w:p>
    <w:p w14:paraId="3D10A634">
      <w:pPr>
        <w:ind w:firstLine="420" w:firstLineChars="200"/>
        <w:rPr>
          <w:rFonts w:cs="宋体"/>
        </w:rPr>
      </w:pPr>
      <w:r>
        <w:rPr>
          <w:rFonts w:hint="eastAsia" w:cs="宋体"/>
        </w:rPr>
        <w:t>3.3.2评标区间的确定：若在评审过程中有被否决投标的,可以按报价有底到高依次递补。</w:t>
      </w:r>
    </w:p>
    <w:p w14:paraId="0DDC7503">
      <w:pPr>
        <w:pStyle w:val="27"/>
        <w:rPr>
          <w:rFonts w:eastAsia="宋体"/>
        </w:rPr>
      </w:pPr>
      <w:r>
        <w:rPr>
          <w:rFonts w:hint="eastAsia" w:eastAsia="宋体"/>
        </w:rPr>
        <w:t>3.3商务标评审</w:t>
      </w:r>
    </w:p>
    <w:p w14:paraId="4866ED9E">
      <w:pPr>
        <w:ind w:firstLine="420" w:firstLineChars="200"/>
        <w:rPr>
          <w:rFonts w:cs="宋体"/>
        </w:rPr>
      </w:pPr>
      <w:r>
        <w:rPr>
          <w:rFonts w:hint="eastAsia" w:cs="宋体"/>
        </w:rPr>
        <w:t>3.3.1因投标人原因造成投标报价发生算术错误、冒算、多报费用、少算等，累计投标报价错误绝对值总额（冒算、多报费用不得抵消缺漏费用）≥投标报价3%者，作为重大偏差判定，评标委员会应当否决其投标，错误绝对值累计＜投标报价3%则视为该项费用已分配到其它工程量报价中，对投标报价不作调整。</w:t>
      </w:r>
    </w:p>
    <w:p w14:paraId="65280E1D">
      <w:pPr>
        <w:ind w:firstLine="420" w:firstLineChars="200"/>
        <w:rPr>
          <w:rFonts w:cs="宋体"/>
        </w:rPr>
      </w:pPr>
      <w:r>
        <w:rPr>
          <w:rFonts w:hint="eastAsia" w:cs="宋体"/>
        </w:rPr>
        <w:t>3.3.2凡招标文件要求或工程造价组成应计算的费用而投标人未报，且投标文件中未阐明充分理由并提供足够证据者，均视为缺漏费用。</w:t>
      </w:r>
    </w:p>
    <w:p w14:paraId="46EB7EF0">
      <w:pPr>
        <w:ind w:firstLine="420" w:firstLineChars="200"/>
        <w:rPr>
          <w:rFonts w:cs="宋体"/>
        </w:rPr>
      </w:pPr>
      <w:r>
        <w:rPr>
          <w:rFonts w:hint="eastAsia" w:cs="宋体"/>
        </w:rPr>
        <w:t>对工程量清单漏项的计算原则是：漏项的工程量×所有有效投标人中该项综合单价最高报价后计取规费、税金等；对工程量清单变动的计算原则是：增加或减少的数量×该项综合单价后计取规费、税金等。</w:t>
      </w:r>
    </w:p>
    <w:p w14:paraId="1A7D928C">
      <w:pPr>
        <w:ind w:firstLine="420" w:firstLineChars="200"/>
        <w:rPr>
          <w:rFonts w:cs="宋体"/>
        </w:rPr>
      </w:pPr>
      <w:r>
        <w:rPr>
          <w:rFonts w:hint="eastAsia" w:cs="宋体"/>
        </w:rPr>
        <w:t>3.3.3商务标中出现以下情况时，由投标人的法定代表人或其授权委托人予以签字确认。如果投标人拒绝签字，则按投标违约对待。</w:t>
      </w:r>
    </w:p>
    <w:p w14:paraId="2D1B5B13">
      <w:pPr>
        <w:ind w:firstLine="420" w:firstLineChars="200"/>
        <w:rPr>
          <w:rFonts w:cs="宋体"/>
        </w:rPr>
      </w:pPr>
      <w:r>
        <w:rPr>
          <w:rFonts w:hint="eastAsia" w:cs="宋体"/>
        </w:rPr>
        <w:t>（1）用数字表示的数额与用文字表示的数额不一致时，以文字数额为准；</w:t>
      </w:r>
    </w:p>
    <w:p w14:paraId="6F02A6BE">
      <w:pPr>
        <w:ind w:firstLine="420" w:firstLineChars="200"/>
        <w:rPr>
          <w:rFonts w:cs="宋体"/>
        </w:rPr>
      </w:pPr>
      <w:r>
        <w:rPr>
          <w:rFonts w:hint="eastAsia" w:cs="宋体"/>
        </w:rPr>
        <w:t>（2）当单价与数量的乘积与合价不一致时，以单价为准，除非评标委员会认为单价有明显的小数点错误除外；</w:t>
      </w:r>
    </w:p>
    <w:p w14:paraId="730DE385">
      <w:pPr>
        <w:ind w:firstLine="420" w:firstLineChars="200"/>
        <w:rPr>
          <w:rFonts w:cs="宋体"/>
        </w:rPr>
      </w:pPr>
      <w:r>
        <w:rPr>
          <w:rFonts w:hint="eastAsia" w:cs="宋体"/>
        </w:rPr>
        <w:t>（3）合计累计金额与小计(合计)金额不一致的，以合计累计金额为准;</w:t>
      </w:r>
    </w:p>
    <w:p w14:paraId="26FA220A">
      <w:pPr>
        <w:ind w:firstLine="420" w:firstLineChars="200"/>
        <w:rPr>
          <w:rFonts w:cs="宋体"/>
        </w:rPr>
      </w:pPr>
      <w:r>
        <w:rPr>
          <w:rFonts w:hint="eastAsia" w:cs="宋体"/>
        </w:rPr>
        <w:t>（4）正本与副本不一致的以正本为准。</w:t>
      </w:r>
    </w:p>
    <w:p w14:paraId="647564E7">
      <w:pPr>
        <w:pStyle w:val="27"/>
        <w:rPr>
          <w:rFonts w:eastAsia="宋体"/>
        </w:rPr>
      </w:pPr>
      <w:r>
        <w:rPr>
          <w:rFonts w:hint="eastAsia" w:eastAsia="宋体"/>
        </w:rPr>
        <w:t>3.4投标人文件审查</w:t>
      </w:r>
    </w:p>
    <w:p w14:paraId="1B80CCBB">
      <w:pPr>
        <w:ind w:firstLine="420" w:firstLineChars="200"/>
        <w:rPr>
          <w:rFonts w:cs="宋体"/>
        </w:rPr>
      </w:pPr>
      <w:r>
        <w:rPr>
          <w:rFonts w:hint="eastAsia" w:cs="宋体"/>
        </w:rPr>
        <w:t>评标委员会根据评标办法前附表中规定的评审因素和评审标准，对投标人的投标文件进行形式评审、响应性评审和资格评审，评标委员会认定投标人的投标不符合评标办法前附表形式评审、响应性评审和资格评审中规定的任何一项评审标准的（投标人须知中要求提供证书、资料原件的，评审时以原件为准，未按要求提供原件的作不符合评审标准否决其投标），评标委员会应当否决其投标。</w:t>
      </w:r>
    </w:p>
    <w:p w14:paraId="19C1C8C2">
      <w:pPr>
        <w:ind w:firstLine="420" w:firstLineChars="200"/>
        <w:rPr>
          <w:rFonts w:cs="宋体"/>
        </w:rPr>
      </w:pPr>
      <w:r>
        <w:rPr>
          <w:rFonts w:hint="eastAsia" w:cs="宋体"/>
        </w:rPr>
        <w:t>投标人有符合第二章“投标人须知”第1.4.3款、第10.9款及第10.10款规定的任何一种情形的否决其投标。</w:t>
      </w:r>
    </w:p>
    <w:p w14:paraId="309B41F2">
      <w:pPr>
        <w:pStyle w:val="27"/>
        <w:rPr>
          <w:rFonts w:eastAsia="宋体"/>
        </w:rPr>
      </w:pPr>
      <w:r>
        <w:rPr>
          <w:rFonts w:hint="eastAsia" w:eastAsia="宋体"/>
        </w:rPr>
        <w:t>3.5投标文件的澄清和补正</w:t>
      </w:r>
    </w:p>
    <w:p w14:paraId="1D0010C7">
      <w:pPr>
        <w:ind w:firstLine="420" w:firstLineChars="200"/>
        <w:rPr>
          <w:rFonts w:cs="宋体"/>
        </w:rPr>
      </w:pPr>
      <w:r>
        <w:rPr>
          <w:rFonts w:hint="eastAsia" w:cs="宋体"/>
        </w:rPr>
        <w:t>3.5.1在评标过程中，评标委员会可以书面形式要求投标人对所提交的投标文件中不明确的内容进行书面澄清或说明，或者对细微偏差进行补正。评标委员会不接受投标人主动提出的澄清、说明或补正。</w:t>
      </w:r>
    </w:p>
    <w:p w14:paraId="4CF2381A">
      <w:pPr>
        <w:ind w:firstLine="420" w:firstLineChars="200"/>
        <w:rPr>
          <w:rFonts w:cs="宋体"/>
        </w:rPr>
      </w:pPr>
      <w:r>
        <w:rPr>
          <w:rFonts w:hint="eastAsia" w:cs="宋体"/>
        </w:rPr>
        <w:t>3.5.2澄清、说明和补正不得改变投标文件的实质性内容（算术性错误修正的除外）。投标人的书面澄清、说明和补正属于投标文件的组成部分。</w:t>
      </w:r>
    </w:p>
    <w:p w14:paraId="3BEAA80D">
      <w:pPr>
        <w:ind w:firstLine="420" w:firstLineChars="200"/>
        <w:rPr>
          <w:rFonts w:cs="宋体"/>
        </w:rPr>
      </w:pPr>
      <w:r>
        <w:rPr>
          <w:rFonts w:hint="eastAsia" w:cs="宋体"/>
        </w:rPr>
        <w:t>3.5.3评标委员会对投标人提交的澄清、说明或补正有疑问的，可以要求投标人进一步澄清、说明或补正，直至满足评标委员会的要求。</w:t>
      </w:r>
    </w:p>
    <w:p w14:paraId="7D8ED15C">
      <w:pPr>
        <w:ind w:firstLine="420" w:firstLineChars="200"/>
        <w:rPr>
          <w:rFonts w:cs="宋体"/>
        </w:rPr>
      </w:pPr>
      <w:r>
        <w:rPr>
          <w:rFonts w:hint="eastAsia" w:cs="宋体"/>
        </w:rPr>
        <w:t>3.5.4投标人不按评标委员会要求澄清、说明或补正的，评标委员会可否决其投标。</w:t>
      </w:r>
    </w:p>
    <w:p w14:paraId="4E8C9837">
      <w:pPr>
        <w:pStyle w:val="27"/>
        <w:rPr>
          <w:rFonts w:eastAsia="宋体"/>
        </w:rPr>
      </w:pPr>
      <w:r>
        <w:rPr>
          <w:rFonts w:hint="eastAsia" w:eastAsia="宋体"/>
        </w:rPr>
        <w:t>3.6评标结果</w:t>
      </w:r>
    </w:p>
    <w:p w14:paraId="0E32D8EF">
      <w:pPr>
        <w:ind w:firstLine="420" w:firstLineChars="200"/>
        <w:rPr>
          <w:rFonts w:cs="宋体"/>
        </w:rPr>
      </w:pPr>
      <w:r>
        <w:rPr>
          <w:rFonts w:hint="eastAsia" w:cs="宋体"/>
        </w:rPr>
        <w:t>3.6.1除第二章“投标人须知”前附表授权直接确定中标人外，评标委员会按照经评审的商务标得分由高到低的顺序推荐中标候选人。</w:t>
      </w:r>
    </w:p>
    <w:p w14:paraId="54A92718">
      <w:pPr>
        <w:ind w:firstLine="420" w:firstLineChars="200"/>
        <w:rPr>
          <w:rFonts w:cs="宋体"/>
        </w:rPr>
      </w:pPr>
      <w:r>
        <w:rPr>
          <w:rFonts w:hint="eastAsia" w:cs="宋体"/>
        </w:rPr>
        <w:t>3.6.2评标委员会完成评标后，应当向招标人提交书面评标报告。</w:t>
      </w:r>
    </w:p>
    <w:p w14:paraId="62C11A26">
      <w:pPr>
        <w:spacing w:line="288" w:lineRule="auto"/>
        <w:rPr>
          <w:rFonts w:cs="宋体"/>
        </w:rPr>
      </w:pPr>
      <w:r>
        <w:rPr>
          <w:rFonts w:hint="eastAsia" w:cs="宋体"/>
        </w:rPr>
        <w:br w:type="page"/>
      </w:r>
    </w:p>
    <w:p w14:paraId="28CFF297">
      <w:pPr>
        <w:pStyle w:val="4"/>
        <w:numPr>
          <w:ilvl w:val="0"/>
          <w:numId w:val="1"/>
        </w:numPr>
        <w:spacing w:before="0" w:after="0" w:line="288" w:lineRule="auto"/>
        <w:jc w:val="center"/>
        <w:rPr>
          <w:rFonts w:cs="宋体"/>
        </w:rPr>
      </w:pPr>
      <w:bookmarkStart w:id="69" w:name="_Toc30340"/>
      <w:bookmarkStart w:id="70" w:name="_Toc152042558"/>
      <w:bookmarkStart w:id="71" w:name="_Toc152045775"/>
      <w:bookmarkStart w:id="72" w:name="_Toc152045776"/>
      <w:bookmarkStart w:id="73" w:name="_Toc152042557"/>
      <w:bookmarkStart w:id="74" w:name="_Toc144974838"/>
      <w:bookmarkStart w:id="75" w:name="_Toc144974837"/>
      <w:r>
        <w:rPr>
          <w:rFonts w:hint="eastAsia" w:cs="宋体"/>
        </w:rPr>
        <w:t>合同条款及格式</w:t>
      </w:r>
      <w:bookmarkEnd w:id="69"/>
    </w:p>
    <w:p w14:paraId="79A91EEB">
      <w:pPr>
        <w:pStyle w:val="4"/>
        <w:keepNext w:val="0"/>
        <w:keepLines w:val="0"/>
        <w:snapToGrid w:val="0"/>
        <w:spacing w:before="0" w:after="0" w:line="360" w:lineRule="auto"/>
        <w:jc w:val="center"/>
        <w:rPr>
          <w:rFonts w:cs="宋体"/>
          <w:sz w:val="32"/>
          <w:szCs w:val="32"/>
        </w:rPr>
      </w:pPr>
      <w:bookmarkStart w:id="76" w:name="_Toc296503156"/>
      <w:bookmarkStart w:id="77" w:name="_Toc297048342"/>
      <w:bookmarkStart w:id="78" w:name="_Toc292559361"/>
      <w:bookmarkStart w:id="79" w:name="_Toc292559866"/>
      <w:bookmarkStart w:id="80" w:name="_Toc296944495"/>
      <w:bookmarkStart w:id="81" w:name="_Toc297120456"/>
      <w:bookmarkStart w:id="82" w:name="_Toc296346657"/>
      <w:bookmarkStart w:id="83" w:name="_Toc351203633"/>
      <w:bookmarkStart w:id="84" w:name="_Toc296347155"/>
      <w:bookmarkStart w:id="85" w:name="_Toc296890984"/>
      <w:bookmarkStart w:id="86" w:name="_Toc296891196"/>
      <w:r>
        <w:rPr>
          <w:rFonts w:hint="eastAsia" w:cs="宋体"/>
          <w:sz w:val="32"/>
          <w:szCs w:val="32"/>
        </w:rPr>
        <w:t>工程承包合同</w:t>
      </w:r>
    </w:p>
    <w:p w14:paraId="30F61C78">
      <w:pPr>
        <w:spacing w:line="520" w:lineRule="exact"/>
        <w:jc w:val="center"/>
        <w:rPr>
          <w:rFonts w:cs="宋体"/>
          <w:b/>
          <w:bCs/>
          <w:sz w:val="24"/>
        </w:rPr>
      </w:pPr>
    </w:p>
    <w:p w14:paraId="10B51428">
      <w:pPr>
        <w:spacing w:line="520" w:lineRule="exact"/>
        <w:rPr>
          <w:rFonts w:cs="宋体"/>
          <w:bCs/>
          <w:sz w:val="24"/>
        </w:rPr>
      </w:pPr>
      <w:r>
        <w:rPr>
          <w:rFonts w:hint="eastAsia" w:cs="宋体"/>
          <w:bCs/>
          <w:sz w:val="24"/>
        </w:rPr>
        <w:t xml:space="preserve">甲方（发包人）：                                         </w:t>
      </w:r>
    </w:p>
    <w:p w14:paraId="528712E2">
      <w:pPr>
        <w:spacing w:line="520" w:lineRule="exact"/>
        <w:rPr>
          <w:rFonts w:cs="宋体"/>
          <w:bCs/>
          <w:sz w:val="24"/>
        </w:rPr>
      </w:pPr>
      <w:r>
        <w:rPr>
          <w:rFonts w:hint="eastAsia" w:cs="宋体"/>
          <w:sz w:val="24"/>
        </w:rPr>
        <w:t>住所：</w:t>
      </w:r>
      <w:r>
        <w:rPr>
          <w:rFonts w:hint="eastAsia" w:cs="宋体"/>
          <w:bCs/>
          <w:sz w:val="24"/>
        </w:rPr>
        <w:t xml:space="preserve">                                        </w:t>
      </w:r>
    </w:p>
    <w:p w14:paraId="76907AEC">
      <w:pPr>
        <w:spacing w:line="520" w:lineRule="exact"/>
        <w:rPr>
          <w:rFonts w:cs="宋体"/>
          <w:sz w:val="24"/>
        </w:rPr>
      </w:pPr>
      <w:r>
        <w:rPr>
          <w:rFonts w:hint="eastAsia" w:cs="宋体"/>
          <w:sz w:val="24"/>
        </w:rPr>
        <w:t xml:space="preserve">联系人：            电话：              传真：        </w:t>
      </w:r>
    </w:p>
    <w:p w14:paraId="41972593">
      <w:pPr>
        <w:spacing w:line="520" w:lineRule="exact"/>
        <w:rPr>
          <w:rFonts w:cs="宋体"/>
          <w:bCs/>
          <w:sz w:val="24"/>
        </w:rPr>
      </w:pPr>
      <w:r>
        <w:rPr>
          <w:rFonts w:hint="eastAsia" w:cs="宋体"/>
          <w:bCs/>
          <w:sz w:val="24"/>
        </w:rPr>
        <w:t xml:space="preserve">乙方（承包人）：                                      </w:t>
      </w:r>
    </w:p>
    <w:p w14:paraId="3C64A2E7">
      <w:pPr>
        <w:spacing w:line="520" w:lineRule="exact"/>
        <w:rPr>
          <w:rFonts w:cs="宋体"/>
          <w:sz w:val="24"/>
        </w:rPr>
      </w:pPr>
      <w:r>
        <w:rPr>
          <w:rFonts w:hint="eastAsia" w:cs="宋体"/>
          <w:sz w:val="24"/>
        </w:rPr>
        <w:t xml:space="preserve">住所：                                  </w:t>
      </w:r>
    </w:p>
    <w:p w14:paraId="4FA437C0">
      <w:pPr>
        <w:spacing w:line="520" w:lineRule="exact"/>
        <w:rPr>
          <w:rFonts w:cs="宋体"/>
          <w:sz w:val="24"/>
        </w:rPr>
      </w:pPr>
      <w:r>
        <w:rPr>
          <w:rFonts w:hint="eastAsia" w:cs="宋体"/>
          <w:sz w:val="24"/>
        </w:rPr>
        <w:t xml:space="preserve">联系人：             电话：            传真：         </w:t>
      </w:r>
    </w:p>
    <w:p w14:paraId="0E29589E">
      <w:pPr>
        <w:snapToGrid w:val="0"/>
        <w:spacing w:line="520" w:lineRule="exact"/>
        <w:ind w:left="479" w:leftChars="228" w:firstLine="480" w:firstLineChars="200"/>
        <w:rPr>
          <w:rFonts w:cs="宋体"/>
          <w:sz w:val="24"/>
        </w:rPr>
      </w:pPr>
    </w:p>
    <w:p w14:paraId="2B2ECD31">
      <w:pPr>
        <w:spacing w:line="520" w:lineRule="exact"/>
        <w:ind w:firstLine="420" w:firstLineChars="175"/>
        <w:rPr>
          <w:rFonts w:cs="宋体"/>
          <w:sz w:val="24"/>
        </w:rPr>
      </w:pPr>
      <w:r>
        <w:rPr>
          <w:rFonts w:hint="eastAsia" w:cs="宋体"/>
          <w:sz w:val="24"/>
        </w:rPr>
        <w:t>鉴于乙方是一家符合国家相关资质要求的建筑公司，经公开招标，甲方将</w:t>
      </w:r>
      <w:r>
        <w:rPr>
          <w:rFonts w:hint="eastAsia" w:cs="宋体"/>
          <w:sz w:val="24"/>
          <w:lang w:eastAsia="zh-CN"/>
        </w:rPr>
        <w:t>温州港口服务有限公司海港大厦1幢1501室（北）办公用房装修项目</w:t>
      </w:r>
      <w:r>
        <w:rPr>
          <w:rFonts w:hint="eastAsia" w:cs="宋体"/>
          <w:sz w:val="24"/>
        </w:rPr>
        <w:t>包给乙方施工。为明确双方在施工过程中的权利、义务，根据《中华人民共和国民法典》、《中华人民共和国建筑法》等有关规定，经双方协商同意签订本合同。</w:t>
      </w:r>
    </w:p>
    <w:p w14:paraId="7F783205">
      <w:pPr>
        <w:snapToGrid w:val="0"/>
        <w:spacing w:line="520" w:lineRule="exact"/>
        <w:ind w:firstLine="482" w:firstLineChars="200"/>
        <w:rPr>
          <w:rFonts w:cs="宋体"/>
          <w:b/>
          <w:sz w:val="24"/>
        </w:rPr>
      </w:pPr>
      <w:r>
        <w:rPr>
          <w:rFonts w:hint="eastAsia" w:cs="宋体"/>
          <w:b/>
          <w:sz w:val="24"/>
        </w:rPr>
        <w:t>第一条 工程概况</w:t>
      </w:r>
    </w:p>
    <w:p w14:paraId="53847740">
      <w:pPr>
        <w:snapToGrid w:val="0"/>
        <w:spacing w:line="520" w:lineRule="exact"/>
        <w:ind w:firstLine="480" w:firstLineChars="200"/>
        <w:rPr>
          <w:rFonts w:cs="宋体"/>
          <w:sz w:val="24"/>
          <w:u w:val="single"/>
        </w:rPr>
      </w:pPr>
      <w:r>
        <w:rPr>
          <w:rFonts w:hint="eastAsia" w:cs="宋体"/>
          <w:sz w:val="24"/>
        </w:rPr>
        <w:t>1、工程名称：</w:t>
      </w:r>
      <w:r>
        <w:rPr>
          <w:rFonts w:hint="eastAsia" w:cs="宋体"/>
          <w:sz w:val="24"/>
          <w:u w:val="single"/>
        </w:rPr>
        <w:t xml:space="preserve">                 </w:t>
      </w:r>
    </w:p>
    <w:p w14:paraId="5F775509">
      <w:pPr>
        <w:snapToGrid w:val="0"/>
        <w:spacing w:line="520" w:lineRule="exact"/>
        <w:ind w:firstLine="480" w:firstLineChars="200"/>
        <w:rPr>
          <w:rFonts w:cs="宋体"/>
          <w:sz w:val="24"/>
          <w:u w:val="single"/>
        </w:rPr>
      </w:pPr>
      <w:r>
        <w:rPr>
          <w:rFonts w:hint="eastAsia" w:cs="宋体"/>
          <w:sz w:val="24"/>
        </w:rPr>
        <w:t>2、工程地点：</w:t>
      </w:r>
      <w:r>
        <w:rPr>
          <w:rFonts w:hint="eastAsia" w:cs="宋体"/>
          <w:sz w:val="24"/>
          <w:u w:val="single"/>
        </w:rPr>
        <w:t xml:space="preserve">                  </w:t>
      </w:r>
    </w:p>
    <w:p w14:paraId="77E36CD9">
      <w:pPr>
        <w:snapToGrid w:val="0"/>
        <w:spacing w:line="520" w:lineRule="exact"/>
        <w:ind w:firstLine="480" w:firstLineChars="200"/>
        <w:rPr>
          <w:rFonts w:cs="宋体"/>
          <w:sz w:val="24"/>
        </w:rPr>
      </w:pPr>
      <w:r>
        <w:rPr>
          <w:rFonts w:hint="eastAsia" w:cs="宋体"/>
          <w:sz w:val="24"/>
        </w:rPr>
        <w:t>3、工程内容</w:t>
      </w:r>
      <w:r>
        <w:rPr>
          <w:rFonts w:hint="eastAsia" w:cs="宋体"/>
          <w:sz w:val="24"/>
          <w:u w:val="single"/>
        </w:rPr>
        <w:t>：                       。</w:t>
      </w:r>
    </w:p>
    <w:p w14:paraId="53A8B26C">
      <w:pPr>
        <w:snapToGrid w:val="0"/>
        <w:spacing w:line="520" w:lineRule="exact"/>
        <w:ind w:firstLine="480" w:firstLineChars="200"/>
        <w:rPr>
          <w:rFonts w:cs="宋体"/>
          <w:snapToGrid w:val="0"/>
          <w:kern w:val="0"/>
          <w:sz w:val="24"/>
        </w:rPr>
      </w:pPr>
      <w:r>
        <w:rPr>
          <w:rFonts w:hint="eastAsia" w:cs="宋体"/>
          <w:sz w:val="24"/>
        </w:rPr>
        <w:t>4、 工程造价：合同造价暂定为人民币（大写）</w:t>
      </w:r>
      <w:r>
        <w:rPr>
          <w:rFonts w:hint="eastAsia" w:cs="宋体"/>
          <w:sz w:val="24"/>
          <w:u w:val="single"/>
        </w:rPr>
        <w:t xml:space="preserve">         元</w:t>
      </w:r>
      <w:r>
        <w:rPr>
          <w:rFonts w:hint="eastAsia" w:cs="宋体"/>
          <w:sz w:val="24"/>
        </w:rPr>
        <w:t>整，</w:t>
      </w:r>
      <w:r>
        <w:rPr>
          <w:rFonts w:hint="eastAsia" w:cs="宋体"/>
          <w:snapToGrid w:val="0"/>
          <w:kern w:val="0"/>
          <w:sz w:val="24"/>
        </w:rPr>
        <w:t>即￥</w:t>
      </w:r>
      <w:r>
        <w:rPr>
          <w:rFonts w:hint="eastAsia" w:cs="宋体"/>
          <w:snapToGrid w:val="0"/>
          <w:kern w:val="0"/>
          <w:sz w:val="24"/>
          <w:u w:val="single"/>
        </w:rPr>
        <w:t xml:space="preserve">     （含 %增值税）</w:t>
      </w:r>
      <w:r>
        <w:rPr>
          <w:rFonts w:hint="eastAsia" w:cs="宋体"/>
          <w:snapToGrid w:val="0"/>
          <w:kern w:val="0"/>
          <w:sz w:val="24"/>
        </w:rPr>
        <w:t>，详见工程量清单，待工程完工后按实结算。</w:t>
      </w:r>
    </w:p>
    <w:p w14:paraId="30892B33">
      <w:pPr>
        <w:snapToGrid w:val="0"/>
        <w:spacing w:line="520" w:lineRule="exact"/>
        <w:ind w:firstLine="482" w:firstLineChars="200"/>
        <w:rPr>
          <w:rFonts w:cs="宋体"/>
          <w:b/>
          <w:sz w:val="24"/>
        </w:rPr>
      </w:pPr>
      <w:r>
        <w:rPr>
          <w:rFonts w:hint="eastAsia" w:cs="宋体"/>
          <w:b/>
          <w:sz w:val="24"/>
        </w:rPr>
        <w:t>第二条 工程价款结算与支付</w:t>
      </w:r>
    </w:p>
    <w:p w14:paraId="6C842702">
      <w:pPr>
        <w:snapToGrid w:val="0"/>
        <w:spacing w:line="520" w:lineRule="exact"/>
        <w:ind w:firstLine="480" w:firstLineChars="200"/>
        <w:rPr>
          <w:rFonts w:cs="宋体"/>
          <w:sz w:val="24"/>
        </w:rPr>
      </w:pPr>
      <w:r>
        <w:rPr>
          <w:rFonts w:hint="eastAsia" w:cs="宋体"/>
          <w:sz w:val="24"/>
        </w:rPr>
        <w:t>1、工程承包采取以下第</w:t>
      </w:r>
      <w:r>
        <w:rPr>
          <w:rFonts w:hint="eastAsia" w:cs="宋体"/>
          <w:sz w:val="24"/>
          <w:u w:val="single"/>
        </w:rPr>
        <w:t xml:space="preserve"> （1） </w:t>
      </w:r>
      <w:r>
        <w:rPr>
          <w:rFonts w:hint="eastAsia" w:cs="宋体"/>
          <w:sz w:val="24"/>
        </w:rPr>
        <w:t>种方式：</w:t>
      </w:r>
    </w:p>
    <w:p w14:paraId="2931D1ED">
      <w:pPr>
        <w:snapToGrid w:val="0"/>
        <w:spacing w:line="520" w:lineRule="exact"/>
        <w:ind w:firstLine="480" w:firstLineChars="200"/>
        <w:rPr>
          <w:rFonts w:cs="宋体"/>
          <w:sz w:val="24"/>
        </w:rPr>
      </w:pPr>
      <w:r>
        <w:rPr>
          <w:rFonts w:hint="eastAsia" w:cs="宋体"/>
          <w:sz w:val="24"/>
        </w:rPr>
        <w:t>（1）包工包料；</w:t>
      </w:r>
    </w:p>
    <w:p w14:paraId="1E37BB51">
      <w:pPr>
        <w:snapToGrid w:val="0"/>
        <w:spacing w:line="520" w:lineRule="exact"/>
        <w:ind w:firstLine="480" w:firstLineChars="200"/>
        <w:rPr>
          <w:rFonts w:cs="宋体"/>
          <w:sz w:val="24"/>
        </w:rPr>
      </w:pPr>
      <w:r>
        <w:rPr>
          <w:rFonts w:hint="eastAsia" w:cs="宋体"/>
          <w:sz w:val="24"/>
        </w:rPr>
        <w:t>（2）包工不包料；</w:t>
      </w:r>
    </w:p>
    <w:p w14:paraId="0BBCAECA">
      <w:pPr>
        <w:snapToGrid w:val="0"/>
        <w:spacing w:line="520" w:lineRule="exact"/>
        <w:ind w:firstLine="480" w:firstLineChars="200"/>
        <w:rPr>
          <w:rFonts w:cs="宋体"/>
          <w:sz w:val="24"/>
        </w:rPr>
      </w:pPr>
      <w:r>
        <w:rPr>
          <w:rFonts w:hint="eastAsia" w:cs="宋体"/>
          <w:sz w:val="24"/>
        </w:rPr>
        <w:t>（3）包工包部分材料。</w:t>
      </w:r>
    </w:p>
    <w:p w14:paraId="2076AE61">
      <w:pPr>
        <w:snapToGrid w:val="0"/>
        <w:spacing w:line="520" w:lineRule="exact"/>
        <w:ind w:firstLine="480" w:firstLineChars="200"/>
        <w:rPr>
          <w:rFonts w:cs="宋体"/>
          <w:kern w:val="0"/>
          <w:sz w:val="24"/>
        </w:rPr>
      </w:pPr>
      <w:r>
        <w:rPr>
          <w:rFonts w:hint="eastAsia" w:cs="宋体"/>
          <w:sz w:val="24"/>
        </w:rPr>
        <w:t>2、</w:t>
      </w:r>
      <w:r>
        <w:rPr>
          <w:rFonts w:hint="eastAsia" w:cs="宋体"/>
          <w:kern w:val="0"/>
          <w:sz w:val="24"/>
        </w:rPr>
        <w:t>工程结算</w:t>
      </w:r>
    </w:p>
    <w:p w14:paraId="25D4EB16">
      <w:pPr>
        <w:snapToGrid w:val="0"/>
        <w:spacing w:line="520" w:lineRule="exact"/>
        <w:ind w:firstLine="480"/>
        <w:rPr>
          <w:rFonts w:cs="宋体"/>
          <w:kern w:val="0"/>
          <w:sz w:val="24"/>
        </w:rPr>
      </w:pPr>
      <w:r>
        <w:rPr>
          <w:rFonts w:hint="eastAsia" w:cs="宋体"/>
          <w:kern w:val="0"/>
          <w:sz w:val="24"/>
        </w:rPr>
        <w:t>2.1本合同采用</w:t>
      </w:r>
      <w:r>
        <w:rPr>
          <w:rFonts w:hint="eastAsia" w:cs="宋体"/>
          <w:b/>
          <w:bCs/>
          <w:kern w:val="0"/>
          <w:sz w:val="24"/>
        </w:rPr>
        <w:t>固定综合单价</w:t>
      </w:r>
      <w:r>
        <w:rPr>
          <w:rFonts w:hint="eastAsia" w:cs="宋体"/>
          <w:kern w:val="0"/>
          <w:sz w:val="24"/>
        </w:rPr>
        <w:t>方式，以工程量清单作为投标报价及工程结算的依据。中标后工程量经甲方审批可按实计算、调整，</w:t>
      </w:r>
      <w:r>
        <w:rPr>
          <w:rFonts w:hint="eastAsia" w:cs="宋体"/>
          <w:b/>
          <w:kern w:val="0"/>
          <w:sz w:val="24"/>
        </w:rPr>
        <w:t>但中标单位所报的投标综合单价不因市场价格(包括但不限于人工、材料、设备等)波动、法律政策变化等变化而调整</w:t>
      </w:r>
      <w:r>
        <w:rPr>
          <w:rFonts w:hint="eastAsia" w:cs="宋体"/>
          <w:kern w:val="0"/>
          <w:sz w:val="24"/>
        </w:rPr>
        <w:t>。</w:t>
      </w:r>
    </w:p>
    <w:p w14:paraId="7B3D180E">
      <w:pPr>
        <w:snapToGrid w:val="0"/>
        <w:spacing w:line="520" w:lineRule="exact"/>
        <w:ind w:firstLine="480" w:firstLineChars="200"/>
        <w:rPr>
          <w:rFonts w:cs="宋体"/>
          <w:sz w:val="24"/>
        </w:rPr>
      </w:pPr>
      <w:r>
        <w:rPr>
          <w:rFonts w:hint="eastAsia" w:cs="宋体"/>
          <w:kern w:val="0"/>
          <w:sz w:val="24"/>
        </w:rPr>
        <w:t>2.2产生其他单列项目、小项目和零星工程时，结算时有定额可套的按《建设工程工程量清单计价规范》（GB50500-2013版）、《浙江省建设工程计价规则》（2018版）、《浙江省房屋建筑与装饰工程预算定额》（2018版）、《浙江省建设工程施工费用定额》（2018版）、《浙江省施工机械台班费用参考单价》（2018版）套用，按《</w:t>
      </w:r>
      <w:r>
        <w:rPr>
          <w:rFonts w:hint="eastAsia" w:cs="宋体"/>
          <w:kern w:val="0"/>
          <w:sz w:val="24"/>
          <w:u w:val="single"/>
        </w:rPr>
        <w:t>浙江省</w:t>
      </w:r>
      <w:r>
        <w:rPr>
          <w:rFonts w:hint="eastAsia" w:cs="宋体"/>
          <w:kern w:val="0"/>
          <w:sz w:val="24"/>
        </w:rPr>
        <w:t>建设工程施工取费定额（</w:t>
      </w:r>
      <w:r>
        <w:rPr>
          <w:rFonts w:hint="eastAsia" w:cs="宋体"/>
          <w:kern w:val="0"/>
          <w:sz w:val="24"/>
          <w:u w:val="single"/>
        </w:rPr>
        <w:t>2018</w:t>
      </w:r>
      <w:r>
        <w:rPr>
          <w:rFonts w:hint="eastAsia" w:cs="宋体"/>
          <w:kern w:val="0"/>
          <w:sz w:val="24"/>
        </w:rPr>
        <w:t>版）》取费（装饰、安装均按三类中间值取费）。</w:t>
      </w:r>
      <w:r>
        <w:rPr>
          <w:rFonts w:hint="eastAsia" w:cs="宋体"/>
          <w:sz w:val="24"/>
        </w:rPr>
        <w:t>工程量按实结算。在施工过程中，甲方若需要增加预算以外的工作内容，以双方确认的工程联系单为准，并作为结算调整的依据。</w:t>
      </w:r>
    </w:p>
    <w:p w14:paraId="387EC01C">
      <w:pPr>
        <w:snapToGrid w:val="0"/>
        <w:spacing w:line="520" w:lineRule="exact"/>
        <w:ind w:firstLine="480" w:firstLineChars="200"/>
        <w:rPr>
          <w:rFonts w:cs="宋体"/>
          <w:sz w:val="24"/>
        </w:rPr>
      </w:pPr>
      <w:r>
        <w:rPr>
          <w:rFonts w:hint="eastAsia" w:cs="宋体"/>
          <w:sz w:val="24"/>
        </w:rPr>
        <w:t>3、乙方提供履约担保的形式、金额及期限：在签订合同前，乙方须提交履约担保（银行转账），金额为合同价的2%。担保期限自提供担保之日起至工程验收合格之日止，不管因何种原因导致工期延长，所需费用由乙方承担。如乙方有违约，甲方有权从履约担保中扣除违约金、赔偿金（如有）。若乙方的违约金、赔偿金金额超过履约担保的金额，乙方应在甲方执行履约担保后15日内及时补足，否则甲方有权从拟支付的工程款中扣除以补足履约担保金额。</w:t>
      </w:r>
    </w:p>
    <w:p w14:paraId="7AA4CF67">
      <w:pPr>
        <w:snapToGrid w:val="0"/>
        <w:spacing w:line="520" w:lineRule="exact"/>
        <w:ind w:firstLine="480" w:firstLineChars="200"/>
        <w:rPr>
          <w:rFonts w:cs="宋体"/>
          <w:b/>
          <w:sz w:val="24"/>
        </w:rPr>
      </w:pPr>
      <w:r>
        <w:rPr>
          <w:rFonts w:hint="eastAsia" w:cs="宋体"/>
          <w:sz w:val="24"/>
        </w:rPr>
        <w:t>4、工程款支付方式：</w:t>
      </w:r>
      <w:r>
        <w:rPr>
          <w:rFonts w:hint="eastAsia" w:cs="宋体"/>
          <w:b/>
          <w:sz w:val="24"/>
        </w:rPr>
        <w:t xml:space="preserve">（1）经甲方验收合格并提交全部施工资料后且收到增值税专用发票之日起30日历天内，支付至合同价款的85%。（2）工程结算价款由甲方委托第三方结算审核，审定后 </w:t>
      </w:r>
      <w:r>
        <w:rPr>
          <w:rFonts w:hint="eastAsia" w:cs="宋体"/>
          <w:b/>
          <w:sz w:val="24"/>
          <w:u w:val="single"/>
        </w:rPr>
        <w:t>15</w:t>
      </w:r>
      <w:r>
        <w:rPr>
          <w:rFonts w:hint="eastAsia" w:cs="宋体"/>
          <w:b/>
          <w:sz w:val="24"/>
        </w:rPr>
        <w:t>日内，支付至结算价（含预付款）的98.5%，余款1.5%作为工程质量保证金，待工程质量缺陷责任期满且无质量问题后15天内无息退还。</w:t>
      </w:r>
    </w:p>
    <w:p w14:paraId="790D608B">
      <w:pPr>
        <w:snapToGrid w:val="0"/>
        <w:spacing w:line="520" w:lineRule="exact"/>
        <w:ind w:firstLine="482" w:firstLineChars="200"/>
        <w:rPr>
          <w:rFonts w:cs="宋体"/>
          <w:sz w:val="24"/>
        </w:rPr>
      </w:pPr>
      <w:r>
        <w:rPr>
          <w:rFonts w:hint="eastAsia" w:cs="宋体"/>
          <w:b/>
          <w:sz w:val="24"/>
        </w:rPr>
        <w:t>在甲方付款前，乙方应向甲方提供税率为_____的增值税专用发票（如有国家税务政策调整，按除税价不变原则依照国家税务政策调整），否则甲方有权暂停支付。</w:t>
      </w:r>
    </w:p>
    <w:p w14:paraId="07AEE686">
      <w:pPr>
        <w:snapToGrid w:val="0"/>
        <w:spacing w:line="520" w:lineRule="exact"/>
        <w:ind w:firstLine="482" w:firstLineChars="200"/>
        <w:rPr>
          <w:rFonts w:cs="宋体"/>
          <w:b/>
          <w:sz w:val="24"/>
        </w:rPr>
      </w:pPr>
      <w:r>
        <w:rPr>
          <w:rFonts w:hint="eastAsia" w:cs="宋体"/>
          <w:b/>
          <w:sz w:val="24"/>
        </w:rPr>
        <w:t>第三条 工期</w:t>
      </w:r>
      <w:r>
        <w:rPr>
          <w:rFonts w:hint="eastAsia" w:cs="宋体"/>
          <w:b/>
          <w:sz w:val="24"/>
        </w:rPr>
        <w:tab/>
      </w:r>
    </w:p>
    <w:p w14:paraId="242EAC04">
      <w:pPr>
        <w:spacing w:line="520" w:lineRule="exact"/>
        <w:ind w:firstLine="480" w:firstLineChars="200"/>
        <w:rPr>
          <w:rFonts w:cs="宋体"/>
          <w:sz w:val="24"/>
          <w:u w:val="single"/>
        </w:rPr>
      </w:pPr>
      <w:r>
        <w:rPr>
          <w:rFonts w:hint="eastAsia" w:cs="宋体"/>
          <w:sz w:val="24"/>
        </w:rPr>
        <w:t>1、计划开工日期：</w:t>
      </w:r>
      <w:r>
        <w:rPr>
          <w:rFonts w:hint="eastAsia" w:cs="宋体"/>
          <w:sz w:val="24"/>
          <w:u w:val="single"/>
        </w:rPr>
        <w:t></w:t>
      </w:r>
      <w:r>
        <w:rPr>
          <w:rFonts w:hint="eastAsia" w:cs="宋体"/>
          <w:sz w:val="24"/>
        </w:rPr>
        <w:t>年</w:t>
      </w:r>
      <w:r>
        <w:rPr>
          <w:rFonts w:hint="eastAsia" w:cs="宋体"/>
          <w:sz w:val="24"/>
          <w:u w:val="single"/>
        </w:rPr>
        <w:t></w:t>
      </w:r>
      <w:r>
        <w:rPr>
          <w:rFonts w:hint="eastAsia" w:cs="宋体"/>
          <w:sz w:val="24"/>
        </w:rPr>
        <w:t>月</w:t>
      </w:r>
      <w:r>
        <w:rPr>
          <w:rFonts w:hint="eastAsia" w:cs="宋体"/>
          <w:sz w:val="24"/>
          <w:u w:val="single"/>
        </w:rPr>
        <w:t></w:t>
      </w:r>
      <w:r>
        <w:rPr>
          <w:rFonts w:hint="eastAsia" w:cs="宋体"/>
          <w:sz w:val="24"/>
        </w:rPr>
        <w:t>日，具体日期以开工</w:t>
      </w:r>
      <w:r>
        <w:rPr>
          <w:rFonts w:hint="eastAsia" w:cs="宋体"/>
          <w:sz w:val="24"/>
          <w:lang w:val="en-US" w:eastAsia="zh-CN"/>
        </w:rPr>
        <w:t>令</w:t>
      </w:r>
      <w:r>
        <w:rPr>
          <w:rFonts w:hint="eastAsia" w:cs="宋体"/>
          <w:sz w:val="24"/>
        </w:rPr>
        <w:t>为准。</w:t>
      </w:r>
    </w:p>
    <w:p w14:paraId="6E09629C">
      <w:pPr>
        <w:spacing w:line="520" w:lineRule="exact"/>
        <w:ind w:firstLine="480" w:firstLineChars="200"/>
        <w:rPr>
          <w:rFonts w:cs="宋体"/>
          <w:sz w:val="24"/>
          <w:u w:val="single"/>
        </w:rPr>
      </w:pPr>
      <w:r>
        <w:rPr>
          <w:rFonts w:hint="eastAsia" w:cs="宋体"/>
          <w:sz w:val="24"/>
        </w:rPr>
        <w:t>2、计划交工日期：</w:t>
      </w:r>
      <w:r>
        <w:rPr>
          <w:rFonts w:hint="eastAsia" w:cs="宋体"/>
          <w:sz w:val="24"/>
          <w:u w:val="single"/>
        </w:rPr>
        <w:t></w:t>
      </w:r>
      <w:r>
        <w:rPr>
          <w:rFonts w:hint="eastAsia" w:cs="宋体"/>
          <w:sz w:val="24"/>
        </w:rPr>
        <w:t>年</w:t>
      </w:r>
      <w:r>
        <w:rPr>
          <w:rFonts w:hint="eastAsia" w:cs="宋体"/>
          <w:sz w:val="24"/>
          <w:u w:val="single"/>
        </w:rPr>
        <w:t></w:t>
      </w:r>
      <w:r>
        <w:rPr>
          <w:rFonts w:hint="eastAsia" w:cs="宋体"/>
          <w:sz w:val="24"/>
        </w:rPr>
        <w:t>月</w:t>
      </w:r>
      <w:r>
        <w:rPr>
          <w:rFonts w:hint="eastAsia" w:cs="宋体"/>
          <w:sz w:val="24"/>
          <w:u w:val="single"/>
        </w:rPr>
        <w:t></w:t>
      </w:r>
      <w:r>
        <w:rPr>
          <w:rFonts w:hint="eastAsia" w:cs="宋体"/>
          <w:sz w:val="24"/>
        </w:rPr>
        <w:t>日，具体日期以</w:t>
      </w:r>
      <w:bookmarkStart w:id="87" w:name="OLE_LINK3"/>
      <w:r>
        <w:rPr>
          <w:rFonts w:hint="eastAsia" w:cs="宋体"/>
          <w:sz w:val="24"/>
        </w:rPr>
        <w:t>交工报告</w:t>
      </w:r>
      <w:bookmarkEnd w:id="87"/>
      <w:r>
        <w:rPr>
          <w:rFonts w:hint="eastAsia" w:cs="宋体"/>
          <w:sz w:val="24"/>
        </w:rPr>
        <w:t>为准。</w:t>
      </w:r>
    </w:p>
    <w:p w14:paraId="38D6C377">
      <w:pPr>
        <w:spacing w:line="520" w:lineRule="exact"/>
        <w:ind w:firstLine="480" w:firstLineChars="200"/>
        <w:rPr>
          <w:rFonts w:cs="宋体"/>
          <w:sz w:val="24"/>
        </w:rPr>
      </w:pPr>
      <w:r>
        <w:rPr>
          <w:rFonts w:hint="eastAsia" w:cs="宋体"/>
          <w:sz w:val="24"/>
        </w:rPr>
        <w:t>3、工期总日历天数：</w:t>
      </w:r>
      <w:r>
        <w:rPr>
          <w:rFonts w:hint="eastAsia" w:cs="宋体"/>
          <w:sz w:val="24"/>
          <w:u w:val="single"/>
        </w:rPr>
        <w:t>50</w:t>
      </w:r>
      <w:r>
        <w:rPr>
          <w:rFonts w:hint="eastAsia" w:cs="宋体"/>
          <w:sz w:val="24"/>
        </w:rPr>
        <w:t>，接甲方开工令计算工期。工期总日历天数与根据前述计划开交工日期计算的工期天数不一致的，以工期总日历天数为准。除甲方书面确认顺延工期的情况外，其它任何情况均不予顺延工期。</w:t>
      </w:r>
    </w:p>
    <w:p w14:paraId="723CFBB0">
      <w:pPr>
        <w:snapToGrid w:val="0"/>
        <w:spacing w:line="520" w:lineRule="exact"/>
        <w:ind w:firstLine="482" w:firstLineChars="200"/>
        <w:rPr>
          <w:rFonts w:cs="宋体"/>
          <w:b/>
          <w:sz w:val="24"/>
        </w:rPr>
      </w:pPr>
      <w:r>
        <w:rPr>
          <w:rFonts w:hint="eastAsia" w:cs="宋体"/>
          <w:b/>
          <w:sz w:val="24"/>
        </w:rPr>
        <w:t>第四条 物资供应</w:t>
      </w:r>
    </w:p>
    <w:p w14:paraId="47D747A9">
      <w:pPr>
        <w:snapToGrid w:val="0"/>
        <w:spacing w:line="520" w:lineRule="exact"/>
        <w:ind w:firstLine="480" w:firstLineChars="200"/>
        <w:rPr>
          <w:rFonts w:cs="宋体"/>
          <w:sz w:val="24"/>
        </w:rPr>
      </w:pPr>
      <w:r>
        <w:rPr>
          <w:rFonts w:hint="eastAsia" w:cs="宋体"/>
          <w:sz w:val="24"/>
        </w:rPr>
        <w:t xml:space="preserve"> 1、本合同全部工程所需材料按下列第</w:t>
      </w:r>
      <w:r>
        <w:rPr>
          <w:rFonts w:hint="eastAsia" w:cs="宋体"/>
          <w:sz w:val="24"/>
          <w:u w:val="single"/>
        </w:rPr>
        <w:t xml:space="preserve"> （1） </w:t>
      </w:r>
      <w:r>
        <w:rPr>
          <w:rFonts w:hint="eastAsia" w:cs="宋体"/>
          <w:sz w:val="24"/>
        </w:rPr>
        <w:t>方式办理：</w:t>
      </w:r>
    </w:p>
    <w:p w14:paraId="72EB8EE5">
      <w:pPr>
        <w:numPr>
          <w:ilvl w:val="0"/>
          <w:numId w:val="4"/>
        </w:numPr>
        <w:snapToGrid w:val="0"/>
        <w:spacing w:line="520" w:lineRule="exact"/>
        <w:ind w:firstLine="480" w:firstLineChars="200"/>
        <w:rPr>
          <w:rFonts w:cs="宋体"/>
          <w:sz w:val="24"/>
        </w:rPr>
      </w:pPr>
      <w:r>
        <w:rPr>
          <w:rFonts w:hint="eastAsia" w:cs="宋体"/>
          <w:sz w:val="24"/>
        </w:rPr>
        <w:t>本项目所有材料由乙方按项目提供；</w:t>
      </w:r>
    </w:p>
    <w:p w14:paraId="17D32375">
      <w:pPr>
        <w:numPr>
          <w:ilvl w:val="0"/>
          <w:numId w:val="4"/>
        </w:numPr>
        <w:snapToGrid w:val="0"/>
        <w:spacing w:line="520" w:lineRule="exact"/>
        <w:ind w:firstLine="480" w:firstLineChars="200"/>
        <w:rPr>
          <w:rFonts w:cs="宋体"/>
          <w:sz w:val="24"/>
        </w:rPr>
      </w:pPr>
      <w:r>
        <w:rPr>
          <w:rFonts w:hint="eastAsia" w:cs="宋体"/>
          <w:sz w:val="24"/>
        </w:rPr>
        <w:t>本项目所有材料由甲方按项目提供；</w:t>
      </w:r>
    </w:p>
    <w:p w14:paraId="17178A68">
      <w:pPr>
        <w:numPr>
          <w:ilvl w:val="0"/>
          <w:numId w:val="5"/>
        </w:numPr>
        <w:snapToGrid w:val="0"/>
        <w:spacing w:line="520" w:lineRule="exact"/>
        <w:ind w:firstLine="480" w:firstLineChars="200"/>
        <w:rPr>
          <w:rFonts w:cs="宋体"/>
          <w:sz w:val="24"/>
        </w:rPr>
      </w:pPr>
      <w:r>
        <w:rPr>
          <w:rFonts w:hint="eastAsia" w:cs="宋体"/>
          <w:sz w:val="24"/>
        </w:rPr>
        <w:t>材料价格的确定：材料的价格以投标文件中的综合单价为准。</w:t>
      </w:r>
    </w:p>
    <w:p w14:paraId="0EC9B012">
      <w:pPr>
        <w:numPr>
          <w:ilvl w:val="0"/>
          <w:numId w:val="5"/>
        </w:numPr>
        <w:snapToGrid w:val="0"/>
        <w:spacing w:line="520" w:lineRule="exact"/>
        <w:ind w:firstLine="480" w:firstLineChars="200"/>
        <w:rPr>
          <w:rFonts w:cs="宋体"/>
          <w:sz w:val="24"/>
        </w:rPr>
      </w:pPr>
      <w:r>
        <w:rPr>
          <w:rFonts w:hint="eastAsia" w:cs="宋体"/>
          <w:sz w:val="24"/>
        </w:rPr>
        <w:t>所有材料、设备进场程序、质量均应符合国家有关施工规范的规定。对不符合约定的产品不得使用，乙方应当重新采购符合要求的产品，并承担由此发生的全部费用，工期不予顺延。</w:t>
      </w:r>
    </w:p>
    <w:p w14:paraId="42DA91BC">
      <w:pPr>
        <w:snapToGrid w:val="0"/>
        <w:spacing w:line="520" w:lineRule="exact"/>
        <w:ind w:firstLine="482" w:firstLineChars="200"/>
        <w:rPr>
          <w:rFonts w:cs="宋体"/>
          <w:b/>
          <w:bCs/>
          <w:sz w:val="24"/>
        </w:rPr>
      </w:pPr>
      <w:r>
        <w:rPr>
          <w:rFonts w:hint="eastAsia" w:cs="宋体"/>
          <w:b/>
          <w:bCs/>
          <w:sz w:val="24"/>
        </w:rPr>
        <w:t>第五条 工程质量</w:t>
      </w:r>
    </w:p>
    <w:p w14:paraId="24FA81AB">
      <w:pPr>
        <w:snapToGrid w:val="0"/>
        <w:spacing w:line="520" w:lineRule="exact"/>
        <w:ind w:firstLine="480" w:firstLineChars="200"/>
        <w:rPr>
          <w:rFonts w:cs="宋体"/>
          <w:sz w:val="24"/>
        </w:rPr>
      </w:pPr>
      <w:r>
        <w:rPr>
          <w:rFonts w:hint="eastAsia" w:cs="宋体"/>
          <w:sz w:val="24"/>
        </w:rPr>
        <w:t>本工程质量标准必须符合现行国家有关工程施工质量验收规范和标准的要求。</w:t>
      </w:r>
    </w:p>
    <w:p w14:paraId="7847A20B">
      <w:pPr>
        <w:snapToGrid w:val="0"/>
        <w:spacing w:line="520" w:lineRule="exact"/>
        <w:ind w:firstLine="482" w:firstLineChars="200"/>
        <w:rPr>
          <w:rFonts w:cs="宋体"/>
          <w:b/>
          <w:sz w:val="24"/>
        </w:rPr>
      </w:pPr>
      <w:r>
        <w:rPr>
          <w:rFonts w:hint="eastAsia" w:cs="宋体"/>
          <w:b/>
          <w:sz w:val="24"/>
        </w:rPr>
        <w:t>第六条 施工前准备</w:t>
      </w:r>
    </w:p>
    <w:p w14:paraId="1E851E54">
      <w:pPr>
        <w:snapToGrid w:val="0"/>
        <w:spacing w:line="520" w:lineRule="exact"/>
        <w:ind w:firstLine="480" w:firstLineChars="200"/>
        <w:rPr>
          <w:rFonts w:cs="宋体"/>
          <w:sz w:val="24"/>
        </w:rPr>
      </w:pPr>
      <w:r>
        <w:rPr>
          <w:rFonts w:hint="eastAsia" w:cs="宋体"/>
          <w:sz w:val="24"/>
        </w:rPr>
        <w:t>1、乙方应及时编制施工组织设计和施工方案、施工预算、施工进度计划送甲方。</w:t>
      </w:r>
    </w:p>
    <w:p w14:paraId="7ABC7772">
      <w:pPr>
        <w:snapToGrid w:val="0"/>
        <w:spacing w:line="520" w:lineRule="exact"/>
        <w:ind w:firstLine="480" w:firstLineChars="200"/>
        <w:rPr>
          <w:rFonts w:cs="宋体"/>
          <w:sz w:val="24"/>
        </w:rPr>
      </w:pPr>
      <w:r>
        <w:rPr>
          <w:rFonts w:hint="eastAsia" w:cs="宋体"/>
          <w:sz w:val="24"/>
        </w:rPr>
        <w:t>2、甲方负责接通施工现场“三通一平”。</w:t>
      </w:r>
    </w:p>
    <w:p w14:paraId="00F34F72">
      <w:pPr>
        <w:snapToGrid w:val="0"/>
        <w:spacing w:line="520" w:lineRule="exact"/>
        <w:ind w:firstLine="480" w:firstLineChars="200"/>
        <w:rPr>
          <w:rFonts w:cs="宋体"/>
          <w:sz w:val="24"/>
        </w:rPr>
      </w:pPr>
      <w:r>
        <w:rPr>
          <w:rFonts w:hint="eastAsia" w:cs="宋体"/>
          <w:sz w:val="24"/>
        </w:rPr>
        <w:t>3、乙方负责施工区域的临时道路、临时设施、水电管线铺设管理。</w:t>
      </w:r>
    </w:p>
    <w:p w14:paraId="65664399">
      <w:pPr>
        <w:snapToGrid w:val="0"/>
        <w:spacing w:line="520" w:lineRule="exact"/>
        <w:ind w:firstLine="480" w:firstLineChars="200"/>
        <w:rPr>
          <w:rFonts w:cs="宋体"/>
          <w:sz w:val="24"/>
        </w:rPr>
      </w:pPr>
      <w:r>
        <w:rPr>
          <w:rFonts w:hint="eastAsia" w:cs="宋体"/>
          <w:sz w:val="24"/>
        </w:rPr>
        <w:t>4、本合同签订后</w:t>
      </w:r>
      <w:r>
        <w:rPr>
          <w:rFonts w:cs="宋体"/>
          <w:sz w:val="24"/>
          <w:u w:val="single"/>
        </w:rPr>
        <w:t>7</w:t>
      </w:r>
      <w:r>
        <w:rPr>
          <w:rFonts w:hint="eastAsia" w:cs="宋体"/>
          <w:sz w:val="24"/>
        </w:rPr>
        <w:t>天内，乙方应为其现场全部施工人员投保合同工期内的团体人身意外伤害保险，保证其施工人员在施工期间受到意外伤害事故时能得到全额赔偿或补偿；不管因何种原因导致实际施工期超过保险期的，乙方应向保险公司另办续保手续，费用由乙方自负。如乙方</w:t>
      </w:r>
      <w:r>
        <w:rPr>
          <w:rFonts w:hint="eastAsia" w:cs="宋体"/>
          <w:b/>
          <w:sz w:val="24"/>
        </w:rPr>
        <w:t>未办投保、续保手续或投保人员与伤亡人员不符时，一切后果及赔偿责任由乙方自负，与甲方无涉</w:t>
      </w:r>
      <w:r>
        <w:rPr>
          <w:rFonts w:hint="eastAsia" w:cs="宋体"/>
          <w:sz w:val="24"/>
        </w:rPr>
        <w:t>。如甲方因此垫付相关费用的，有权向乙方追偿。</w:t>
      </w:r>
    </w:p>
    <w:p w14:paraId="6D476D5E">
      <w:pPr>
        <w:snapToGrid w:val="0"/>
        <w:spacing w:line="520" w:lineRule="exact"/>
        <w:ind w:firstLine="480" w:firstLineChars="200"/>
        <w:rPr>
          <w:rFonts w:cs="宋体"/>
          <w:sz w:val="24"/>
        </w:rPr>
      </w:pPr>
      <w:r>
        <w:rPr>
          <w:rFonts w:hint="eastAsia" w:cs="宋体"/>
          <w:sz w:val="24"/>
        </w:rPr>
        <w:t>5、乙方应将施工人员投保凭证复印件交由甲方存档。</w:t>
      </w:r>
      <w:r>
        <w:rPr>
          <w:rFonts w:hint="eastAsia" w:cs="宋体"/>
          <w:b/>
          <w:sz w:val="24"/>
        </w:rPr>
        <w:t>如乙方违约不投保或未续保或遗漏投保，造成乙方受到意外伤害事故人员不能得到保险赔偿或补偿，引发受伤害家属干扰甲方生产、办公等秩序的，甲方有权解除本合同，同时乙方应承担合同金额</w:t>
      </w:r>
      <w:r>
        <w:rPr>
          <w:rFonts w:hint="eastAsia" w:cs="宋体"/>
          <w:b/>
          <w:sz w:val="24"/>
          <w:u w:val="single"/>
        </w:rPr>
        <w:t>10</w:t>
      </w:r>
      <w:r>
        <w:rPr>
          <w:rFonts w:hint="eastAsia" w:cs="宋体"/>
          <w:b/>
          <w:sz w:val="24"/>
        </w:rPr>
        <w:t>%的违约金，违约金不能弥补甲方损失的，乙方还应当按甲方实际损失赔偿。</w:t>
      </w:r>
    </w:p>
    <w:p w14:paraId="5F98D729">
      <w:pPr>
        <w:snapToGrid w:val="0"/>
        <w:spacing w:line="520" w:lineRule="exact"/>
        <w:ind w:firstLine="482" w:firstLineChars="200"/>
        <w:rPr>
          <w:rFonts w:cs="宋体"/>
          <w:b/>
          <w:bCs/>
          <w:sz w:val="24"/>
        </w:rPr>
      </w:pPr>
      <w:r>
        <w:rPr>
          <w:rFonts w:hint="eastAsia" w:cs="宋体"/>
          <w:b/>
          <w:bCs/>
          <w:sz w:val="24"/>
        </w:rPr>
        <w:t>第七条 施工要求</w:t>
      </w:r>
    </w:p>
    <w:p w14:paraId="1678B268">
      <w:pPr>
        <w:snapToGrid w:val="0"/>
        <w:spacing w:line="520" w:lineRule="exact"/>
        <w:ind w:firstLine="480" w:firstLineChars="200"/>
        <w:rPr>
          <w:rFonts w:cs="宋体"/>
          <w:sz w:val="24"/>
        </w:rPr>
      </w:pPr>
      <w:r>
        <w:rPr>
          <w:rFonts w:hint="eastAsia" w:cs="宋体"/>
          <w:sz w:val="24"/>
        </w:rPr>
        <w:t>1、乙方必须保证施工质量，因乙方原因造成工程质量未达到国家有关施工质量验收规范、标准或甲方要求的，</w:t>
      </w:r>
      <w:r>
        <w:rPr>
          <w:rFonts w:hint="eastAsia" w:cs="宋体"/>
          <w:b/>
          <w:sz w:val="24"/>
        </w:rPr>
        <w:t>甲方有权要求乙方无条件返工直至工程质量达标为止，并由乙方承担由此增加的费用和（或）延误的工期</w:t>
      </w:r>
      <w:r>
        <w:rPr>
          <w:rFonts w:hint="eastAsia" w:cs="宋体"/>
          <w:sz w:val="24"/>
        </w:rPr>
        <w:t>。</w:t>
      </w:r>
    </w:p>
    <w:p w14:paraId="1287C88C">
      <w:pPr>
        <w:snapToGrid w:val="0"/>
        <w:spacing w:line="520" w:lineRule="exact"/>
        <w:ind w:firstLine="480" w:firstLineChars="200"/>
        <w:rPr>
          <w:rFonts w:cs="宋体"/>
          <w:sz w:val="24"/>
        </w:rPr>
      </w:pPr>
      <w:r>
        <w:rPr>
          <w:rFonts w:hint="eastAsia" w:cs="宋体"/>
          <w:sz w:val="24"/>
        </w:rPr>
        <w:t>2、乙方上道工序结束，经甲方验收合格后，方能进入下一道工序的施工；</w:t>
      </w:r>
      <w:r>
        <w:rPr>
          <w:rFonts w:hint="eastAsia" w:cs="宋体"/>
          <w:b/>
          <w:sz w:val="24"/>
        </w:rPr>
        <w:t>如不合格，乙方必须无条件返工，并承担由此增加的费用和（或）延误的工期</w:t>
      </w:r>
      <w:r>
        <w:rPr>
          <w:rFonts w:hint="eastAsia" w:cs="宋体"/>
          <w:sz w:val="24"/>
        </w:rPr>
        <w:t>。</w:t>
      </w:r>
    </w:p>
    <w:p w14:paraId="10D20EE3">
      <w:pPr>
        <w:snapToGrid w:val="0"/>
        <w:spacing w:line="520" w:lineRule="exact"/>
        <w:ind w:firstLine="480" w:firstLineChars="200"/>
        <w:rPr>
          <w:rFonts w:cs="宋体"/>
          <w:sz w:val="24"/>
        </w:rPr>
      </w:pPr>
      <w:r>
        <w:rPr>
          <w:rFonts w:hint="eastAsia" w:cs="宋体"/>
          <w:sz w:val="24"/>
        </w:rPr>
        <w:t>3、施工期间，乙方应遵守甲方的有关管理规定，</w:t>
      </w:r>
      <w:r>
        <w:rPr>
          <w:rFonts w:hint="eastAsia" w:cs="宋体"/>
          <w:b/>
          <w:sz w:val="24"/>
        </w:rPr>
        <w:t>如因乙方原因造成事故或被有关部门处罚的，所造成的人员伤亡和/或财产损失赔偿责任概由乙方承担</w:t>
      </w:r>
      <w:r>
        <w:rPr>
          <w:rFonts w:hint="eastAsia" w:cs="宋体"/>
          <w:sz w:val="24"/>
        </w:rPr>
        <w:t>。</w:t>
      </w:r>
    </w:p>
    <w:p w14:paraId="3C861AD5">
      <w:pPr>
        <w:snapToGrid w:val="0"/>
        <w:spacing w:line="520" w:lineRule="exact"/>
        <w:ind w:firstLine="480" w:firstLineChars="200"/>
        <w:rPr>
          <w:rFonts w:cs="宋体"/>
          <w:sz w:val="24"/>
        </w:rPr>
      </w:pPr>
      <w:r>
        <w:rPr>
          <w:rFonts w:hint="eastAsia" w:cs="宋体"/>
          <w:sz w:val="24"/>
        </w:rPr>
        <w:t>4、施工期间，乙方应服从甲方工作人员现场的安排，无条件配合甲方管理。</w:t>
      </w:r>
    </w:p>
    <w:p w14:paraId="1B8AE565">
      <w:pPr>
        <w:snapToGrid w:val="0"/>
        <w:spacing w:line="520" w:lineRule="exact"/>
        <w:ind w:firstLine="480" w:firstLineChars="200"/>
        <w:rPr>
          <w:rFonts w:cs="宋体"/>
          <w:sz w:val="24"/>
        </w:rPr>
      </w:pPr>
      <w:r>
        <w:rPr>
          <w:rFonts w:hint="eastAsia" w:cs="宋体"/>
          <w:sz w:val="24"/>
        </w:rPr>
        <w:t xml:space="preserve">5、乙方现场施工结束，应做好工完场清。 </w:t>
      </w:r>
    </w:p>
    <w:p w14:paraId="158BD508">
      <w:pPr>
        <w:snapToGrid w:val="0"/>
        <w:spacing w:line="520" w:lineRule="exact"/>
        <w:ind w:firstLine="482" w:firstLineChars="200"/>
        <w:rPr>
          <w:rFonts w:cs="宋体"/>
          <w:b/>
          <w:sz w:val="24"/>
        </w:rPr>
      </w:pPr>
      <w:r>
        <w:rPr>
          <w:rFonts w:hint="eastAsia" w:cs="宋体"/>
          <w:b/>
          <w:sz w:val="24"/>
        </w:rPr>
        <w:t>第八条 施工与设计变更</w:t>
      </w:r>
    </w:p>
    <w:p w14:paraId="5EBFB2F9">
      <w:pPr>
        <w:snapToGrid w:val="0"/>
        <w:spacing w:line="520" w:lineRule="exact"/>
        <w:ind w:firstLine="480" w:firstLineChars="200"/>
        <w:rPr>
          <w:rFonts w:cs="宋体"/>
          <w:sz w:val="24"/>
        </w:rPr>
      </w:pPr>
      <w:r>
        <w:rPr>
          <w:rFonts w:hint="eastAsia" w:cs="宋体"/>
          <w:sz w:val="24"/>
        </w:rPr>
        <w:t>1、乙方在组织施工中，必须遵照国家、行业及设计要求的施工验收规范和质量检验标准组织施工。</w:t>
      </w:r>
    </w:p>
    <w:p w14:paraId="01592929">
      <w:pPr>
        <w:snapToGrid w:val="0"/>
        <w:spacing w:line="520" w:lineRule="exact"/>
        <w:ind w:firstLine="480" w:firstLineChars="200"/>
        <w:rPr>
          <w:rFonts w:cs="宋体"/>
          <w:sz w:val="24"/>
        </w:rPr>
      </w:pPr>
      <w:r>
        <w:rPr>
          <w:rFonts w:hint="eastAsia" w:cs="宋体"/>
          <w:sz w:val="24"/>
        </w:rPr>
        <w:t>2、在组织施工中，如必须变更设计，应按下列程序办理：</w:t>
      </w:r>
    </w:p>
    <w:p w14:paraId="119141AE">
      <w:pPr>
        <w:snapToGrid w:val="0"/>
        <w:spacing w:line="520" w:lineRule="exact"/>
        <w:ind w:firstLine="480" w:firstLineChars="200"/>
        <w:rPr>
          <w:rFonts w:cs="宋体"/>
          <w:sz w:val="24"/>
        </w:rPr>
      </w:pPr>
      <w:r>
        <w:rPr>
          <w:rFonts w:hint="eastAsia" w:cs="宋体"/>
          <w:sz w:val="24"/>
        </w:rPr>
        <w:t>（1）施工中发现设计有错误或严重不合理的地方，乙方应书面通知甲方，由甲方在</w:t>
      </w:r>
      <w:r>
        <w:rPr>
          <w:rFonts w:hint="eastAsia" w:cs="宋体"/>
          <w:sz w:val="24"/>
          <w:u w:val="single"/>
        </w:rPr>
        <w:t xml:space="preserve"> 5</w:t>
      </w:r>
      <w:r>
        <w:rPr>
          <w:rFonts w:hint="eastAsia" w:cs="宋体"/>
          <w:sz w:val="24"/>
        </w:rPr>
        <w:t>个工作日内提出修改或变更设计文件，经甲乙双方办理签证手续后，方可继续施工。</w:t>
      </w:r>
    </w:p>
    <w:p w14:paraId="16DB7436">
      <w:pPr>
        <w:snapToGrid w:val="0"/>
        <w:spacing w:line="520" w:lineRule="exact"/>
        <w:ind w:firstLine="480" w:firstLineChars="200"/>
        <w:rPr>
          <w:rFonts w:cs="宋体"/>
          <w:sz w:val="24"/>
        </w:rPr>
      </w:pPr>
      <w:r>
        <w:rPr>
          <w:rFonts w:hint="eastAsia" w:cs="宋体"/>
          <w:sz w:val="24"/>
        </w:rPr>
        <w:t>（2）施工中如遇变更超出原设计标准或规模时，须经原批准单位审批同意，甲乙双方办理签证手续后方可继续施工。在设计变更未批准前，任何一方不能强行施工。</w:t>
      </w:r>
    </w:p>
    <w:p w14:paraId="0A1AA959">
      <w:pPr>
        <w:snapToGrid w:val="0"/>
        <w:spacing w:line="520" w:lineRule="exact"/>
        <w:ind w:firstLine="480" w:firstLineChars="200"/>
        <w:rPr>
          <w:rFonts w:hint="eastAsia" w:cs="宋体"/>
          <w:sz w:val="24"/>
        </w:rPr>
      </w:pPr>
      <w:r>
        <w:rPr>
          <w:rFonts w:hint="eastAsia" w:cs="宋体"/>
          <w:sz w:val="24"/>
        </w:rPr>
        <w:t>（3）在施工中如遇中途停建、缓建，甲乙双方对在建工程应商定做到合理分担损失，甲方可顺延工期。</w:t>
      </w:r>
    </w:p>
    <w:p w14:paraId="208C6ADE">
      <w:pPr>
        <w:snapToGrid w:val="0"/>
        <w:spacing w:line="520" w:lineRule="exact"/>
        <w:ind w:firstLine="480" w:firstLineChars="200"/>
        <w:rPr>
          <w:rFonts w:cs="宋体"/>
          <w:sz w:val="24"/>
        </w:rPr>
      </w:pPr>
      <w:r>
        <w:rPr>
          <w:rFonts w:hint="eastAsia" w:cs="宋体"/>
          <w:sz w:val="24"/>
        </w:rPr>
        <w:t>3、在施工中由乙方本身的原因造成的停工、返工、材料构件的倒运、机械二次进场等损失，由乙方自行负担。</w:t>
      </w:r>
    </w:p>
    <w:p w14:paraId="05D7A762">
      <w:pPr>
        <w:snapToGrid w:val="0"/>
        <w:spacing w:line="520" w:lineRule="exact"/>
        <w:ind w:firstLine="480" w:firstLineChars="200"/>
        <w:rPr>
          <w:rFonts w:cs="宋体"/>
          <w:sz w:val="24"/>
        </w:rPr>
      </w:pPr>
      <w:r>
        <w:rPr>
          <w:rFonts w:hint="eastAsia" w:cs="宋体"/>
          <w:sz w:val="24"/>
        </w:rPr>
        <w:t>4、乙方要严格执行隐蔽工程验收制度。隐蔽工程完成后必须经过验收合格做出记录，方能进入下一道工序的施工。凡隐蔽工程均应由乙方先行施工质量自检，自检合格后，乙方应提前</w:t>
      </w:r>
      <w:r>
        <w:rPr>
          <w:rFonts w:hint="eastAsia" w:cs="宋体"/>
          <w:sz w:val="24"/>
          <w:u w:val="single"/>
        </w:rPr>
        <w:t>1</w:t>
      </w:r>
      <w:r>
        <w:rPr>
          <w:rFonts w:hint="eastAsia" w:cs="宋体"/>
          <w:sz w:val="24"/>
        </w:rPr>
        <w:t>个工作日书面通知甲方，共同进行验收，并办理验收手续；届时如甲方无特殊原因拒不参加的，乙方可以自行检查验收，并应作好记录，甲方应予承认。如甲方以后提出检查时，其检查结果不符合要求的，检查费由乙方负担，符合要求检查费由甲方负担。</w:t>
      </w:r>
    </w:p>
    <w:p w14:paraId="2B84A96F">
      <w:pPr>
        <w:snapToGrid w:val="0"/>
        <w:spacing w:line="520" w:lineRule="exact"/>
        <w:ind w:firstLine="480" w:firstLineChars="200"/>
        <w:rPr>
          <w:rFonts w:cs="宋体"/>
          <w:kern w:val="0"/>
          <w:sz w:val="24"/>
        </w:rPr>
      </w:pPr>
      <w:r>
        <w:rPr>
          <w:rFonts w:hint="eastAsia" w:cs="宋体"/>
          <w:sz w:val="24"/>
        </w:rPr>
        <w:t>5、</w:t>
      </w:r>
      <w:r>
        <w:rPr>
          <w:rFonts w:hint="eastAsia" w:cs="宋体"/>
          <w:snapToGrid w:val="0"/>
          <w:kern w:val="0"/>
          <w:sz w:val="24"/>
        </w:rPr>
        <w:t>在施工中甲方认为需要变更的工程项目的价格确定:</w:t>
      </w:r>
      <w:r>
        <w:rPr>
          <w:rFonts w:hint="eastAsia" w:cs="宋体"/>
          <w:kern w:val="0"/>
          <w:sz w:val="24"/>
        </w:rPr>
        <w:t>（1）投标书和合同中已有适用于变更工程项目的价格，按投标书和合同已有的价格计算；（2）投标书和合同中只有类似于变更工程项目的价格，可以参照类似价格变更；（3）投标书和合同中没有适用或类似于变更工程项目的价格，按照合同第二条第2款执行。以上均须报经甲方同意后方可作为变更价格。</w:t>
      </w:r>
    </w:p>
    <w:p w14:paraId="7C292C42">
      <w:pPr>
        <w:snapToGrid w:val="0"/>
        <w:spacing w:line="520" w:lineRule="exact"/>
        <w:ind w:firstLine="482" w:firstLineChars="200"/>
        <w:rPr>
          <w:rFonts w:cs="宋体"/>
          <w:b/>
          <w:sz w:val="24"/>
        </w:rPr>
      </w:pPr>
      <w:r>
        <w:rPr>
          <w:rFonts w:hint="eastAsia" w:cs="宋体"/>
          <w:b/>
          <w:sz w:val="24"/>
        </w:rPr>
        <w:t>第九条 验收与保修</w:t>
      </w:r>
    </w:p>
    <w:p w14:paraId="69E20EB9">
      <w:pPr>
        <w:snapToGrid w:val="0"/>
        <w:spacing w:line="520" w:lineRule="exact"/>
        <w:ind w:firstLine="480" w:firstLineChars="200"/>
        <w:rPr>
          <w:rFonts w:cs="宋体"/>
          <w:sz w:val="24"/>
        </w:rPr>
      </w:pPr>
      <w:r>
        <w:rPr>
          <w:rFonts w:hint="eastAsia" w:cs="宋体"/>
          <w:sz w:val="24"/>
        </w:rPr>
        <w:t>1、本工程质量标准：合格。</w:t>
      </w:r>
    </w:p>
    <w:p w14:paraId="561E5DB8">
      <w:pPr>
        <w:snapToGrid w:val="0"/>
        <w:spacing w:line="520" w:lineRule="exact"/>
        <w:ind w:firstLine="480" w:firstLineChars="200"/>
        <w:rPr>
          <w:rFonts w:cs="宋体"/>
          <w:sz w:val="24"/>
        </w:rPr>
      </w:pPr>
      <w:r>
        <w:rPr>
          <w:rFonts w:hint="eastAsia" w:cs="宋体"/>
          <w:sz w:val="24"/>
        </w:rPr>
        <w:t>2、保修及保修期限</w:t>
      </w:r>
    </w:p>
    <w:p w14:paraId="547B6CAD">
      <w:pPr>
        <w:snapToGrid w:val="0"/>
        <w:spacing w:line="520" w:lineRule="exact"/>
        <w:ind w:firstLine="480" w:firstLineChars="200"/>
        <w:rPr>
          <w:rFonts w:cs="宋体"/>
          <w:sz w:val="24"/>
        </w:rPr>
      </w:pPr>
      <w:r>
        <w:rPr>
          <w:rFonts w:hint="eastAsia" w:cs="宋体"/>
          <w:sz w:val="24"/>
        </w:rPr>
        <w:t>工程验收后，乙方对施工的工程质量负责保修。保修期如下：（1）基础设施工程、房屋建筑的</w:t>
      </w:r>
      <w:r>
        <w:fldChar w:fldCharType="begin"/>
      </w:r>
      <w:r>
        <w:instrText xml:space="preserve"> HYPERLINK "http://baike.baidu.com/view/2267867.htm" </w:instrText>
      </w:r>
      <w:r>
        <w:fldChar w:fldCharType="separate"/>
      </w:r>
      <w:r>
        <w:rPr>
          <w:rFonts w:hint="eastAsia" w:cs="宋体"/>
          <w:sz w:val="24"/>
        </w:rPr>
        <w:t>地基基础工程</w:t>
      </w:r>
      <w:r>
        <w:rPr>
          <w:rFonts w:hint="eastAsia" w:cs="宋体"/>
          <w:sz w:val="24"/>
        </w:rPr>
        <w:fldChar w:fldCharType="end"/>
      </w:r>
      <w:r>
        <w:rPr>
          <w:rFonts w:hint="eastAsia" w:cs="宋体"/>
          <w:sz w:val="24"/>
        </w:rPr>
        <w:t>和</w:t>
      </w:r>
      <w:r>
        <w:fldChar w:fldCharType="begin"/>
      </w:r>
      <w:r>
        <w:instrText xml:space="preserve"> HYPERLINK "http://baike.baidu.com/view/3930570.htm" </w:instrText>
      </w:r>
      <w:r>
        <w:fldChar w:fldCharType="separate"/>
      </w:r>
      <w:r>
        <w:rPr>
          <w:rFonts w:hint="eastAsia" w:cs="宋体"/>
          <w:sz w:val="24"/>
        </w:rPr>
        <w:t>主体结构工程</w:t>
      </w:r>
      <w:r>
        <w:rPr>
          <w:rFonts w:hint="eastAsia" w:cs="宋体"/>
          <w:sz w:val="24"/>
        </w:rPr>
        <w:fldChar w:fldCharType="end"/>
      </w:r>
      <w:r>
        <w:rPr>
          <w:rFonts w:hint="eastAsia" w:cs="宋体"/>
          <w:sz w:val="24"/>
        </w:rPr>
        <w:t>，为设计文件规定的该工程的合理使用年限；（2）屋面防水工程、有防水要求的卫生间、房间和外墙面的防渗漏，为</w:t>
      </w:r>
      <w:r>
        <w:rPr>
          <w:rFonts w:hint="eastAsia" w:cs="宋体"/>
          <w:sz w:val="24"/>
          <w:u w:val="single"/>
        </w:rPr>
        <w:t>5</w:t>
      </w:r>
      <w:r>
        <w:rPr>
          <w:rFonts w:hint="eastAsia" w:cs="宋体"/>
          <w:sz w:val="24"/>
        </w:rPr>
        <w:t>年；（3）供热与供冷系统，为</w:t>
      </w:r>
      <w:r>
        <w:rPr>
          <w:rFonts w:hint="eastAsia" w:cs="宋体"/>
          <w:sz w:val="24"/>
          <w:u w:val="single"/>
        </w:rPr>
        <w:t>2</w:t>
      </w:r>
      <w:r>
        <w:rPr>
          <w:rFonts w:hint="eastAsia" w:cs="宋体"/>
          <w:sz w:val="24"/>
        </w:rPr>
        <w:t>个采暖期、供冷期；（4）电气管线、给排水管道、设备安装和装修工程，为</w:t>
      </w:r>
      <w:r>
        <w:rPr>
          <w:rFonts w:hint="eastAsia" w:cs="宋体"/>
          <w:sz w:val="24"/>
          <w:u w:val="single"/>
        </w:rPr>
        <w:t>2</w:t>
      </w:r>
      <w:r>
        <w:rPr>
          <w:rFonts w:hint="eastAsia" w:cs="宋体"/>
          <w:sz w:val="24"/>
        </w:rPr>
        <w:t>年。其他项目保修期限约定如下：其他未列明专业工程的保修期如国家、省、市有规定的从其规定，否则均为</w:t>
      </w:r>
      <w:r>
        <w:rPr>
          <w:rFonts w:hint="eastAsia" w:cs="宋体"/>
          <w:sz w:val="24"/>
          <w:u w:val="single"/>
        </w:rPr>
        <w:t>2</w:t>
      </w:r>
      <w:r>
        <w:rPr>
          <w:rFonts w:hint="eastAsia" w:cs="宋体"/>
          <w:sz w:val="24"/>
        </w:rPr>
        <w:t>年。</w:t>
      </w:r>
    </w:p>
    <w:p w14:paraId="3F89E629">
      <w:pPr>
        <w:snapToGrid w:val="0"/>
        <w:spacing w:line="520" w:lineRule="exact"/>
        <w:ind w:firstLine="480" w:firstLineChars="200"/>
        <w:rPr>
          <w:rFonts w:cs="宋体"/>
          <w:sz w:val="24"/>
        </w:rPr>
      </w:pPr>
      <w:r>
        <w:rPr>
          <w:rFonts w:hint="eastAsia" w:cs="宋体"/>
          <w:sz w:val="24"/>
        </w:rPr>
        <w:t>3、本工程质量缺陷责任期为二年，自验收合格之日起计算。</w:t>
      </w:r>
    </w:p>
    <w:p w14:paraId="0E0BB660">
      <w:pPr>
        <w:snapToGrid w:val="0"/>
        <w:spacing w:line="520" w:lineRule="exact"/>
        <w:ind w:firstLine="482" w:firstLineChars="200"/>
        <w:rPr>
          <w:rFonts w:cs="宋体"/>
          <w:b/>
          <w:sz w:val="24"/>
        </w:rPr>
      </w:pPr>
      <w:r>
        <w:rPr>
          <w:rFonts w:hint="eastAsia" w:cs="宋体"/>
          <w:b/>
          <w:sz w:val="24"/>
        </w:rPr>
        <w:t>第十条 违约责任</w:t>
      </w:r>
    </w:p>
    <w:p w14:paraId="201196B2">
      <w:pPr>
        <w:snapToGrid w:val="0"/>
        <w:spacing w:line="520" w:lineRule="exact"/>
        <w:ind w:firstLine="480" w:firstLineChars="200"/>
        <w:rPr>
          <w:rFonts w:cs="宋体"/>
          <w:sz w:val="24"/>
        </w:rPr>
      </w:pPr>
      <w:r>
        <w:rPr>
          <w:rFonts w:hint="eastAsia" w:cs="宋体"/>
          <w:sz w:val="24"/>
        </w:rPr>
        <w:t>1、</w:t>
      </w:r>
      <w:r>
        <w:rPr>
          <w:rFonts w:hint="eastAsia" w:cs="宋体"/>
          <w:b/>
          <w:sz w:val="24"/>
        </w:rPr>
        <w:t>乙方未在合同约定的工期内交工并经甲方验收合格的，</w:t>
      </w:r>
      <w:r>
        <w:rPr>
          <w:rFonts w:hint="eastAsia" w:cs="宋体"/>
          <w:b/>
          <w:bCs/>
          <w:kern w:val="0"/>
          <w:sz w:val="24"/>
        </w:rPr>
        <w:t>包括但不限于不能按期开工或中途无故停工或因工程质量问题甲方验收不合格的,</w:t>
      </w:r>
      <w:r>
        <w:rPr>
          <w:rFonts w:hint="eastAsia" w:cs="宋体"/>
          <w:b/>
          <w:sz w:val="24"/>
        </w:rPr>
        <w:t>每逾期一天，乙方应向甲方支付合同价款</w:t>
      </w:r>
      <w:r>
        <w:rPr>
          <w:rFonts w:hint="eastAsia" w:cs="宋体"/>
          <w:b/>
          <w:sz w:val="24"/>
          <w:u w:val="single"/>
        </w:rPr>
        <w:t>0.3</w:t>
      </w:r>
      <w:r>
        <w:rPr>
          <w:rFonts w:hint="eastAsia" w:cs="宋体"/>
          <w:b/>
          <w:sz w:val="24"/>
        </w:rPr>
        <w:t>%的违约金；逾期三十日以上的，甲方有权单方解除本合同（合同解除后由甲方单方执行对已完工程进行结算），要求乙方支付合同价款</w:t>
      </w:r>
      <w:r>
        <w:rPr>
          <w:rFonts w:hint="eastAsia" w:cs="宋体"/>
          <w:b/>
          <w:sz w:val="24"/>
          <w:u w:val="single"/>
        </w:rPr>
        <w:t xml:space="preserve"> 20</w:t>
      </w:r>
      <w:r>
        <w:rPr>
          <w:rFonts w:hint="eastAsia" w:cs="宋体"/>
          <w:b/>
          <w:sz w:val="24"/>
        </w:rPr>
        <w:t>%的违约金</w:t>
      </w:r>
      <w:r>
        <w:rPr>
          <w:rFonts w:hint="eastAsia" w:cs="宋体"/>
          <w:sz w:val="24"/>
        </w:rPr>
        <w:t>。</w:t>
      </w:r>
    </w:p>
    <w:p w14:paraId="0E2F5199">
      <w:pPr>
        <w:snapToGrid w:val="0"/>
        <w:spacing w:line="520" w:lineRule="exact"/>
        <w:ind w:firstLine="480" w:firstLineChars="200"/>
        <w:rPr>
          <w:rFonts w:cs="宋体"/>
          <w:sz w:val="24"/>
        </w:rPr>
      </w:pPr>
      <w:r>
        <w:rPr>
          <w:rFonts w:hint="eastAsia" w:cs="宋体"/>
          <w:sz w:val="24"/>
        </w:rPr>
        <w:t>2、</w:t>
      </w:r>
      <w:r>
        <w:rPr>
          <w:rFonts w:hint="eastAsia" w:cs="宋体"/>
          <w:b/>
          <w:sz w:val="24"/>
        </w:rPr>
        <w:t>乙方应在验收前向甲方移送全部施工资料，未按期、全部移交的，每逾期一天，乙方应向甲方支付合同价款</w:t>
      </w:r>
      <w:r>
        <w:rPr>
          <w:rFonts w:hint="eastAsia" w:cs="宋体"/>
          <w:b/>
          <w:sz w:val="24"/>
          <w:u w:val="single"/>
        </w:rPr>
        <w:t xml:space="preserve"> 0.3</w:t>
      </w:r>
      <w:r>
        <w:rPr>
          <w:rFonts w:hint="eastAsia" w:cs="宋体"/>
          <w:b/>
          <w:sz w:val="24"/>
        </w:rPr>
        <w:t>%的违约金</w:t>
      </w:r>
      <w:r>
        <w:rPr>
          <w:rFonts w:hint="eastAsia" w:cs="宋体"/>
          <w:sz w:val="24"/>
        </w:rPr>
        <w:t>。</w:t>
      </w:r>
    </w:p>
    <w:p w14:paraId="43A119CB">
      <w:pPr>
        <w:snapToGrid w:val="0"/>
        <w:spacing w:line="520" w:lineRule="exact"/>
        <w:ind w:firstLine="480" w:firstLineChars="200"/>
        <w:rPr>
          <w:rFonts w:cs="宋体"/>
          <w:sz w:val="24"/>
        </w:rPr>
      </w:pPr>
      <w:r>
        <w:rPr>
          <w:rFonts w:hint="eastAsia" w:cs="宋体"/>
          <w:sz w:val="24"/>
        </w:rPr>
        <w:t>3、甲方未按本合同约定的期限支付合同价款的，每逾期一天，甲方应向乙方支付逾期付款数额</w:t>
      </w:r>
      <w:r>
        <w:rPr>
          <w:rFonts w:hint="eastAsia" w:cs="宋体"/>
          <w:sz w:val="24"/>
          <w:u w:val="single"/>
        </w:rPr>
        <w:t>0.1</w:t>
      </w:r>
      <w:r>
        <w:rPr>
          <w:rFonts w:hint="eastAsia" w:cs="宋体"/>
          <w:sz w:val="24"/>
        </w:rPr>
        <w:t>%的违约金。</w:t>
      </w:r>
    </w:p>
    <w:p w14:paraId="3ABD11C9">
      <w:pPr>
        <w:snapToGrid w:val="0"/>
        <w:spacing w:line="520" w:lineRule="exact"/>
        <w:ind w:firstLine="480" w:firstLineChars="200"/>
        <w:rPr>
          <w:rFonts w:cs="宋体"/>
          <w:sz w:val="24"/>
        </w:rPr>
      </w:pPr>
      <w:r>
        <w:rPr>
          <w:rFonts w:hint="eastAsia" w:cs="宋体"/>
          <w:sz w:val="24"/>
        </w:rPr>
        <w:t>4、</w:t>
      </w:r>
      <w:r>
        <w:rPr>
          <w:rFonts w:hint="eastAsia" w:cs="宋体"/>
          <w:b/>
          <w:sz w:val="24"/>
        </w:rPr>
        <w:t>若乙方未遵守甲方的安全规章制度及《安全管理协议》，违规作业造成事故的，乙方须承担相应的赔偿责任；如果因此造成甲方不能正常作业的，乙方应按合同价款的</w:t>
      </w:r>
      <w:r>
        <w:rPr>
          <w:rFonts w:hint="eastAsia" w:cs="宋体"/>
          <w:b/>
          <w:sz w:val="24"/>
          <w:u w:val="single"/>
        </w:rPr>
        <w:t>10</w:t>
      </w:r>
      <w:r>
        <w:rPr>
          <w:rFonts w:hint="eastAsia" w:cs="宋体"/>
          <w:b/>
          <w:sz w:val="24"/>
        </w:rPr>
        <w:t>%承担违约金，违约金不足于弥补甲方遭受的损失的，乙方应补足差额</w:t>
      </w:r>
      <w:r>
        <w:rPr>
          <w:rFonts w:hint="eastAsia" w:cs="宋体"/>
          <w:sz w:val="24"/>
        </w:rPr>
        <w:t>。</w:t>
      </w:r>
    </w:p>
    <w:p w14:paraId="69E0ADD0">
      <w:pPr>
        <w:snapToGrid w:val="0"/>
        <w:spacing w:line="520" w:lineRule="exact"/>
        <w:ind w:firstLine="480" w:firstLineChars="200"/>
        <w:rPr>
          <w:rFonts w:cs="宋体"/>
          <w:b/>
          <w:sz w:val="24"/>
        </w:rPr>
      </w:pPr>
      <w:r>
        <w:rPr>
          <w:rFonts w:hint="eastAsia" w:cs="宋体"/>
          <w:sz w:val="24"/>
        </w:rPr>
        <w:t>5、</w:t>
      </w:r>
      <w:r>
        <w:rPr>
          <w:rFonts w:hint="eastAsia" w:cs="宋体"/>
          <w:b/>
          <w:sz w:val="24"/>
        </w:rPr>
        <w:t>甲乙双方任何一方有其他违约行为，且经书面通知后5日内仍未纠正的，违约方必须支付守约方</w:t>
      </w:r>
      <w:r>
        <w:rPr>
          <w:rFonts w:hint="eastAsia" w:cs="宋体"/>
          <w:b/>
          <w:sz w:val="24"/>
          <w:u w:val="single"/>
        </w:rPr>
        <w:t>500</w:t>
      </w:r>
      <w:r>
        <w:rPr>
          <w:rFonts w:hint="eastAsia" w:cs="宋体"/>
          <w:b/>
          <w:sz w:val="24"/>
        </w:rPr>
        <w:t>元/次的违约金。</w:t>
      </w:r>
    </w:p>
    <w:p w14:paraId="25F93471">
      <w:pPr>
        <w:pStyle w:val="11"/>
        <w:ind w:firstLine="482" w:firstLineChars="200"/>
        <w:rPr>
          <w:rFonts w:cs="宋体"/>
        </w:rPr>
      </w:pPr>
      <w:r>
        <w:rPr>
          <w:rFonts w:hint="eastAsia" w:cs="宋体"/>
          <w:b/>
          <w:sz w:val="24"/>
        </w:rPr>
        <w:t>6、甲方严禁乙方将工程转包或分包，如发生上述情形，乙方应承担合同价款20%的违约金，同时，甲方有权解除合同，并要求乙方赔偿因此给甲方造成的全部损失。</w:t>
      </w:r>
    </w:p>
    <w:p w14:paraId="7C265FD0">
      <w:pPr>
        <w:snapToGrid w:val="0"/>
        <w:spacing w:line="520" w:lineRule="exact"/>
        <w:ind w:firstLine="482" w:firstLineChars="200"/>
        <w:rPr>
          <w:rFonts w:cs="宋体"/>
          <w:b/>
          <w:sz w:val="24"/>
        </w:rPr>
      </w:pPr>
      <w:r>
        <w:rPr>
          <w:rFonts w:hint="eastAsia" w:cs="宋体"/>
          <w:b/>
          <w:sz w:val="24"/>
        </w:rPr>
        <w:t>第十一条 其他约定</w:t>
      </w:r>
    </w:p>
    <w:p w14:paraId="1AF90D97">
      <w:pPr>
        <w:snapToGrid w:val="0"/>
        <w:spacing w:line="520" w:lineRule="exact"/>
        <w:ind w:firstLine="480" w:firstLineChars="200"/>
        <w:rPr>
          <w:rFonts w:cs="宋体"/>
          <w:sz w:val="24"/>
        </w:rPr>
      </w:pPr>
      <w:r>
        <w:rPr>
          <w:rFonts w:hint="eastAsia" w:cs="宋体"/>
          <w:sz w:val="24"/>
        </w:rPr>
        <w:t>1、本工程施工现场甲方提供水电接口，工程所需供电、供水线路由乙方自行解决。施工过程中水电费由甲方承担。</w:t>
      </w:r>
    </w:p>
    <w:p w14:paraId="135F66E5">
      <w:pPr>
        <w:snapToGrid w:val="0"/>
        <w:spacing w:line="520" w:lineRule="exact"/>
        <w:ind w:firstLine="480" w:firstLineChars="200"/>
        <w:rPr>
          <w:rFonts w:cs="宋体"/>
          <w:sz w:val="24"/>
        </w:rPr>
      </w:pPr>
      <w:r>
        <w:rPr>
          <w:rFonts w:hint="eastAsia" w:cs="宋体"/>
          <w:sz w:val="24"/>
        </w:rPr>
        <w:t>2、乙方必须遵守国家有关安全生产的法律、法规及大楼物业管理部门的规定。</w:t>
      </w:r>
    </w:p>
    <w:p w14:paraId="0FA1D3A4">
      <w:pPr>
        <w:spacing w:before="156" w:beforeLines="50" w:after="156" w:afterLines="50" w:line="440" w:lineRule="exact"/>
        <w:ind w:firstLine="480" w:firstLineChars="200"/>
        <w:jc w:val="left"/>
        <w:rPr>
          <w:rFonts w:cs="宋体"/>
          <w:sz w:val="24"/>
        </w:rPr>
      </w:pPr>
      <w:r>
        <w:rPr>
          <w:rFonts w:hint="eastAsia" w:cs="宋体"/>
          <w:sz w:val="24"/>
        </w:rPr>
        <w:t>3、甲乙双方签订本合同时，必须同时签订《工程质量保修书》、《廉洁协议书》、《安全管理协议》、《不拖欠民工工资承诺书》、《合作伙伴合规承诺书》与本合同同时生效，具有相同的法律效力，甲乙双方必须共同遵守。</w:t>
      </w:r>
    </w:p>
    <w:p w14:paraId="3921AE75">
      <w:pPr>
        <w:snapToGrid w:val="0"/>
        <w:spacing w:line="520" w:lineRule="exact"/>
        <w:ind w:firstLine="480" w:firstLineChars="200"/>
        <w:rPr>
          <w:rFonts w:cs="宋体"/>
          <w:sz w:val="24"/>
        </w:rPr>
      </w:pPr>
      <w:r>
        <w:rPr>
          <w:rFonts w:hint="eastAsia" w:cs="宋体"/>
          <w:sz w:val="24"/>
        </w:rPr>
        <w:t>4、乙方应及时向其施工人员发放工资。对于乙方人员的用工、待遇、工伤等纠纷概由乙方负责，与甲方无关。</w:t>
      </w:r>
    </w:p>
    <w:p w14:paraId="13DC5A07">
      <w:pPr>
        <w:snapToGrid w:val="0"/>
        <w:spacing w:line="520" w:lineRule="exact"/>
        <w:ind w:firstLine="482" w:firstLineChars="200"/>
        <w:rPr>
          <w:rFonts w:cs="宋体"/>
          <w:b/>
          <w:sz w:val="24"/>
        </w:rPr>
      </w:pPr>
      <w:r>
        <w:rPr>
          <w:rFonts w:hint="eastAsia" w:cs="宋体"/>
          <w:b/>
          <w:sz w:val="24"/>
        </w:rPr>
        <w:t>第十二条 附则</w:t>
      </w:r>
    </w:p>
    <w:p w14:paraId="5F31A06D">
      <w:pPr>
        <w:snapToGrid w:val="0"/>
        <w:spacing w:line="520" w:lineRule="exact"/>
        <w:ind w:firstLine="480" w:firstLineChars="200"/>
        <w:rPr>
          <w:rFonts w:cs="宋体"/>
          <w:sz w:val="24"/>
        </w:rPr>
      </w:pPr>
      <w:r>
        <w:rPr>
          <w:rFonts w:hint="eastAsia" w:cs="宋体"/>
          <w:sz w:val="24"/>
        </w:rPr>
        <w:t>1、本合同条款如有未尽事宜，双方可根据具体情况结合有关规定签订补充协议；补充协议系本合同的有效组成部分，与本合同具有同等法律效力。</w:t>
      </w:r>
    </w:p>
    <w:p w14:paraId="428C21C4">
      <w:pPr>
        <w:snapToGrid w:val="0"/>
        <w:spacing w:line="520" w:lineRule="exact"/>
        <w:ind w:firstLine="480" w:firstLineChars="200"/>
        <w:rPr>
          <w:rFonts w:cs="宋体"/>
          <w:spacing w:val="3"/>
          <w:sz w:val="24"/>
        </w:rPr>
      </w:pPr>
      <w:r>
        <w:rPr>
          <w:rFonts w:hint="eastAsia" w:cs="宋体"/>
          <w:sz w:val="24"/>
        </w:rPr>
        <w:t>2、本合同有关的一切争议，由双方协商解决；协商不成，双方均可</w:t>
      </w:r>
      <w:r>
        <w:rPr>
          <w:rFonts w:hint="eastAsia" w:cs="宋体"/>
          <w:spacing w:val="3"/>
          <w:sz w:val="24"/>
        </w:rPr>
        <w:t>向工程所在地人民法院提起诉讼。</w:t>
      </w:r>
    </w:p>
    <w:p w14:paraId="3C7515B4">
      <w:pPr>
        <w:snapToGrid w:val="0"/>
        <w:spacing w:line="520" w:lineRule="exact"/>
        <w:ind w:firstLine="480" w:firstLineChars="200"/>
        <w:rPr>
          <w:rFonts w:cs="宋体"/>
          <w:sz w:val="24"/>
        </w:rPr>
      </w:pPr>
      <w:r>
        <w:rPr>
          <w:rFonts w:hint="eastAsia" w:cs="宋体"/>
          <w:sz w:val="24"/>
        </w:rPr>
        <w:t>3、本合同自乙方提供履约担保且双方签字盖章之日起生效。</w:t>
      </w:r>
    </w:p>
    <w:p w14:paraId="7816498B">
      <w:pPr>
        <w:snapToGrid w:val="0"/>
        <w:spacing w:line="520" w:lineRule="exact"/>
        <w:ind w:firstLine="480" w:firstLineChars="200"/>
        <w:rPr>
          <w:rFonts w:cs="宋体"/>
          <w:spacing w:val="3"/>
          <w:sz w:val="24"/>
        </w:rPr>
      </w:pPr>
      <w:r>
        <w:rPr>
          <w:rFonts w:hint="eastAsia" w:cs="宋体"/>
          <w:sz w:val="24"/>
        </w:rPr>
        <w:t>4、本合同共</w:t>
      </w:r>
      <w:r>
        <w:rPr>
          <w:rFonts w:hint="eastAsia" w:cs="宋体"/>
          <w:sz w:val="24"/>
          <w:u w:val="single"/>
        </w:rPr>
        <w:t>肆</w:t>
      </w:r>
      <w:r>
        <w:rPr>
          <w:rFonts w:hint="eastAsia" w:cs="宋体"/>
          <w:sz w:val="24"/>
        </w:rPr>
        <w:t>份，甲方执</w:t>
      </w:r>
      <w:r>
        <w:rPr>
          <w:rFonts w:hint="eastAsia" w:cs="宋体"/>
          <w:sz w:val="24"/>
          <w:u w:val="single"/>
        </w:rPr>
        <w:t>贰</w:t>
      </w:r>
      <w:r>
        <w:rPr>
          <w:rFonts w:hint="eastAsia" w:cs="宋体"/>
          <w:sz w:val="24"/>
        </w:rPr>
        <w:t>份，乙方执</w:t>
      </w:r>
      <w:r>
        <w:rPr>
          <w:rFonts w:hint="eastAsia" w:cs="宋体"/>
          <w:sz w:val="24"/>
          <w:u w:val="single"/>
        </w:rPr>
        <w:t>贰</w:t>
      </w:r>
      <w:r>
        <w:rPr>
          <w:rFonts w:hint="eastAsia" w:cs="宋体"/>
          <w:sz w:val="24"/>
        </w:rPr>
        <w:t>份。</w:t>
      </w:r>
    </w:p>
    <w:p w14:paraId="29EDA8FB">
      <w:pPr>
        <w:snapToGrid w:val="0"/>
        <w:spacing w:line="520" w:lineRule="exact"/>
        <w:ind w:firstLine="482" w:firstLineChars="200"/>
        <w:rPr>
          <w:rFonts w:cs="宋体"/>
          <w:b/>
          <w:sz w:val="24"/>
        </w:rPr>
      </w:pPr>
      <w:r>
        <w:rPr>
          <w:rFonts w:hint="eastAsia" w:cs="宋体"/>
          <w:b/>
          <w:sz w:val="24"/>
        </w:rPr>
        <w:t>第十三条 合同文件构成</w:t>
      </w:r>
    </w:p>
    <w:p w14:paraId="76FE68BC">
      <w:pPr>
        <w:spacing w:line="520" w:lineRule="exact"/>
        <w:ind w:firstLine="480" w:firstLineChars="200"/>
        <w:rPr>
          <w:rFonts w:cs="宋体"/>
          <w:sz w:val="24"/>
        </w:rPr>
      </w:pPr>
      <w:r>
        <w:rPr>
          <w:rFonts w:hint="eastAsia" w:cs="宋体"/>
          <w:sz w:val="24"/>
        </w:rPr>
        <w:t>下列文件一起构成合同文件：</w:t>
      </w:r>
    </w:p>
    <w:p w14:paraId="4F96C824">
      <w:pPr>
        <w:snapToGrid w:val="0"/>
        <w:spacing w:line="520" w:lineRule="exact"/>
        <w:ind w:firstLine="480" w:firstLineChars="200"/>
        <w:jc w:val="left"/>
        <w:rPr>
          <w:rFonts w:cs="宋体"/>
          <w:sz w:val="24"/>
        </w:rPr>
      </w:pPr>
      <w:r>
        <w:rPr>
          <w:rFonts w:hint="eastAsia" w:cs="宋体"/>
          <w:sz w:val="24"/>
        </w:rPr>
        <w:t>（1）工程承包合同及其附件、补充协议；</w:t>
      </w:r>
    </w:p>
    <w:p w14:paraId="190EA35E">
      <w:pPr>
        <w:snapToGrid w:val="0"/>
        <w:spacing w:line="520" w:lineRule="exact"/>
        <w:ind w:firstLine="480" w:firstLineChars="200"/>
        <w:jc w:val="left"/>
        <w:rPr>
          <w:rFonts w:cs="宋体"/>
          <w:sz w:val="24"/>
        </w:rPr>
      </w:pPr>
      <w:r>
        <w:rPr>
          <w:rFonts w:hint="eastAsia" w:cs="宋体"/>
          <w:sz w:val="24"/>
        </w:rPr>
        <w:t>（2）中标通知书；</w:t>
      </w:r>
    </w:p>
    <w:p w14:paraId="41B53D47">
      <w:pPr>
        <w:snapToGrid w:val="0"/>
        <w:spacing w:line="520" w:lineRule="exact"/>
        <w:ind w:firstLine="480" w:firstLineChars="200"/>
        <w:jc w:val="left"/>
        <w:rPr>
          <w:rFonts w:cs="宋体"/>
          <w:sz w:val="24"/>
        </w:rPr>
      </w:pPr>
      <w:r>
        <w:rPr>
          <w:rFonts w:hint="eastAsia" w:cs="宋体"/>
          <w:sz w:val="24"/>
        </w:rPr>
        <w:t xml:space="preserve">（3）投标函及其附录； </w:t>
      </w:r>
    </w:p>
    <w:p w14:paraId="01BA6A14">
      <w:pPr>
        <w:snapToGrid w:val="0"/>
        <w:spacing w:line="520" w:lineRule="exact"/>
        <w:ind w:firstLine="480" w:firstLineChars="200"/>
        <w:jc w:val="left"/>
        <w:rPr>
          <w:rFonts w:cs="宋体"/>
          <w:sz w:val="24"/>
        </w:rPr>
      </w:pPr>
      <w:r>
        <w:rPr>
          <w:rFonts w:hint="eastAsia" w:cs="宋体"/>
          <w:sz w:val="24"/>
        </w:rPr>
        <w:t>（4）已标价工程量清单或预算书；</w:t>
      </w:r>
    </w:p>
    <w:p w14:paraId="4839ED80">
      <w:pPr>
        <w:snapToGrid w:val="0"/>
        <w:spacing w:line="520" w:lineRule="exact"/>
        <w:ind w:firstLine="480" w:firstLineChars="200"/>
        <w:jc w:val="left"/>
        <w:rPr>
          <w:rFonts w:cs="宋体"/>
          <w:sz w:val="24"/>
        </w:rPr>
      </w:pPr>
      <w:r>
        <w:rPr>
          <w:rFonts w:hint="eastAsia" w:cs="宋体"/>
          <w:sz w:val="24"/>
        </w:rPr>
        <w:t>（5）技术标准和要求；</w:t>
      </w:r>
    </w:p>
    <w:p w14:paraId="6C087193">
      <w:pPr>
        <w:snapToGrid w:val="0"/>
        <w:spacing w:line="520" w:lineRule="exact"/>
        <w:ind w:firstLine="480" w:firstLineChars="200"/>
        <w:jc w:val="left"/>
        <w:rPr>
          <w:rFonts w:cs="宋体"/>
          <w:sz w:val="24"/>
        </w:rPr>
      </w:pPr>
      <w:r>
        <w:rPr>
          <w:rFonts w:hint="eastAsia" w:cs="宋体"/>
          <w:sz w:val="24"/>
        </w:rPr>
        <w:t>（6）其他合同文件。</w:t>
      </w:r>
    </w:p>
    <w:p w14:paraId="3E042A2D">
      <w:pPr>
        <w:autoSpaceDE w:val="0"/>
        <w:autoSpaceDN w:val="0"/>
        <w:spacing w:line="520" w:lineRule="exact"/>
        <w:ind w:firstLine="480" w:firstLineChars="200"/>
        <w:rPr>
          <w:rFonts w:cs="宋体"/>
          <w:sz w:val="24"/>
        </w:rPr>
      </w:pPr>
      <w:r>
        <w:rPr>
          <w:rFonts w:hint="eastAsia" w:cs="宋体"/>
          <w:sz w:val="24"/>
        </w:rPr>
        <w:t>上述文件如有约定不一致之处，以排列在前的文件为准。</w:t>
      </w:r>
    </w:p>
    <w:p w14:paraId="000FB8F6">
      <w:pPr>
        <w:autoSpaceDE w:val="0"/>
        <w:autoSpaceDN w:val="0"/>
        <w:spacing w:line="520" w:lineRule="exact"/>
        <w:ind w:firstLine="480" w:firstLineChars="200"/>
        <w:rPr>
          <w:rFonts w:cs="宋体"/>
          <w:sz w:val="24"/>
        </w:rPr>
      </w:pPr>
      <w:r>
        <w:rPr>
          <w:rFonts w:hint="eastAsia" w:cs="宋体"/>
          <w:sz w:val="24"/>
        </w:rPr>
        <w:t xml:space="preserve">     附件：1.工程质量保修书</w:t>
      </w:r>
    </w:p>
    <w:p w14:paraId="208CF9FE">
      <w:pPr>
        <w:autoSpaceDE w:val="0"/>
        <w:autoSpaceDN w:val="0"/>
        <w:spacing w:line="520" w:lineRule="exact"/>
        <w:ind w:firstLine="480" w:firstLineChars="200"/>
        <w:rPr>
          <w:rFonts w:cs="宋体"/>
          <w:sz w:val="24"/>
        </w:rPr>
      </w:pPr>
      <w:r>
        <w:rPr>
          <w:rFonts w:hint="eastAsia" w:cs="宋体"/>
          <w:sz w:val="24"/>
        </w:rPr>
        <w:t xml:space="preserve">           2.廉洁协议书</w:t>
      </w:r>
    </w:p>
    <w:p w14:paraId="44B762EC">
      <w:pPr>
        <w:autoSpaceDE w:val="0"/>
        <w:autoSpaceDN w:val="0"/>
        <w:spacing w:line="520" w:lineRule="exact"/>
        <w:ind w:firstLine="480" w:firstLineChars="200"/>
        <w:rPr>
          <w:rFonts w:cs="宋体"/>
          <w:sz w:val="24"/>
        </w:rPr>
      </w:pPr>
      <w:r>
        <w:rPr>
          <w:rFonts w:hint="eastAsia" w:cs="宋体"/>
          <w:sz w:val="24"/>
        </w:rPr>
        <w:t xml:space="preserve">           3.安全管理协议</w:t>
      </w:r>
    </w:p>
    <w:p w14:paraId="017FA2B1">
      <w:pPr>
        <w:autoSpaceDE w:val="0"/>
        <w:autoSpaceDN w:val="0"/>
        <w:spacing w:line="520" w:lineRule="exact"/>
        <w:ind w:firstLine="480" w:firstLineChars="200"/>
        <w:rPr>
          <w:rFonts w:cs="宋体"/>
          <w:sz w:val="24"/>
        </w:rPr>
      </w:pPr>
      <w:r>
        <w:rPr>
          <w:rFonts w:hint="eastAsia" w:cs="宋体"/>
          <w:sz w:val="24"/>
        </w:rPr>
        <w:t xml:space="preserve">           4.不拖欠民工工资承诺书</w:t>
      </w:r>
    </w:p>
    <w:p w14:paraId="4D32B3A1">
      <w:pPr>
        <w:autoSpaceDE w:val="0"/>
        <w:autoSpaceDN w:val="0"/>
        <w:spacing w:line="520" w:lineRule="exact"/>
        <w:ind w:firstLine="480" w:firstLineChars="200"/>
        <w:rPr>
          <w:rFonts w:cs="宋体"/>
          <w:sz w:val="24"/>
        </w:rPr>
      </w:pPr>
      <w:r>
        <w:rPr>
          <w:rFonts w:hint="eastAsia" w:cs="宋体"/>
          <w:sz w:val="24"/>
        </w:rPr>
        <w:t xml:space="preserve">           5.合作伙伴合规承诺书</w:t>
      </w:r>
    </w:p>
    <w:p w14:paraId="65A4889C">
      <w:pPr>
        <w:snapToGrid w:val="0"/>
        <w:spacing w:line="520" w:lineRule="exact"/>
        <w:ind w:firstLine="480" w:firstLineChars="200"/>
        <w:rPr>
          <w:rFonts w:cs="宋体"/>
          <w:sz w:val="24"/>
        </w:rPr>
      </w:pPr>
    </w:p>
    <w:p w14:paraId="024B2650">
      <w:pPr>
        <w:snapToGrid w:val="0"/>
        <w:spacing w:line="520" w:lineRule="exact"/>
        <w:ind w:firstLine="480" w:firstLineChars="200"/>
        <w:rPr>
          <w:rFonts w:cs="宋体"/>
          <w:sz w:val="24"/>
        </w:rPr>
      </w:pPr>
      <w:r>
        <w:rPr>
          <w:rFonts w:hint="eastAsia" w:cs="宋体"/>
          <w:sz w:val="24"/>
        </w:rPr>
        <w:t>甲方（盖章）：                                乙方（盖章）：</w:t>
      </w:r>
    </w:p>
    <w:p w14:paraId="18C7ED44">
      <w:pPr>
        <w:snapToGrid w:val="0"/>
        <w:spacing w:line="520" w:lineRule="exact"/>
        <w:ind w:firstLine="480" w:firstLineChars="200"/>
        <w:rPr>
          <w:rFonts w:cs="宋体"/>
          <w:sz w:val="24"/>
        </w:rPr>
      </w:pPr>
    </w:p>
    <w:p w14:paraId="7AD22C48">
      <w:pPr>
        <w:snapToGrid w:val="0"/>
        <w:spacing w:line="520" w:lineRule="exact"/>
        <w:ind w:firstLine="480" w:firstLineChars="200"/>
        <w:rPr>
          <w:rFonts w:cs="宋体"/>
          <w:sz w:val="24"/>
        </w:rPr>
      </w:pPr>
      <w:r>
        <w:rPr>
          <w:rFonts w:hint="eastAsia" w:cs="宋体"/>
          <w:sz w:val="24"/>
        </w:rPr>
        <w:t>代表：                                       代表：</w:t>
      </w:r>
    </w:p>
    <w:p w14:paraId="60D43C26">
      <w:pPr>
        <w:snapToGrid w:val="0"/>
        <w:spacing w:line="520" w:lineRule="exact"/>
        <w:rPr>
          <w:rFonts w:cs="宋体"/>
          <w:sz w:val="24"/>
        </w:rPr>
      </w:pPr>
      <w:r>
        <w:rPr>
          <w:rFonts w:hint="eastAsia" w:cs="宋体"/>
          <w:sz w:val="24"/>
        </w:rPr>
        <w:t xml:space="preserve">      </w:t>
      </w:r>
    </w:p>
    <w:p w14:paraId="75F0642D">
      <w:pPr>
        <w:snapToGrid w:val="0"/>
        <w:spacing w:line="520" w:lineRule="exact"/>
        <w:rPr>
          <w:rFonts w:cs="宋体"/>
          <w:sz w:val="24"/>
        </w:rPr>
      </w:pPr>
      <w:r>
        <w:rPr>
          <w:rFonts w:hint="eastAsia" w:cs="宋体"/>
          <w:sz w:val="24"/>
        </w:rPr>
        <w:t xml:space="preserve">   年    月    日                                年    月    日</w:t>
      </w:r>
    </w:p>
    <w:p w14:paraId="17D0CF9B">
      <w:pPr>
        <w:snapToGrid w:val="0"/>
        <w:spacing w:line="520" w:lineRule="exact"/>
        <w:jc w:val="left"/>
        <w:rPr>
          <w:rFonts w:cs="宋体"/>
          <w:b/>
          <w:sz w:val="28"/>
          <w:szCs w:val="28"/>
        </w:rPr>
      </w:pPr>
    </w:p>
    <w:p w14:paraId="00FEA877">
      <w:pPr>
        <w:snapToGrid w:val="0"/>
        <w:spacing w:line="520" w:lineRule="exact"/>
        <w:jc w:val="left"/>
        <w:rPr>
          <w:rFonts w:cs="宋体"/>
          <w:szCs w:val="21"/>
        </w:rPr>
      </w:pPr>
      <w:r>
        <w:rPr>
          <w:rFonts w:hint="eastAsia" w:cs="宋体"/>
          <w:b/>
          <w:sz w:val="28"/>
          <w:szCs w:val="28"/>
        </w:rPr>
        <w:t>附</w:t>
      </w:r>
      <w:bookmarkStart w:id="88" w:name="_Toc296891266"/>
      <w:bookmarkStart w:id="89" w:name="_Toc267261693"/>
      <w:bookmarkStart w:id="90" w:name="_Toc296944565"/>
      <w:bookmarkStart w:id="91" w:name="_Toc296347225"/>
      <w:bookmarkStart w:id="92" w:name="_Toc296891054"/>
      <w:bookmarkStart w:id="93" w:name="_Toc296346727"/>
      <w:bookmarkStart w:id="94" w:name="_Toc296503226"/>
      <w:r>
        <w:rPr>
          <w:rFonts w:hint="eastAsia" w:cs="宋体"/>
          <w:b/>
          <w:sz w:val="28"/>
          <w:szCs w:val="28"/>
        </w:rPr>
        <w:t>件1：</w:t>
      </w:r>
      <w:bookmarkEnd w:id="88"/>
      <w:bookmarkEnd w:id="89"/>
      <w:bookmarkEnd w:id="90"/>
      <w:bookmarkEnd w:id="91"/>
      <w:bookmarkEnd w:id="92"/>
      <w:bookmarkEnd w:id="93"/>
      <w:bookmarkEnd w:id="94"/>
      <w:r>
        <w:rPr>
          <w:rFonts w:hint="eastAsia" w:cs="宋体"/>
          <w:szCs w:val="21"/>
        </w:rPr>
        <w:t xml:space="preserve"> </w:t>
      </w:r>
    </w:p>
    <w:p w14:paraId="79F28C2C">
      <w:pPr>
        <w:spacing w:before="156" w:beforeLines="50" w:after="156" w:afterLines="50" w:line="440" w:lineRule="exact"/>
        <w:jc w:val="center"/>
        <w:rPr>
          <w:rFonts w:cs="宋体"/>
          <w:sz w:val="30"/>
          <w:szCs w:val="30"/>
        </w:rPr>
      </w:pPr>
      <w:r>
        <w:rPr>
          <w:rFonts w:hint="eastAsia" w:cs="宋体"/>
          <w:sz w:val="30"/>
          <w:szCs w:val="30"/>
        </w:rPr>
        <w:t>工程质量保修书</w:t>
      </w:r>
    </w:p>
    <w:p w14:paraId="42CAB130">
      <w:pPr>
        <w:spacing w:line="440" w:lineRule="exact"/>
        <w:ind w:firstLine="420" w:firstLineChars="200"/>
        <w:rPr>
          <w:rFonts w:cs="宋体"/>
        </w:rPr>
      </w:pPr>
      <w:r>
        <w:rPr>
          <w:rFonts w:hint="eastAsia" w:cs="宋体"/>
        </w:rPr>
        <w:t>发包人（全称）：</w:t>
      </w:r>
      <w:r>
        <w:rPr>
          <w:rFonts w:hint="eastAsia" w:cs="宋体"/>
          <w:u w:val="single"/>
        </w:rPr>
        <w:t xml:space="preserve">                               </w:t>
      </w:r>
    </w:p>
    <w:p w14:paraId="2DE10DC7">
      <w:pPr>
        <w:spacing w:line="440" w:lineRule="exact"/>
        <w:ind w:firstLine="420" w:firstLineChars="200"/>
        <w:rPr>
          <w:rFonts w:cs="宋体"/>
        </w:rPr>
      </w:pPr>
      <w:r>
        <w:rPr>
          <w:rFonts w:hint="eastAsia" w:cs="宋体"/>
        </w:rPr>
        <w:t>承包人（全称）：</w:t>
      </w:r>
      <w:r>
        <w:rPr>
          <w:rFonts w:hint="eastAsia" w:cs="宋体"/>
          <w:u w:val="single"/>
        </w:rPr>
        <w:t xml:space="preserve">                               </w:t>
      </w:r>
    </w:p>
    <w:p w14:paraId="389184F1">
      <w:pPr>
        <w:spacing w:line="440" w:lineRule="exact"/>
        <w:rPr>
          <w:rFonts w:cs="宋体"/>
        </w:rPr>
      </w:pPr>
    </w:p>
    <w:p w14:paraId="3EC6EE2D">
      <w:pPr>
        <w:ind w:firstLine="420" w:firstLineChars="200"/>
        <w:rPr>
          <w:rFonts w:cs="宋体"/>
        </w:rPr>
      </w:pPr>
      <w:r>
        <w:rPr>
          <w:rFonts w:hint="eastAsia" w:cs="宋体"/>
        </w:rPr>
        <w:t>发包人和承包人根据《中华人民共和国建筑法》和《建设工程质量管理条例》，经协商一致就</w:t>
      </w:r>
      <w:r>
        <w:rPr>
          <w:rFonts w:hint="eastAsia" w:cs="宋体"/>
          <w:u w:val="single"/>
        </w:rPr>
        <w:t>温州港口服务有限公司海港大厦1幢1501室（北）办公用房装修项目</w:t>
      </w:r>
      <w:r>
        <w:rPr>
          <w:rFonts w:hint="eastAsia" w:cs="宋体"/>
        </w:rPr>
        <w:t>签订工程质量保修书。</w:t>
      </w:r>
    </w:p>
    <w:p w14:paraId="7A06C33B">
      <w:pPr>
        <w:spacing w:line="360" w:lineRule="auto"/>
        <w:ind w:firstLine="420" w:firstLineChars="200"/>
        <w:rPr>
          <w:rFonts w:cs="宋体"/>
        </w:rPr>
      </w:pPr>
      <w:r>
        <w:rPr>
          <w:rFonts w:hint="eastAsia" w:cs="宋体"/>
        </w:rPr>
        <w:t>一、工程质量保修范围和内容</w:t>
      </w:r>
    </w:p>
    <w:p w14:paraId="3812911D">
      <w:pPr>
        <w:spacing w:line="360" w:lineRule="auto"/>
        <w:ind w:firstLine="420" w:firstLineChars="200"/>
        <w:rPr>
          <w:rFonts w:cs="宋体"/>
        </w:rPr>
      </w:pPr>
      <w:r>
        <w:rPr>
          <w:rFonts w:hint="eastAsia" w:cs="宋体"/>
        </w:rPr>
        <w:t>承包人在质量保修期内，按照有关法律规定和合同约定，承担工程质量保修责任。</w:t>
      </w:r>
    </w:p>
    <w:p w14:paraId="6B9E9E15">
      <w:pPr>
        <w:spacing w:line="360" w:lineRule="auto"/>
        <w:ind w:firstLine="420" w:firstLineChars="200"/>
        <w:rPr>
          <w:rFonts w:cs="宋体"/>
        </w:rPr>
      </w:pPr>
      <w:r>
        <w:rPr>
          <w:rFonts w:hint="eastAsia" w:cs="宋体"/>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u w:val="single"/>
        </w:rPr>
        <w:t>本工程施工合同范围内的所有承包人施工的工程内容</w:t>
      </w:r>
      <w:r>
        <w:rPr>
          <w:rFonts w:hint="eastAsia" w:cs="宋体"/>
        </w:rPr>
        <w:t>。</w:t>
      </w:r>
    </w:p>
    <w:p w14:paraId="59FB4FA1">
      <w:pPr>
        <w:spacing w:line="360" w:lineRule="auto"/>
        <w:ind w:firstLine="420" w:firstLineChars="200"/>
        <w:rPr>
          <w:rFonts w:cs="宋体"/>
          <w:szCs w:val="21"/>
        </w:rPr>
      </w:pPr>
      <w:r>
        <w:rPr>
          <w:rFonts w:hint="eastAsia" w:cs="宋体"/>
        </w:rPr>
        <w:t>二、质量保修期</w:t>
      </w:r>
    </w:p>
    <w:p w14:paraId="5EB13269">
      <w:pPr>
        <w:spacing w:line="360" w:lineRule="auto"/>
        <w:ind w:firstLine="420" w:firstLineChars="200"/>
        <w:rPr>
          <w:rFonts w:cs="宋体"/>
        </w:rPr>
      </w:pPr>
      <w:r>
        <w:rPr>
          <w:rFonts w:hint="eastAsia" w:cs="宋体"/>
        </w:rPr>
        <w:t>根据《建设工程质量管理条例》及有关规定，工程的质量保修期如下：</w:t>
      </w:r>
    </w:p>
    <w:p w14:paraId="162959D5">
      <w:pPr>
        <w:numPr>
          <w:ilvl w:val="0"/>
          <w:numId w:val="6"/>
        </w:numPr>
        <w:spacing w:line="360" w:lineRule="auto"/>
        <w:ind w:firstLine="420" w:firstLineChars="200"/>
        <w:rPr>
          <w:rFonts w:cs="宋体"/>
        </w:rPr>
      </w:pPr>
      <w:r>
        <w:rPr>
          <w:rFonts w:hint="eastAsia" w:cs="宋体"/>
        </w:rPr>
        <w:t>地基基础工程和主体结构工程为设计文件规定的工程合理使用年限；</w:t>
      </w:r>
    </w:p>
    <w:p w14:paraId="380A7DFB">
      <w:pPr>
        <w:numPr>
          <w:ilvl w:val="0"/>
          <w:numId w:val="6"/>
        </w:numPr>
        <w:spacing w:line="360" w:lineRule="auto"/>
        <w:ind w:firstLine="420" w:firstLineChars="200"/>
        <w:rPr>
          <w:rFonts w:cs="宋体"/>
        </w:rPr>
      </w:pPr>
      <w:r>
        <w:rPr>
          <w:rFonts w:hint="eastAsia" w:cs="宋体"/>
        </w:rPr>
        <w:t>屋面防水工程、有防水要求的卫生间、房间和外墙面的防渗为</w:t>
      </w:r>
      <w:r>
        <w:rPr>
          <w:rFonts w:hint="eastAsia" w:cs="宋体"/>
          <w:u w:val="single"/>
        </w:rPr>
        <w:t xml:space="preserve"> 5 </w:t>
      </w:r>
      <w:r>
        <w:rPr>
          <w:rFonts w:hint="eastAsia" w:cs="宋体"/>
        </w:rPr>
        <w:t>年；</w:t>
      </w:r>
    </w:p>
    <w:p w14:paraId="6B004D6D">
      <w:pPr>
        <w:numPr>
          <w:ilvl w:val="0"/>
          <w:numId w:val="6"/>
        </w:numPr>
        <w:spacing w:line="360" w:lineRule="auto"/>
        <w:ind w:firstLine="420" w:firstLineChars="200"/>
        <w:rPr>
          <w:rFonts w:cs="宋体"/>
        </w:rPr>
      </w:pPr>
      <w:r>
        <w:rPr>
          <w:rFonts w:hint="eastAsia" w:cs="宋体"/>
        </w:rPr>
        <w:t>装修工程为</w:t>
      </w:r>
      <w:r>
        <w:rPr>
          <w:rFonts w:hint="eastAsia" w:cs="宋体"/>
        </w:rPr>
        <w:fldChar w:fldCharType="begin"/>
      </w:r>
      <w:r>
        <w:rPr>
          <w:rFonts w:hint="eastAsia" w:cs="宋体"/>
        </w:rPr>
        <w:instrText xml:space="preserve"> INCLUDEPICTURE "http://ba.wzzj.net.cn/images/help.gif" \* MERGEFORMATINET </w:instrText>
      </w:r>
      <w:r>
        <w:rPr>
          <w:rFonts w:hint="eastAsia" w:cs="宋体"/>
        </w:rPr>
        <w:fldChar w:fldCharType="end"/>
      </w:r>
      <w:r>
        <w:rPr>
          <w:rFonts w:hint="eastAsia" w:cs="宋体"/>
        </w:rPr>
        <w:t>2年；</w:t>
      </w:r>
    </w:p>
    <w:p w14:paraId="55850F3F">
      <w:pPr>
        <w:numPr>
          <w:ilvl w:val="0"/>
          <w:numId w:val="6"/>
        </w:numPr>
        <w:spacing w:line="360" w:lineRule="auto"/>
        <w:ind w:firstLine="420" w:firstLineChars="200"/>
        <w:rPr>
          <w:rFonts w:cs="宋体"/>
        </w:rPr>
      </w:pPr>
      <w:r>
        <w:rPr>
          <w:rFonts w:hint="eastAsia" w:cs="宋体"/>
        </w:rPr>
        <w:t>电气管线、给排水管道、设备安装工程为</w:t>
      </w:r>
      <w:r>
        <w:rPr>
          <w:rFonts w:hint="eastAsia" w:cs="宋体"/>
        </w:rPr>
        <w:fldChar w:fldCharType="begin"/>
      </w:r>
      <w:r>
        <w:rPr>
          <w:rFonts w:hint="eastAsia" w:cs="宋体"/>
        </w:rPr>
        <w:instrText xml:space="preserve"> INCLUDEPICTURE "http://ba.wzzj.net.cn/images/help.gif" \* MERGEFORMATINET </w:instrText>
      </w:r>
      <w:r>
        <w:rPr>
          <w:rFonts w:hint="eastAsia" w:cs="宋体"/>
        </w:rPr>
        <w:fldChar w:fldCharType="end"/>
      </w:r>
      <w:r>
        <w:rPr>
          <w:rFonts w:hint="eastAsia" w:cs="宋体"/>
        </w:rPr>
        <w:t>2年；</w:t>
      </w:r>
    </w:p>
    <w:p w14:paraId="6A51EFEC">
      <w:pPr>
        <w:numPr>
          <w:ilvl w:val="0"/>
          <w:numId w:val="6"/>
        </w:numPr>
        <w:spacing w:line="360" w:lineRule="auto"/>
        <w:ind w:firstLine="420" w:firstLineChars="200"/>
        <w:rPr>
          <w:rFonts w:cs="宋体"/>
        </w:rPr>
      </w:pPr>
      <w:r>
        <w:rPr>
          <w:rFonts w:hint="eastAsia" w:cs="宋体"/>
        </w:rPr>
        <w:t xml:space="preserve">供热与供冷系统为 </w:t>
      </w:r>
      <w:r>
        <w:rPr>
          <w:rFonts w:hint="eastAsia" w:cs="宋体"/>
          <w:u w:val="single"/>
        </w:rPr>
        <w:t xml:space="preserve"> 2 </w:t>
      </w:r>
      <w:r>
        <w:rPr>
          <w:rFonts w:hint="eastAsia" w:cs="宋体"/>
        </w:rPr>
        <w:t>个采暖期、供冷期；</w:t>
      </w:r>
    </w:p>
    <w:p w14:paraId="0CED7E63">
      <w:pPr>
        <w:numPr>
          <w:ilvl w:val="0"/>
          <w:numId w:val="6"/>
        </w:numPr>
        <w:spacing w:line="360" w:lineRule="auto"/>
        <w:ind w:firstLine="420" w:firstLineChars="200"/>
        <w:rPr>
          <w:rFonts w:cs="宋体"/>
        </w:rPr>
      </w:pPr>
      <w:r>
        <w:rPr>
          <w:rFonts w:hint="eastAsia" w:cs="宋体"/>
        </w:rPr>
        <w:t>住宅小区内的给排水设施、道路等配套工程为</w:t>
      </w:r>
      <w:r>
        <w:rPr>
          <w:rFonts w:hint="eastAsia" w:cs="宋体"/>
          <w:u w:val="single"/>
        </w:rPr>
        <w:t xml:space="preserve"> 2 </w:t>
      </w:r>
      <w:r>
        <w:rPr>
          <w:rFonts w:hint="eastAsia" w:cs="宋体"/>
        </w:rPr>
        <w:t>年；</w:t>
      </w:r>
    </w:p>
    <w:p w14:paraId="5334802C">
      <w:pPr>
        <w:numPr>
          <w:ilvl w:val="0"/>
          <w:numId w:val="6"/>
        </w:numPr>
        <w:spacing w:line="360" w:lineRule="auto"/>
        <w:ind w:firstLine="420" w:firstLineChars="200"/>
        <w:rPr>
          <w:rFonts w:cs="宋体"/>
        </w:rPr>
      </w:pPr>
      <w:r>
        <w:rPr>
          <w:rFonts w:hint="eastAsia" w:cs="宋体"/>
        </w:rPr>
        <w:t>其他项目保修期限约定如下：本工程保修期为2年。</w:t>
      </w:r>
      <w:r>
        <w:rPr>
          <w:rFonts w:hint="eastAsia" w:cs="宋体"/>
        </w:rPr>
        <w:fldChar w:fldCharType="begin"/>
      </w:r>
      <w:r>
        <w:rPr>
          <w:rFonts w:hint="eastAsia" w:cs="宋体"/>
        </w:rPr>
        <w:instrText xml:space="preserve"> INCLUDEPICTURE "http://ba.wzzj.net.cn/images/help.gif" \* MERGEFORMATINET </w:instrText>
      </w:r>
      <w:r>
        <w:rPr>
          <w:rFonts w:hint="eastAsia" w:cs="宋体"/>
        </w:rPr>
        <w:fldChar w:fldCharType="end"/>
      </w:r>
      <w:r>
        <w:rPr>
          <w:rFonts w:hint="eastAsia" w:cs="宋体"/>
        </w:rPr>
        <w:t>延保期从保修完成之日（发包人要求更换之日）开始计算，未列明的其他内容的保修期国家省市有规定的从其规定，没有规定的则保修期为2年。 </w:t>
      </w:r>
    </w:p>
    <w:p w14:paraId="2E7A9E46">
      <w:pPr>
        <w:spacing w:line="360" w:lineRule="auto"/>
        <w:ind w:firstLine="420" w:firstLineChars="200"/>
        <w:rPr>
          <w:rFonts w:cs="宋体"/>
        </w:rPr>
      </w:pPr>
      <w:r>
        <w:rPr>
          <w:rFonts w:hint="eastAsia" w:cs="宋体"/>
        </w:rPr>
        <w:t>质量保修期自工程验收合格之日起计算。</w:t>
      </w:r>
    </w:p>
    <w:p w14:paraId="3A7237AB">
      <w:pPr>
        <w:ind w:firstLine="420" w:firstLineChars="200"/>
        <w:rPr>
          <w:rFonts w:cs="宋体"/>
          <w:szCs w:val="21"/>
        </w:rPr>
      </w:pPr>
      <w:r>
        <w:rPr>
          <w:rFonts w:hint="eastAsia" w:cs="宋体"/>
          <w:szCs w:val="21"/>
        </w:rPr>
        <w:t>三、缺陷责任期</w:t>
      </w:r>
    </w:p>
    <w:p w14:paraId="0ABE7359">
      <w:pPr>
        <w:ind w:firstLine="420" w:firstLineChars="200"/>
        <w:rPr>
          <w:rFonts w:cs="宋体"/>
        </w:rPr>
      </w:pPr>
      <w:r>
        <w:rPr>
          <w:rFonts w:hint="eastAsia" w:cs="宋体"/>
        </w:rPr>
        <w:t>工程缺陷责任期为</w:t>
      </w:r>
      <w:r>
        <w:rPr>
          <w:rFonts w:hint="eastAsia" w:cs="宋体"/>
        </w:rPr>
        <w:fldChar w:fldCharType="begin"/>
      </w:r>
      <w:r>
        <w:rPr>
          <w:rFonts w:hint="eastAsia" w:cs="宋体"/>
        </w:rPr>
        <w:instrText xml:space="preserve"> INCLUDEPICTURE "http://ba.wzzj.net.cn/images/help.gif" \* MERGEFORMATINET </w:instrText>
      </w:r>
      <w:r>
        <w:rPr>
          <w:rFonts w:hint="eastAsia" w:cs="宋体"/>
        </w:rPr>
        <w:fldChar w:fldCharType="end"/>
      </w:r>
      <w:r>
        <w:rPr>
          <w:rFonts w:hint="eastAsia" w:cs="宋体"/>
          <w:u w:val="single"/>
        </w:rPr>
        <w:t>24</w:t>
      </w:r>
      <w:r>
        <w:rPr>
          <w:rFonts w:hint="eastAsia" w:cs="宋体"/>
        </w:rPr>
        <w:t>个月，缺陷责任期自工程通过验收之日起计算。单位工程先于全部工程进行验收，单位工程缺陷责任期自单位工程验收合格之日起算。</w:t>
      </w:r>
    </w:p>
    <w:p w14:paraId="590C1F41">
      <w:pPr>
        <w:ind w:firstLine="420" w:firstLineChars="200"/>
        <w:rPr>
          <w:rFonts w:cs="宋体"/>
        </w:rPr>
      </w:pPr>
      <w:r>
        <w:rPr>
          <w:rFonts w:hint="eastAsia" w:cs="宋体"/>
        </w:rPr>
        <w:t>缺陷责任期终止后，发包人应退还剩余的质量保证金。</w:t>
      </w:r>
    </w:p>
    <w:p w14:paraId="58F079BE">
      <w:pPr>
        <w:ind w:firstLine="420" w:firstLineChars="200"/>
        <w:rPr>
          <w:rFonts w:cs="宋体"/>
          <w:szCs w:val="21"/>
        </w:rPr>
      </w:pPr>
      <w:r>
        <w:rPr>
          <w:rFonts w:hint="eastAsia" w:cs="宋体"/>
          <w:szCs w:val="21"/>
        </w:rPr>
        <w:t>四、质量保修责任</w:t>
      </w:r>
    </w:p>
    <w:p w14:paraId="3BCCB6B5">
      <w:pPr>
        <w:ind w:firstLine="430" w:firstLineChars="205"/>
        <w:rPr>
          <w:rFonts w:cs="宋体"/>
          <w:szCs w:val="21"/>
        </w:rPr>
      </w:pPr>
      <w:r>
        <w:rPr>
          <w:rFonts w:hint="eastAsia" w:cs="宋体"/>
          <w:szCs w:val="21"/>
        </w:rPr>
        <w:t>1．属于保修范围、内容的项目，承包人应当在接到保修通知之日起7天内派人保修。承包人不在约定期限内派人保修的，发包人可以委托他人修理，费用由承包人承担。</w:t>
      </w:r>
    </w:p>
    <w:p w14:paraId="59FE96A7">
      <w:pPr>
        <w:ind w:firstLine="430" w:firstLineChars="205"/>
        <w:rPr>
          <w:rFonts w:cs="宋体"/>
          <w:szCs w:val="21"/>
        </w:rPr>
      </w:pPr>
      <w:r>
        <w:rPr>
          <w:rFonts w:hint="eastAsia" w:cs="宋体"/>
          <w:szCs w:val="21"/>
        </w:rPr>
        <w:t>2．发生紧急事故需抢修的，承包人在接到事故通知后，应当立即到达事故现场抢修。</w:t>
      </w:r>
    </w:p>
    <w:p w14:paraId="61ECB8BA">
      <w:pPr>
        <w:ind w:firstLine="430" w:firstLineChars="205"/>
        <w:rPr>
          <w:rFonts w:cs="宋体"/>
          <w:szCs w:val="21"/>
        </w:rPr>
      </w:pPr>
      <w:r>
        <w:rPr>
          <w:rFonts w:hint="eastAsia" w:cs="宋体"/>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4208B28">
      <w:pPr>
        <w:ind w:firstLine="430" w:firstLineChars="205"/>
        <w:rPr>
          <w:rFonts w:cs="宋体"/>
          <w:szCs w:val="21"/>
        </w:rPr>
      </w:pPr>
      <w:r>
        <w:rPr>
          <w:rFonts w:hint="eastAsia" w:cs="宋体"/>
          <w:szCs w:val="21"/>
        </w:rPr>
        <w:t>4．质量保修完成后，由发包人组织验收。</w:t>
      </w:r>
    </w:p>
    <w:p w14:paraId="203870A1">
      <w:pPr>
        <w:ind w:firstLine="430" w:firstLineChars="205"/>
        <w:rPr>
          <w:rFonts w:cs="宋体"/>
          <w:szCs w:val="21"/>
        </w:rPr>
      </w:pPr>
      <w:r>
        <w:rPr>
          <w:rFonts w:hint="eastAsia" w:cs="宋体"/>
          <w:szCs w:val="21"/>
        </w:rPr>
        <w:t>五、保修费用</w:t>
      </w:r>
    </w:p>
    <w:p w14:paraId="2E3A2701">
      <w:pPr>
        <w:ind w:firstLine="430" w:firstLineChars="205"/>
        <w:rPr>
          <w:rFonts w:cs="宋体"/>
          <w:szCs w:val="21"/>
        </w:rPr>
      </w:pPr>
      <w:r>
        <w:rPr>
          <w:rFonts w:hint="eastAsia" w:cs="宋体"/>
          <w:szCs w:val="21"/>
        </w:rPr>
        <w:t>保修费用由造成质量缺陷的责任方承担。</w:t>
      </w:r>
    </w:p>
    <w:p w14:paraId="01F381B5">
      <w:pPr>
        <w:ind w:firstLine="430" w:firstLineChars="205"/>
        <w:rPr>
          <w:rFonts w:cs="宋体"/>
          <w:szCs w:val="21"/>
        </w:rPr>
      </w:pPr>
      <w:r>
        <w:rPr>
          <w:rFonts w:hint="eastAsia" w:cs="宋体"/>
          <w:szCs w:val="21"/>
        </w:rPr>
        <w:t>六、双方约定的其他工程质量保修事项：</w:t>
      </w:r>
      <w:bookmarkStart w:id="95" w:name="OLE_LINK4"/>
      <w:r>
        <w:rPr>
          <w:rFonts w:hint="eastAsia" w:cs="宋体"/>
          <w:u w:val="single"/>
        </w:rPr>
        <w:t>工程验收合格后，承包人提供结算价的</w:t>
      </w:r>
      <w:r>
        <w:rPr>
          <w:rFonts w:hint="eastAsia" w:cs="宋体"/>
          <w:szCs w:val="21"/>
          <w:u w:val="single"/>
        </w:rPr>
        <w:t>1.5%作为工程质量保证金，待</w:t>
      </w:r>
      <w:bookmarkStart w:id="96" w:name="OLE_LINK6"/>
      <w:r>
        <w:rPr>
          <w:rFonts w:hint="eastAsia" w:ascii="宋体" w:hAnsi="宋体" w:eastAsia="宋体" w:cs="宋体"/>
          <w:b w:val="0"/>
          <w:i w:val="0"/>
          <w:caps w:val="0"/>
          <w:spacing w:val="0"/>
          <w:sz w:val="21"/>
          <w:szCs w:val="21"/>
          <w:shd w:val="clear"/>
        </w:rPr>
        <w:t>缺陷责任期</w:t>
      </w:r>
      <w:bookmarkEnd w:id="96"/>
      <w:r>
        <w:rPr>
          <w:rFonts w:hint="eastAsia" w:cs="宋体"/>
          <w:szCs w:val="21"/>
          <w:u w:val="none"/>
        </w:rPr>
        <w:t>2</w:t>
      </w:r>
      <w:r>
        <w:rPr>
          <w:rFonts w:hint="eastAsia" w:cs="宋体"/>
          <w:szCs w:val="21"/>
          <w:u w:val="single"/>
        </w:rPr>
        <w:t>年满后无质量问题，一次性退还）</w:t>
      </w:r>
      <w:bookmarkEnd w:id="95"/>
      <w:r>
        <w:rPr>
          <w:rFonts w:hint="eastAsia" w:cs="宋体"/>
          <w:szCs w:val="21"/>
          <w:u w:val="single"/>
        </w:rPr>
        <w:t>。</w:t>
      </w:r>
    </w:p>
    <w:p w14:paraId="725E2FF2">
      <w:pPr>
        <w:ind w:firstLine="430" w:firstLineChars="205"/>
        <w:rPr>
          <w:rFonts w:cs="宋体"/>
          <w:szCs w:val="21"/>
        </w:rPr>
      </w:pPr>
    </w:p>
    <w:p w14:paraId="1E818FB0">
      <w:pPr>
        <w:ind w:firstLine="399" w:firstLineChars="190"/>
        <w:rPr>
          <w:rFonts w:cs="宋体"/>
          <w:szCs w:val="21"/>
        </w:rPr>
      </w:pPr>
      <w:r>
        <w:rPr>
          <w:rFonts w:hint="eastAsia" w:cs="宋体"/>
          <w:szCs w:val="21"/>
        </w:rPr>
        <w:t>工程质量保修书由发包人、承包人在工程验收前共同签署，作为施工合同附件，其有效期限至保修期满。</w:t>
      </w:r>
    </w:p>
    <w:p w14:paraId="78A3B9E6">
      <w:pPr>
        <w:ind w:firstLine="420"/>
        <w:rPr>
          <w:rFonts w:cs="宋体"/>
          <w:szCs w:val="21"/>
        </w:rPr>
      </w:pPr>
    </w:p>
    <w:p w14:paraId="1463037E">
      <w:pPr>
        <w:rPr>
          <w:rFonts w:cs="宋体"/>
          <w:szCs w:val="21"/>
        </w:rPr>
      </w:pPr>
      <w:r>
        <w:rPr>
          <w:rFonts w:hint="eastAsia" w:cs="宋体"/>
          <w:szCs w:val="21"/>
        </w:rPr>
        <w:t>发包人(公章)：</w:t>
      </w:r>
      <w:r>
        <w:rPr>
          <w:rFonts w:hint="eastAsia" w:cs="宋体"/>
          <w:szCs w:val="21"/>
          <w:u w:val="single"/>
        </w:rPr>
        <w:t xml:space="preserve">        </w:t>
      </w:r>
      <w:r>
        <w:rPr>
          <w:rFonts w:hint="eastAsia" w:cs="宋体"/>
          <w:szCs w:val="21"/>
        </w:rPr>
        <w:t xml:space="preserve"> 承包人(公章)：</w:t>
      </w:r>
      <w:r>
        <w:rPr>
          <w:rFonts w:hint="eastAsia" w:cs="宋体"/>
          <w:szCs w:val="21"/>
          <w:u w:val="single"/>
        </w:rPr>
        <w:t xml:space="preserve">           </w:t>
      </w:r>
    </w:p>
    <w:p w14:paraId="62B3B56E">
      <w:pPr>
        <w:rPr>
          <w:rFonts w:cs="宋体"/>
          <w:szCs w:val="21"/>
        </w:rPr>
      </w:pPr>
      <w:r>
        <w:rPr>
          <w:rFonts w:hint="eastAsia" w:cs="宋体"/>
          <w:szCs w:val="21"/>
        </w:rPr>
        <w:t>地  址：</w:t>
      </w:r>
      <w:r>
        <w:rPr>
          <w:rFonts w:hint="eastAsia" w:cs="宋体"/>
          <w:szCs w:val="21"/>
          <w:u w:val="single"/>
        </w:rPr>
        <w:t xml:space="preserve">     </w:t>
      </w:r>
      <w:r>
        <w:rPr>
          <w:rFonts w:hint="eastAsia" w:cs="宋体"/>
          <w:szCs w:val="21"/>
        </w:rPr>
        <w:t xml:space="preserve"> 地  址：</w:t>
      </w:r>
      <w:r>
        <w:rPr>
          <w:rFonts w:hint="eastAsia" w:cs="宋体"/>
          <w:szCs w:val="21"/>
          <w:u w:val="single"/>
        </w:rPr>
        <w:t xml:space="preserve">       </w:t>
      </w:r>
    </w:p>
    <w:p w14:paraId="0E076CF5">
      <w:pPr>
        <w:rPr>
          <w:rFonts w:cs="宋体"/>
          <w:szCs w:val="21"/>
        </w:rPr>
      </w:pPr>
      <w:r>
        <w:rPr>
          <w:rFonts w:hint="eastAsia" w:cs="宋体"/>
          <w:szCs w:val="21"/>
        </w:rPr>
        <w:t>法定代表人(签字)：</w:t>
      </w:r>
      <w:r>
        <w:rPr>
          <w:rFonts w:hint="eastAsia" w:cs="宋体"/>
          <w:szCs w:val="21"/>
          <w:u w:val="single"/>
        </w:rPr>
        <w:t xml:space="preserve">      </w:t>
      </w:r>
      <w:r>
        <w:rPr>
          <w:rFonts w:hint="eastAsia" w:cs="宋体"/>
          <w:szCs w:val="21"/>
        </w:rPr>
        <w:t xml:space="preserve"> 法定代表人(签字)：</w:t>
      </w:r>
      <w:r>
        <w:rPr>
          <w:rFonts w:hint="eastAsia" w:cs="宋体"/>
          <w:szCs w:val="21"/>
          <w:u w:val="single"/>
        </w:rPr>
        <w:t xml:space="preserve">       </w:t>
      </w:r>
    </w:p>
    <w:p w14:paraId="266248F9">
      <w:pPr>
        <w:rPr>
          <w:rFonts w:cs="宋体"/>
          <w:szCs w:val="21"/>
        </w:rPr>
      </w:pPr>
      <w:r>
        <w:rPr>
          <w:rFonts w:hint="eastAsia" w:cs="宋体"/>
          <w:szCs w:val="21"/>
        </w:rPr>
        <w:t>委托代理人(签字)：</w:t>
      </w:r>
      <w:r>
        <w:rPr>
          <w:rFonts w:hint="eastAsia" w:cs="宋体"/>
          <w:szCs w:val="21"/>
          <w:u w:val="single"/>
        </w:rPr>
        <w:t xml:space="preserve">      </w:t>
      </w:r>
      <w:r>
        <w:rPr>
          <w:rFonts w:hint="eastAsia" w:cs="宋体"/>
          <w:szCs w:val="21"/>
        </w:rPr>
        <w:t xml:space="preserve"> 委托代理人(签字)：</w:t>
      </w:r>
      <w:r>
        <w:rPr>
          <w:rFonts w:hint="eastAsia" w:cs="宋体"/>
          <w:szCs w:val="21"/>
          <w:u w:val="single"/>
        </w:rPr>
        <w:t xml:space="preserve">       </w:t>
      </w:r>
    </w:p>
    <w:p w14:paraId="2D52CFDA">
      <w:pPr>
        <w:rPr>
          <w:rFonts w:cs="宋体"/>
          <w:szCs w:val="21"/>
        </w:rPr>
      </w:pPr>
      <w:r>
        <w:rPr>
          <w:rFonts w:hint="eastAsia" w:cs="宋体"/>
          <w:szCs w:val="21"/>
        </w:rPr>
        <w:t>电  话：</w:t>
      </w:r>
      <w:r>
        <w:rPr>
          <w:rFonts w:hint="eastAsia" w:cs="宋体"/>
          <w:szCs w:val="21"/>
          <w:u w:val="single"/>
        </w:rPr>
        <w:t xml:space="preserve">   </w:t>
      </w:r>
      <w:r>
        <w:rPr>
          <w:rFonts w:hint="eastAsia" w:cs="宋体"/>
          <w:szCs w:val="21"/>
        </w:rPr>
        <w:t xml:space="preserve"> 电  话：</w:t>
      </w:r>
      <w:r>
        <w:rPr>
          <w:rFonts w:hint="eastAsia" w:cs="宋体"/>
          <w:szCs w:val="21"/>
          <w:u w:val="single"/>
        </w:rPr>
        <w:t xml:space="preserve">     </w:t>
      </w:r>
    </w:p>
    <w:p w14:paraId="5ABC58A1">
      <w:pPr>
        <w:rPr>
          <w:rFonts w:cs="宋体"/>
          <w:szCs w:val="21"/>
        </w:rPr>
      </w:pPr>
      <w:r>
        <w:rPr>
          <w:rFonts w:hint="eastAsia" w:cs="宋体"/>
          <w:szCs w:val="21"/>
        </w:rPr>
        <w:t>传  真：</w:t>
      </w:r>
      <w:r>
        <w:rPr>
          <w:rFonts w:hint="eastAsia" w:cs="宋体"/>
          <w:szCs w:val="21"/>
          <w:u w:val="single"/>
        </w:rPr>
        <w:t xml:space="preserve">   </w:t>
      </w:r>
      <w:r>
        <w:rPr>
          <w:rFonts w:hint="eastAsia" w:cs="宋体"/>
          <w:szCs w:val="21"/>
        </w:rPr>
        <w:t xml:space="preserve"> 传  真：</w:t>
      </w:r>
      <w:r>
        <w:rPr>
          <w:rFonts w:hint="eastAsia" w:cs="宋体"/>
          <w:szCs w:val="21"/>
          <w:u w:val="single"/>
        </w:rPr>
        <w:t xml:space="preserve">     </w:t>
      </w:r>
    </w:p>
    <w:p w14:paraId="7FEBB130">
      <w:pPr>
        <w:rPr>
          <w:rFonts w:cs="宋体"/>
          <w:szCs w:val="21"/>
        </w:rPr>
      </w:pPr>
      <w:r>
        <w:rPr>
          <w:rFonts w:hint="eastAsia" w:cs="宋体"/>
          <w:szCs w:val="21"/>
        </w:rPr>
        <w:t>开户银行：</w:t>
      </w:r>
      <w:r>
        <w:rPr>
          <w:rFonts w:hint="eastAsia" w:cs="宋体"/>
          <w:szCs w:val="21"/>
          <w:u w:val="single"/>
        </w:rPr>
        <w:t xml:space="preserve">   </w:t>
      </w:r>
      <w:r>
        <w:rPr>
          <w:rFonts w:hint="eastAsia" w:cs="宋体"/>
          <w:szCs w:val="21"/>
        </w:rPr>
        <w:t xml:space="preserve"> 开户银行：</w:t>
      </w:r>
      <w:r>
        <w:rPr>
          <w:rFonts w:hint="eastAsia" w:cs="宋体"/>
          <w:szCs w:val="21"/>
          <w:u w:val="single"/>
        </w:rPr>
        <w:t xml:space="preserve">   </w:t>
      </w:r>
    </w:p>
    <w:p w14:paraId="44D847D3">
      <w:pPr>
        <w:rPr>
          <w:rFonts w:cs="宋体"/>
          <w:szCs w:val="21"/>
        </w:rPr>
      </w:pPr>
      <w:r>
        <w:rPr>
          <w:rFonts w:hint="eastAsia" w:cs="宋体"/>
          <w:szCs w:val="21"/>
        </w:rPr>
        <w:t>账  号：</w:t>
      </w:r>
      <w:r>
        <w:rPr>
          <w:rFonts w:hint="eastAsia" w:cs="宋体"/>
          <w:szCs w:val="21"/>
          <w:u w:val="single"/>
        </w:rPr>
        <w:t xml:space="preserve">       </w:t>
      </w:r>
      <w:r>
        <w:rPr>
          <w:rFonts w:hint="eastAsia" w:cs="宋体"/>
          <w:szCs w:val="21"/>
        </w:rPr>
        <w:t xml:space="preserve">  账  号：</w:t>
      </w:r>
      <w:r>
        <w:rPr>
          <w:rFonts w:hint="eastAsia" w:cs="宋体"/>
          <w:szCs w:val="21"/>
          <w:u w:val="single"/>
        </w:rPr>
        <w:t xml:space="preserve">     </w:t>
      </w:r>
    </w:p>
    <w:p w14:paraId="51272474">
      <w:pPr>
        <w:rPr>
          <w:rFonts w:cs="宋体"/>
          <w:szCs w:val="21"/>
          <w:u w:val="single"/>
        </w:rPr>
      </w:pPr>
      <w:r>
        <w:rPr>
          <w:rFonts w:hint="eastAsia" w:cs="宋体"/>
          <w:szCs w:val="21"/>
        </w:rPr>
        <w:t>邮政编码：</w:t>
      </w:r>
      <w:r>
        <w:rPr>
          <w:rFonts w:hint="eastAsia" w:cs="宋体"/>
          <w:szCs w:val="21"/>
          <w:u w:val="single"/>
        </w:rPr>
        <w:t xml:space="preserve">                 </w:t>
      </w:r>
      <w:r>
        <w:rPr>
          <w:rFonts w:hint="eastAsia" w:cs="宋体"/>
          <w:szCs w:val="21"/>
        </w:rPr>
        <w:t xml:space="preserve"> 邮政编码：</w:t>
      </w:r>
      <w:r>
        <w:rPr>
          <w:rFonts w:hint="eastAsia" w:cs="宋体"/>
          <w:szCs w:val="21"/>
          <w:u w:val="single"/>
        </w:rPr>
        <w:t xml:space="preserve">                     </w:t>
      </w:r>
    </w:p>
    <w:p w14:paraId="43ED70F3">
      <w:pPr>
        <w:rPr>
          <w:rFonts w:cs="宋体"/>
          <w:b/>
          <w:sz w:val="28"/>
          <w:szCs w:val="28"/>
        </w:rPr>
      </w:pPr>
      <w:r>
        <w:rPr>
          <w:rFonts w:hint="eastAsia" w:cs="宋体"/>
          <w:b/>
          <w:sz w:val="28"/>
          <w:szCs w:val="28"/>
        </w:rPr>
        <w:br w:type="page"/>
      </w:r>
    </w:p>
    <w:p w14:paraId="75551209">
      <w:pPr>
        <w:pStyle w:val="12"/>
        <w:snapToGrid w:val="0"/>
        <w:spacing w:before="156" w:after="156" w:line="440" w:lineRule="atLeast"/>
        <w:outlineLvl w:val="0"/>
        <w:rPr>
          <w:rFonts w:hAnsi="宋体" w:cs="宋体"/>
          <w:sz w:val="28"/>
          <w:szCs w:val="28"/>
        </w:rPr>
      </w:pPr>
      <w:bookmarkStart w:id="97" w:name="_Toc8191"/>
      <w:r>
        <w:rPr>
          <w:rFonts w:hint="eastAsia" w:hAnsi="宋体" w:cs="宋体"/>
          <w:b/>
          <w:sz w:val="28"/>
          <w:szCs w:val="28"/>
        </w:rPr>
        <w:t>附件2:</w:t>
      </w:r>
      <w:bookmarkEnd w:id="97"/>
    </w:p>
    <w:p w14:paraId="08144470">
      <w:pPr>
        <w:spacing w:before="156" w:beforeLines="50" w:after="156" w:afterLines="50" w:line="440" w:lineRule="exact"/>
        <w:jc w:val="center"/>
        <w:rPr>
          <w:rFonts w:cs="宋体"/>
          <w:sz w:val="30"/>
          <w:szCs w:val="30"/>
        </w:rPr>
      </w:pPr>
      <w:r>
        <w:rPr>
          <w:rFonts w:hint="eastAsia" w:cs="宋体"/>
          <w:sz w:val="30"/>
          <w:szCs w:val="30"/>
        </w:rPr>
        <w:t>廉洁协议书</w:t>
      </w:r>
    </w:p>
    <w:p w14:paraId="3F15EBB8">
      <w:pPr>
        <w:widowControl/>
        <w:spacing w:line="400" w:lineRule="exact"/>
        <w:rPr>
          <w:rFonts w:cs="宋体"/>
          <w:b/>
          <w:kern w:val="0"/>
          <w:sz w:val="24"/>
          <w:u w:val="single"/>
        </w:rPr>
      </w:pPr>
      <w:r>
        <w:rPr>
          <w:rFonts w:hint="eastAsia" w:cs="宋体"/>
          <w:b/>
          <w:kern w:val="0"/>
          <w:sz w:val="24"/>
          <w:u w:val="single"/>
        </w:rPr>
        <w:t xml:space="preserve">甲方：温州港口服务有限公司 </w:t>
      </w:r>
    </w:p>
    <w:p w14:paraId="79FD506E">
      <w:pPr>
        <w:widowControl/>
        <w:spacing w:line="400" w:lineRule="exact"/>
        <w:rPr>
          <w:rFonts w:cs="宋体"/>
          <w:b/>
          <w:kern w:val="0"/>
          <w:sz w:val="24"/>
          <w:u w:val="single"/>
        </w:rPr>
      </w:pPr>
      <w:r>
        <w:rPr>
          <w:rFonts w:hint="eastAsia" w:cs="宋体"/>
          <w:b/>
          <w:kern w:val="0"/>
          <w:sz w:val="24"/>
          <w:u w:val="single"/>
        </w:rPr>
        <w:t>住所：</w:t>
      </w:r>
    </w:p>
    <w:p w14:paraId="7C28B525">
      <w:pPr>
        <w:widowControl/>
        <w:spacing w:line="400" w:lineRule="exact"/>
        <w:rPr>
          <w:rFonts w:cs="宋体"/>
          <w:b/>
          <w:kern w:val="0"/>
          <w:sz w:val="24"/>
          <w:u w:val="single"/>
        </w:rPr>
      </w:pPr>
      <w:r>
        <w:rPr>
          <w:rFonts w:hint="eastAsia" w:cs="宋体"/>
          <w:b/>
          <w:kern w:val="0"/>
          <w:sz w:val="24"/>
          <w:u w:val="single"/>
        </w:rPr>
        <w:t>乙方：</w:t>
      </w:r>
    </w:p>
    <w:p w14:paraId="3ACE55E1">
      <w:pPr>
        <w:widowControl/>
        <w:spacing w:line="400" w:lineRule="exact"/>
        <w:rPr>
          <w:rFonts w:cs="宋体"/>
          <w:b/>
          <w:kern w:val="0"/>
          <w:sz w:val="24"/>
          <w:u w:val="single"/>
        </w:rPr>
      </w:pPr>
      <w:r>
        <w:rPr>
          <w:rFonts w:hint="eastAsia" w:cs="宋体"/>
          <w:b/>
          <w:kern w:val="0"/>
          <w:sz w:val="24"/>
          <w:u w:val="single"/>
        </w:rPr>
        <w:t>住所：</w:t>
      </w:r>
    </w:p>
    <w:p w14:paraId="0D83060D">
      <w:pPr>
        <w:widowControl/>
        <w:spacing w:line="400" w:lineRule="exact"/>
        <w:ind w:firstLine="480" w:firstLineChars="200"/>
        <w:rPr>
          <w:rFonts w:cs="宋体"/>
          <w:kern w:val="0"/>
          <w:sz w:val="24"/>
        </w:rPr>
      </w:pPr>
      <w:r>
        <w:rPr>
          <w:rFonts w:hint="eastAsia" w:cs="宋体"/>
          <w:kern w:val="0"/>
          <w:sz w:val="24"/>
        </w:rPr>
        <w:t>双方本年度生产经营合同（以下简称主合同）:</w:t>
      </w:r>
      <w:r>
        <w:rPr>
          <w:rFonts w:hint="eastAsia" w:cs="宋体"/>
          <w:kern w:val="0"/>
          <w:sz w:val="24"/>
          <w:u w:val="single"/>
        </w:rPr>
        <w:t xml:space="preserve">         </w:t>
      </w:r>
      <w:r>
        <w:rPr>
          <w:rFonts w:hint="eastAsia" w:cs="宋体"/>
          <w:kern w:val="0"/>
          <w:sz w:val="24"/>
        </w:rPr>
        <w:t>，为进一步完善监督制约机制，确保工作质量和预防职务犯罪，规范生产经营从业人员的行为，加强个人廉洁自律，根据国家及温州港口服务有限公司有关廉洁建设规定，并结合实际特订立本协议如下：</w:t>
      </w:r>
    </w:p>
    <w:p w14:paraId="56E5129A">
      <w:pPr>
        <w:widowControl/>
        <w:spacing w:line="400" w:lineRule="exact"/>
        <w:ind w:firstLine="480" w:firstLineChars="200"/>
        <w:rPr>
          <w:rFonts w:cs="宋体"/>
          <w:kern w:val="0"/>
          <w:sz w:val="24"/>
        </w:rPr>
      </w:pPr>
      <w:r>
        <w:rPr>
          <w:rFonts w:hint="eastAsia" w:cs="宋体"/>
          <w:kern w:val="0"/>
          <w:sz w:val="24"/>
        </w:rPr>
        <w:t>一、双方职责</w:t>
      </w:r>
    </w:p>
    <w:p w14:paraId="33B0FC42">
      <w:pPr>
        <w:widowControl/>
        <w:spacing w:line="400" w:lineRule="exact"/>
        <w:ind w:firstLine="480" w:firstLineChars="200"/>
        <w:rPr>
          <w:rFonts w:cs="宋体"/>
          <w:kern w:val="0"/>
          <w:sz w:val="24"/>
        </w:rPr>
      </w:pPr>
      <w:r>
        <w:rPr>
          <w:rFonts w:hint="eastAsia" w:cs="宋体"/>
          <w:kern w:val="0"/>
          <w:sz w:val="24"/>
        </w:rPr>
        <w:t>1.甲乙双方应当自觉遵守国家法律法规以及有关廉洁建设的各项规定。</w:t>
      </w:r>
    </w:p>
    <w:p w14:paraId="2F7C687D">
      <w:pPr>
        <w:widowControl/>
        <w:spacing w:line="400" w:lineRule="exact"/>
        <w:ind w:firstLine="480" w:firstLineChars="200"/>
        <w:rPr>
          <w:rFonts w:cs="宋体"/>
          <w:kern w:val="0"/>
          <w:sz w:val="24"/>
        </w:rPr>
      </w:pPr>
      <w:r>
        <w:rPr>
          <w:rFonts w:hint="eastAsia" w:cs="宋体"/>
          <w:kern w:val="0"/>
          <w:sz w:val="24"/>
        </w:rPr>
        <w:t>2.甲乙双方应当严格执行合同规定，自觉按合同办事。</w:t>
      </w:r>
    </w:p>
    <w:p w14:paraId="5B1F9BC0">
      <w:pPr>
        <w:widowControl/>
        <w:spacing w:line="400" w:lineRule="exact"/>
        <w:ind w:firstLine="480" w:firstLineChars="200"/>
        <w:rPr>
          <w:rFonts w:cs="宋体"/>
          <w:kern w:val="0"/>
          <w:sz w:val="24"/>
        </w:rPr>
      </w:pPr>
      <w:r>
        <w:rPr>
          <w:rFonts w:hint="eastAsia" w:cs="宋体"/>
          <w:kern w:val="0"/>
          <w:sz w:val="24"/>
        </w:rPr>
        <w:t>3.双方业务活动坚持公开、公正、诚信的原则（除法律认定的商业秘密或合同文件另有规定之外），不得损害国家利益和企业利益。</w:t>
      </w:r>
    </w:p>
    <w:p w14:paraId="296B0289">
      <w:pPr>
        <w:widowControl/>
        <w:spacing w:line="400" w:lineRule="exact"/>
        <w:ind w:firstLine="480" w:firstLineChars="200"/>
        <w:rPr>
          <w:rFonts w:cs="宋体"/>
          <w:kern w:val="0"/>
          <w:sz w:val="24"/>
        </w:rPr>
      </w:pPr>
      <w:r>
        <w:rPr>
          <w:rFonts w:hint="eastAsia" w:cs="宋体"/>
          <w:kern w:val="0"/>
          <w:sz w:val="24"/>
        </w:rPr>
        <w:t>二、双方廉洁义务</w:t>
      </w:r>
    </w:p>
    <w:p w14:paraId="7B177786">
      <w:pPr>
        <w:widowControl/>
        <w:spacing w:line="400" w:lineRule="exact"/>
        <w:ind w:firstLine="480" w:firstLineChars="200"/>
        <w:rPr>
          <w:rFonts w:cs="宋体"/>
          <w:kern w:val="0"/>
          <w:sz w:val="24"/>
        </w:rPr>
      </w:pPr>
      <w:r>
        <w:rPr>
          <w:rFonts w:hint="eastAsia" w:cs="宋体"/>
          <w:kern w:val="0"/>
          <w:sz w:val="24"/>
        </w:rPr>
        <w:t>1.甲方义务</w:t>
      </w:r>
    </w:p>
    <w:p w14:paraId="2267D2BC">
      <w:pPr>
        <w:widowControl/>
        <w:spacing w:line="400" w:lineRule="exact"/>
        <w:ind w:firstLine="480" w:firstLineChars="200"/>
        <w:rPr>
          <w:rFonts w:cs="宋体"/>
          <w:kern w:val="0"/>
          <w:sz w:val="24"/>
        </w:rPr>
      </w:pPr>
      <w:r>
        <w:rPr>
          <w:rFonts w:hint="eastAsia" w:cs="宋体"/>
          <w:kern w:val="0"/>
          <w:sz w:val="24"/>
        </w:rPr>
        <w:t>（1）甲方工作人员应保持与乙方正常的工作交往，不得接受乙方的礼金、有价证券和贵重物品，不得要求乙方报销任何应由个人支付的费用，不得以任何形式向乙方索要和收受回扣或变相收受贿赂。</w:t>
      </w:r>
    </w:p>
    <w:p w14:paraId="370386BE">
      <w:pPr>
        <w:widowControl/>
        <w:spacing w:line="400" w:lineRule="exact"/>
        <w:ind w:firstLine="480" w:firstLineChars="200"/>
        <w:rPr>
          <w:rFonts w:cs="宋体"/>
          <w:kern w:val="0"/>
          <w:sz w:val="24"/>
        </w:rPr>
      </w:pPr>
      <w:r>
        <w:rPr>
          <w:rFonts w:hint="eastAsia" w:cs="宋体"/>
          <w:kern w:val="0"/>
          <w:sz w:val="24"/>
        </w:rPr>
        <w:t>（2）甲方工作人员不得参加可能对公正执行公务有影响的宴请和娱乐活动。</w:t>
      </w:r>
    </w:p>
    <w:p w14:paraId="3C1023A7">
      <w:pPr>
        <w:widowControl/>
        <w:spacing w:line="400" w:lineRule="exact"/>
        <w:ind w:firstLine="480" w:firstLineChars="200"/>
        <w:rPr>
          <w:rFonts w:cs="宋体"/>
          <w:kern w:val="0"/>
          <w:sz w:val="24"/>
        </w:rPr>
      </w:pPr>
      <w:r>
        <w:rPr>
          <w:rFonts w:hint="eastAsia" w:cs="宋体"/>
          <w:kern w:val="0"/>
          <w:sz w:val="24"/>
        </w:rPr>
        <w:t>（3）甲方工作人员不得要求或者接收乙方为其住房装修、婚丧嫁娶、家属和子女的工作安排以及出国等提供方便。</w:t>
      </w:r>
    </w:p>
    <w:p w14:paraId="1635D9CF">
      <w:pPr>
        <w:widowControl/>
        <w:spacing w:line="400" w:lineRule="exact"/>
        <w:ind w:firstLine="480" w:firstLineChars="200"/>
        <w:rPr>
          <w:rFonts w:cs="宋体"/>
          <w:kern w:val="0"/>
          <w:sz w:val="24"/>
        </w:rPr>
      </w:pPr>
      <w:r>
        <w:rPr>
          <w:rFonts w:hint="eastAsia" w:cs="宋体"/>
          <w:kern w:val="0"/>
          <w:sz w:val="24"/>
        </w:rPr>
        <w:t>（4）甲方工作人员不得向乙方介绍亲属或亲友从事与甲方工作有关的经济活动。</w:t>
      </w:r>
    </w:p>
    <w:p w14:paraId="04AEDCCC">
      <w:pPr>
        <w:widowControl/>
        <w:spacing w:line="400" w:lineRule="exact"/>
        <w:ind w:firstLine="480" w:firstLineChars="200"/>
        <w:rPr>
          <w:rFonts w:cs="宋体"/>
          <w:kern w:val="0"/>
          <w:sz w:val="24"/>
        </w:rPr>
      </w:pPr>
      <w:r>
        <w:rPr>
          <w:rFonts w:hint="eastAsia" w:cs="宋体"/>
          <w:kern w:val="0"/>
          <w:sz w:val="24"/>
        </w:rPr>
        <w:t>2.乙方义务</w:t>
      </w:r>
    </w:p>
    <w:p w14:paraId="52C13AD9">
      <w:pPr>
        <w:widowControl/>
        <w:spacing w:line="400" w:lineRule="exact"/>
        <w:ind w:firstLine="480" w:firstLineChars="200"/>
        <w:rPr>
          <w:rFonts w:cs="宋体"/>
          <w:kern w:val="0"/>
          <w:sz w:val="24"/>
        </w:rPr>
      </w:pPr>
      <w:r>
        <w:rPr>
          <w:rFonts w:hint="eastAsia" w:cs="宋体"/>
          <w:kern w:val="0"/>
          <w:sz w:val="24"/>
        </w:rPr>
        <w:t>（1）乙方应当通过正规途径开展相关业务工作，不得向甲方工作人员及第三方赠送礼金、有价证券和贵重物品等。</w:t>
      </w:r>
    </w:p>
    <w:p w14:paraId="63D24129">
      <w:pPr>
        <w:widowControl/>
        <w:spacing w:line="400" w:lineRule="exact"/>
        <w:ind w:firstLine="480" w:firstLineChars="200"/>
        <w:rPr>
          <w:rFonts w:cs="宋体"/>
          <w:kern w:val="0"/>
          <w:sz w:val="24"/>
        </w:rPr>
      </w:pPr>
      <w:r>
        <w:rPr>
          <w:rFonts w:hint="eastAsia" w:cs="宋体"/>
          <w:kern w:val="0"/>
          <w:sz w:val="24"/>
        </w:rPr>
        <w:t>（2）乙方不得为谋取私利擅自与甲方工作人员及中介机构就有关工作问题进行私下商谈或达成默契。</w:t>
      </w:r>
    </w:p>
    <w:p w14:paraId="63CADD93">
      <w:pPr>
        <w:widowControl/>
        <w:spacing w:line="400" w:lineRule="exact"/>
        <w:ind w:firstLine="480" w:firstLineChars="200"/>
        <w:rPr>
          <w:rFonts w:cs="宋体"/>
          <w:kern w:val="0"/>
          <w:sz w:val="24"/>
        </w:rPr>
      </w:pPr>
      <w:r>
        <w:rPr>
          <w:rFonts w:hint="eastAsia" w:cs="宋体"/>
          <w:kern w:val="0"/>
          <w:sz w:val="24"/>
        </w:rPr>
        <w:t>（3）乙方不得以洽谈业务、签订经济合同为借口，邀请甲方工作人员外出旅游和进入营业性高消费娱乐场所。</w:t>
      </w:r>
    </w:p>
    <w:p w14:paraId="25F990FE">
      <w:pPr>
        <w:widowControl/>
        <w:spacing w:line="400" w:lineRule="exact"/>
        <w:ind w:firstLine="480" w:firstLineChars="200"/>
        <w:rPr>
          <w:rFonts w:cs="宋体"/>
          <w:kern w:val="0"/>
          <w:sz w:val="24"/>
        </w:rPr>
      </w:pPr>
      <w:r>
        <w:rPr>
          <w:rFonts w:hint="eastAsia" w:cs="宋体"/>
          <w:kern w:val="0"/>
          <w:sz w:val="24"/>
        </w:rPr>
        <w:t>（4）乙方不得为甲方单位或个人购置或者提供通信工具、交通工具、家电、高档办公用品等。</w:t>
      </w:r>
    </w:p>
    <w:p w14:paraId="23001BEC">
      <w:pPr>
        <w:widowControl/>
        <w:spacing w:line="400" w:lineRule="exact"/>
        <w:ind w:firstLine="480" w:firstLineChars="200"/>
        <w:rPr>
          <w:rFonts w:cs="宋体"/>
          <w:kern w:val="0"/>
          <w:sz w:val="24"/>
        </w:rPr>
      </w:pPr>
      <w:r>
        <w:rPr>
          <w:rFonts w:hint="eastAsia" w:cs="宋体"/>
          <w:kern w:val="0"/>
          <w:sz w:val="24"/>
        </w:rPr>
        <w:t xml:space="preserve">（5）乙方如发现甲方工作人员有违反上述协议者，应向甲方上级主管单位举报。甲方不得以任何借口对乙方进行报复。 </w:t>
      </w:r>
    </w:p>
    <w:p w14:paraId="345127E2">
      <w:pPr>
        <w:widowControl/>
        <w:spacing w:line="400" w:lineRule="exact"/>
        <w:ind w:firstLine="480" w:firstLineChars="200"/>
        <w:rPr>
          <w:rFonts w:cs="宋体"/>
          <w:kern w:val="0"/>
          <w:sz w:val="24"/>
        </w:rPr>
      </w:pPr>
      <w:r>
        <w:rPr>
          <w:rFonts w:hint="eastAsia" w:cs="宋体"/>
          <w:kern w:val="0"/>
          <w:sz w:val="24"/>
        </w:rPr>
        <w:t>（6）甲方工作人员明示或暗示乙方给予贿赂或报酬的，乙方必须予以拒绝，并将情况通报甲方纪检监察部门。</w:t>
      </w:r>
    </w:p>
    <w:p w14:paraId="217C7488">
      <w:pPr>
        <w:widowControl/>
        <w:spacing w:line="400" w:lineRule="exact"/>
        <w:ind w:firstLine="600" w:firstLineChars="250"/>
        <w:rPr>
          <w:rFonts w:cs="宋体"/>
          <w:kern w:val="0"/>
          <w:sz w:val="24"/>
        </w:rPr>
      </w:pPr>
      <w:r>
        <w:rPr>
          <w:rFonts w:hint="eastAsia" w:cs="宋体"/>
          <w:kern w:val="0"/>
          <w:sz w:val="24"/>
        </w:rPr>
        <w:t>三、违约责任</w:t>
      </w:r>
    </w:p>
    <w:p w14:paraId="629A4A78">
      <w:pPr>
        <w:widowControl/>
        <w:spacing w:line="400" w:lineRule="exact"/>
        <w:ind w:firstLine="480" w:firstLineChars="200"/>
        <w:rPr>
          <w:rFonts w:cs="宋体"/>
          <w:kern w:val="0"/>
          <w:sz w:val="24"/>
        </w:rPr>
      </w:pPr>
      <w:r>
        <w:rPr>
          <w:rFonts w:hint="eastAsia" w:cs="宋体"/>
          <w:kern w:val="0"/>
          <w:sz w:val="24"/>
        </w:rPr>
        <w:t>1.如发现甲方工作人员违反上述协议者，甲方视情况予以批评、通报、警告直至开除；情况严重者将追究其经济与法律责任。</w:t>
      </w:r>
    </w:p>
    <w:p w14:paraId="3142E16D">
      <w:pPr>
        <w:pStyle w:val="8"/>
        <w:widowControl/>
        <w:spacing w:line="400" w:lineRule="exact"/>
        <w:ind w:firstLine="480" w:firstLineChars="200"/>
        <w:rPr>
          <w:rFonts w:cs="宋体"/>
          <w:kern w:val="0"/>
          <w:sz w:val="24"/>
        </w:rPr>
      </w:pPr>
      <w:r>
        <w:rPr>
          <w:rFonts w:hint="eastAsia" w:cs="宋体"/>
          <w:kern w:val="0"/>
          <w:sz w:val="24"/>
        </w:rPr>
        <w:t>2.如发现乙方工作人员违反上述协议，按乙方制度进行调查，并由乙方按其制度进行处理；情节严重的，甲方有权解除合同。</w:t>
      </w:r>
    </w:p>
    <w:p w14:paraId="35DCDB06">
      <w:pPr>
        <w:widowControl/>
        <w:spacing w:line="400" w:lineRule="exact"/>
        <w:ind w:firstLine="480" w:firstLineChars="200"/>
        <w:rPr>
          <w:rFonts w:cs="宋体"/>
          <w:kern w:val="0"/>
          <w:sz w:val="24"/>
        </w:rPr>
      </w:pPr>
      <w:r>
        <w:rPr>
          <w:rFonts w:hint="eastAsia" w:cs="宋体"/>
          <w:kern w:val="0"/>
          <w:sz w:val="24"/>
        </w:rPr>
        <w:t>3.甲乙双方监督单位为其上级主管部门。</w:t>
      </w:r>
    </w:p>
    <w:p w14:paraId="7933D99C">
      <w:pPr>
        <w:widowControl/>
        <w:spacing w:line="400" w:lineRule="exact"/>
        <w:ind w:firstLine="600" w:firstLineChars="250"/>
        <w:rPr>
          <w:rFonts w:cs="宋体"/>
          <w:kern w:val="0"/>
          <w:sz w:val="24"/>
        </w:rPr>
      </w:pPr>
      <w:r>
        <w:rPr>
          <w:rFonts w:hint="eastAsia" w:cs="宋体"/>
          <w:kern w:val="0"/>
          <w:sz w:val="24"/>
        </w:rPr>
        <w:t>四、附则</w:t>
      </w:r>
    </w:p>
    <w:p w14:paraId="680A12C2">
      <w:pPr>
        <w:widowControl/>
        <w:spacing w:line="400" w:lineRule="exact"/>
        <w:ind w:firstLine="480" w:firstLineChars="200"/>
        <w:rPr>
          <w:rFonts w:cs="宋体"/>
          <w:kern w:val="0"/>
          <w:sz w:val="24"/>
        </w:rPr>
      </w:pPr>
      <w:r>
        <w:rPr>
          <w:rFonts w:hint="eastAsia" w:cs="宋体"/>
          <w:kern w:val="0"/>
          <w:sz w:val="24"/>
        </w:rPr>
        <w:t>1.本协议作为合同的附件，与合同具有同等法律效力。经双方签名并加盖公章或合同章后立即生效。</w:t>
      </w:r>
    </w:p>
    <w:p w14:paraId="3557FFB8">
      <w:pPr>
        <w:widowControl/>
        <w:spacing w:line="400" w:lineRule="exact"/>
        <w:ind w:firstLine="480" w:firstLineChars="200"/>
        <w:rPr>
          <w:rFonts w:cs="宋体"/>
          <w:kern w:val="0"/>
          <w:sz w:val="24"/>
        </w:rPr>
      </w:pPr>
      <w:r>
        <w:rPr>
          <w:rFonts w:hint="eastAsia" w:cs="宋体"/>
          <w:kern w:val="0"/>
          <w:sz w:val="24"/>
        </w:rPr>
        <w:t>2.本协议的有效期为双方签署之日起至该合同完成时止。</w:t>
      </w:r>
    </w:p>
    <w:p w14:paraId="1D91E18D">
      <w:pPr>
        <w:widowControl/>
        <w:spacing w:line="400" w:lineRule="exact"/>
        <w:ind w:firstLine="480" w:firstLineChars="200"/>
        <w:rPr>
          <w:rFonts w:cs="宋体"/>
          <w:kern w:val="0"/>
          <w:sz w:val="24"/>
        </w:rPr>
      </w:pPr>
      <w:r>
        <w:rPr>
          <w:rFonts w:hint="eastAsia" w:cs="宋体"/>
          <w:kern w:val="0"/>
          <w:sz w:val="24"/>
        </w:rPr>
        <w:t>3.本协议一式六份，由甲乙双方各执三份。</w:t>
      </w:r>
    </w:p>
    <w:p w14:paraId="70BAC183">
      <w:pPr>
        <w:widowControl/>
        <w:spacing w:line="400" w:lineRule="exact"/>
        <w:rPr>
          <w:rFonts w:cs="宋体"/>
          <w:kern w:val="0"/>
          <w:sz w:val="24"/>
        </w:rPr>
      </w:pPr>
      <w:r>
        <w:rPr>
          <w:rFonts w:hint="eastAsia" w:cs="宋体"/>
          <w:kern w:val="0"/>
          <w:sz w:val="24"/>
        </w:rPr>
        <w:t xml:space="preserve"> </w:t>
      </w:r>
    </w:p>
    <w:p w14:paraId="2D7BF213">
      <w:pPr>
        <w:widowControl/>
        <w:spacing w:line="400" w:lineRule="exact"/>
        <w:rPr>
          <w:rFonts w:cs="宋体"/>
          <w:kern w:val="0"/>
          <w:sz w:val="24"/>
        </w:rPr>
      </w:pPr>
      <w:r>
        <w:rPr>
          <w:rFonts w:hint="eastAsia" w:cs="宋体"/>
          <w:kern w:val="0"/>
          <w:sz w:val="24"/>
        </w:rPr>
        <w:t>甲方(盖章)：温州港口服务有限公司</w:t>
      </w:r>
    </w:p>
    <w:p w14:paraId="0D8E889C">
      <w:pPr>
        <w:widowControl/>
        <w:spacing w:line="400" w:lineRule="exact"/>
        <w:rPr>
          <w:rFonts w:cs="宋体"/>
          <w:kern w:val="0"/>
          <w:sz w:val="24"/>
        </w:rPr>
      </w:pPr>
      <w:r>
        <w:rPr>
          <w:rFonts w:hint="eastAsia" w:cs="宋体"/>
          <w:kern w:val="0"/>
          <w:sz w:val="24"/>
        </w:rPr>
        <w:t xml:space="preserve">法定代表人或其委托代理人（签名）：  </w:t>
      </w:r>
    </w:p>
    <w:p w14:paraId="4C310D80">
      <w:pPr>
        <w:widowControl/>
        <w:spacing w:line="400" w:lineRule="exact"/>
        <w:rPr>
          <w:rFonts w:cs="宋体"/>
          <w:kern w:val="0"/>
          <w:sz w:val="24"/>
        </w:rPr>
      </w:pPr>
      <w:r>
        <w:rPr>
          <w:rFonts w:hint="eastAsia" w:cs="宋体"/>
          <w:kern w:val="0"/>
          <w:sz w:val="24"/>
        </w:rPr>
        <w:t>签订日期：     年    月     日</w:t>
      </w:r>
    </w:p>
    <w:p w14:paraId="697D3D25">
      <w:pPr>
        <w:widowControl/>
        <w:spacing w:line="400" w:lineRule="exact"/>
        <w:rPr>
          <w:rFonts w:cs="宋体"/>
          <w:kern w:val="0"/>
          <w:sz w:val="24"/>
        </w:rPr>
      </w:pPr>
      <w:r>
        <w:rPr>
          <w:rFonts w:hint="eastAsia" w:cs="宋体"/>
          <w:kern w:val="0"/>
          <w:sz w:val="24"/>
        </w:rPr>
        <w:t xml:space="preserve"> </w:t>
      </w:r>
    </w:p>
    <w:p w14:paraId="077E5265">
      <w:pPr>
        <w:widowControl/>
        <w:spacing w:line="400" w:lineRule="exact"/>
        <w:rPr>
          <w:rFonts w:cs="宋体"/>
          <w:kern w:val="0"/>
          <w:sz w:val="24"/>
        </w:rPr>
      </w:pPr>
      <w:r>
        <w:rPr>
          <w:rFonts w:hint="eastAsia" w:cs="宋体"/>
          <w:kern w:val="0"/>
          <w:sz w:val="24"/>
        </w:rPr>
        <w:t xml:space="preserve">乙方(盖章)： </w:t>
      </w:r>
    </w:p>
    <w:p w14:paraId="600357A3">
      <w:pPr>
        <w:widowControl/>
        <w:spacing w:line="400" w:lineRule="exact"/>
        <w:rPr>
          <w:rFonts w:cs="宋体"/>
          <w:kern w:val="0"/>
          <w:sz w:val="24"/>
        </w:rPr>
      </w:pPr>
      <w:r>
        <w:rPr>
          <w:rFonts w:hint="eastAsia" w:cs="宋体"/>
          <w:kern w:val="0"/>
          <w:sz w:val="24"/>
        </w:rPr>
        <w:t xml:space="preserve">法定代表人或其委托代理人（签名）： </w:t>
      </w:r>
    </w:p>
    <w:p w14:paraId="5D358FCA">
      <w:pPr>
        <w:widowControl/>
        <w:spacing w:line="400" w:lineRule="exact"/>
        <w:rPr>
          <w:rFonts w:cs="宋体"/>
          <w:kern w:val="0"/>
          <w:sz w:val="24"/>
        </w:rPr>
      </w:pPr>
      <w:r>
        <w:rPr>
          <w:rFonts w:hint="eastAsia" w:cs="宋体"/>
          <w:kern w:val="0"/>
          <w:sz w:val="24"/>
        </w:rPr>
        <w:t>签订日期：     年    月     日</w:t>
      </w:r>
    </w:p>
    <w:p w14:paraId="5E029C39">
      <w:pPr>
        <w:rPr>
          <w:rFonts w:cs="宋体"/>
          <w:szCs w:val="21"/>
        </w:rPr>
      </w:pPr>
      <w:r>
        <w:rPr>
          <w:rFonts w:hint="eastAsia" w:cs="宋体"/>
          <w:szCs w:val="21"/>
        </w:rPr>
        <w:br w:type="page"/>
      </w:r>
    </w:p>
    <w:p w14:paraId="38E333D2">
      <w:pPr>
        <w:spacing w:line="360" w:lineRule="auto"/>
        <w:jc w:val="left"/>
        <w:rPr>
          <w:rFonts w:cs="宋体"/>
          <w:b/>
          <w:sz w:val="28"/>
          <w:szCs w:val="28"/>
        </w:rPr>
      </w:pPr>
      <w:r>
        <w:rPr>
          <w:rFonts w:hint="eastAsia" w:cs="宋体"/>
          <w:b/>
          <w:sz w:val="28"/>
          <w:szCs w:val="28"/>
        </w:rPr>
        <w:t>附件3:</w:t>
      </w:r>
    </w:p>
    <w:p w14:paraId="6AE82AD9">
      <w:pPr>
        <w:tabs>
          <w:tab w:val="left" w:pos="2790"/>
        </w:tabs>
        <w:spacing w:line="640" w:lineRule="exact"/>
        <w:jc w:val="center"/>
        <w:rPr>
          <w:rFonts w:cs="宋体"/>
          <w:sz w:val="44"/>
          <w:szCs w:val="44"/>
        </w:rPr>
      </w:pPr>
      <w:r>
        <w:rPr>
          <w:rFonts w:hint="eastAsia" w:cs="宋体"/>
          <w:sz w:val="44"/>
          <w:szCs w:val="44"/>
        </w:rPr>
        <w:t>安全管理协议</w:t>
      </w:r>
    </w:p>
    <w:p w14:paraId="4EB7BE45">
      <w:pPr>
        <w:snapToGrid w:val="0"/>
        <w:jc w:val="center"/>
        <w:rPr>
          <w:rFonts w:cs="宋体"/>
        </w:rPr>
      </w:pPr>
    </w:p>
    <w:p w14:paraId="440106AC">
      <w:pPr>
        <w:tabs>
          <w:tab w:val="left" w:pos="2790"/>
        </w:tabs>
        <w:spacing w:line="420" w:lineRule="exact"/>
        <w:ind w:firstLine="480" w:firstLineChars="200"/>
        <w:rPr>
          <w:rFonts w:cs="宋体"/>
          <w:sz w:val="24"/>
        </w:rPr>
      </w:pPr>
      <w:r>
        <w:rPr>
          <w:rFonts w:hint="eastAsia" w:cs="宋体"/>
          <w:sz w:val="24"/>
        </w:rPr>
        <w:t>甲方：温州港口服务有限公司</w:t>
      </w:r>
    </w:p>
    <w:p w14:paraId="1DDBC12D">
      <w:pPr>
        <w:tabs>
          <w:tab w:val="left" w:pos="2790"/>
        </w:tabs>
        <w:spacing w:line="420" w:lineRule="exact"/>
        <w:ind w:firstLine="480" w:firstLineChars="200"/>
        <w:rPr>
          <w:rFonts w:cs="宋体"/>
          <w:sz w:val="24"/>
        </w:rPr>
      </w:pPr>
      <w:r>
        <w:rPr>
          <w:rFonts w:hint="eastAsia" w:cs="宋体"/>
          <w:sz w:val="24"/>
        </w:rPr>
        <w:t>乙方：</w:t>
      </w:r>
    </w:p>
    <w:p w14:paraId="52D34753">
      <w:pPr>
        <w:tabs>
          <w:tab w:val="left" w:pos="2790"/>
        </w:tabs>
        <w:spacing w:line="420" w:lineRule="exact"/>
        <w:ind w:firstLine="480" w:firstLineChars="200"/>
        <w:rPr>
          <w:rFonts w:cs="宋体"/>
          <w:sz w:val="24"/>
        </w:rPr>
      </w:pPr>
      <w:r>
        <w:rPr>
          <w:rFonts w:hint="eastAsia" w:cs="宋体"/>
          <w:sz w:val="24"/>
        </w:rPr>
        <w:t xml:space="preserve">为了加强在温州港口服务有限公司管辖范围内外来施工单位作业活动的安全管理，规范施工单位作业人员的安全生产行为，在实施过程中创造安全、高效的施工环境，按照《中华人民共和国安全生产法》、《浙江省安全生产条例》等规定，切实搞好本项目的安全管理工作，确保施工范围内甲方设施设备安全，经甲乙双方协商一致达成以下协议： </w:t>
      </w:r>
    </w:p>
    <w:p w14:paraId="2A906D55">
      <w:pPr>
        <w:tabs>
          <w:tab w:val="left" w:pos="2790"/>
        </w:tabs>
        <w:spacing w:line="420" w:lineRule="exact"/>
        <w:ind w:firstLine="480" w:firstLineChars="200"/>
        <w:rPr>
          <w:rFonts w:cs="宋体"/>
          <w:sz w:val="24"/>
        </w:rPr>
      </w:pPr>
      <w:r>
        <w:rPr>
          <w:rFonts w:hint="eastAsia" w:cs="宋体"/>
          <w:sz w:val="24"/>
        </w:rPr>
        <w:t>一、确定协议管理内容：承包</w:t>
      </w:r>
      <w:r>
        <w:rPr>
          <w:rFonts w:hint="eastAsia" w:cs="宋体"/>
          <w:sz w:val="24"/>
          <w:u w:val="single"/>
        </w:rPr>
        <w:t xml:space="preserve">           </w:t>
      </w:r>
      <w:r>
        <w:rPr>
          <w:rFonts w:hint="eastAsia" w:cs="宋体"/>
          <w:sz w:val="24"/>
        </w:rPr>
        <w:t>项目；甲方同意乙方在承包项目范围内从事施工作业。</w:t>
      </w:r>
    </w:p>
    <w:p w14:paraId="01BFBF67">
      <w:pPr>
        <w:shd w:val="clear" w:color="auto" w:fill="FFFFFF"/>
        <w:ind w:firstLine="480" w:firstLineChars="200"/>
        <w:rPr>
          <w:rFonts w:cs="宋体"/>
          <w:sz w:val="24"/>
        </w:rPr>
      </w:pPr>
      <w:r>
        <w:rPr>
          <w:rFonts w:hint="eastAsia" w:cs="宋体"/>
          <w:sz w:val="24"/>
        </w:rPr>
        <w:t>二、 甲方指派</w:t>
      </w:r>
      <w:r>
        <w:rPr>
          <w:rFonts w:hint="eastAsia" w:cs="宋体"/>
          <w:sz w:val="24"/>
          <w:u w:val="single"/>
        </w:rPr>
        <w:t xml:space="preserve">         </w:t>
      </w:r>
      <w:r>
        <w:rPr>
          <w:rFonts w:hint="eastAsia" w:cs="宋体"/>
          <w:sz w:val="24"/>
        </w:rPr>
        <w:t>（电话：       ）、乙方指</w:t>
      </w:r>
      <w:r>
        <w:rPr>
          <w:rFonts w:hint="eastAsia" w:cs="宋体"/>
          <w:sz w:val="24"/>
          <w:u w:val="single"/>
        </w:rPr>
        <w:t xml:space="preserve">     </w:t>
      </w:r>
      <w:r>
        <w:rPr>
          <w:rFonts w:hint="eastAsia" w:cs="宋体"/>
          <w:sz w:val="24"/>
        </w:rPr>
        <w:t>（电话：  ）作为各自单位负责本协议现场安全有关事项的联系、协调工作。同时负有管理、检查、督促职责。</w:t>
      </w:r>
    </w:p>
    <w:p w14:paraId="6DC34FE3">
      <w:pPr>
        <w:tabs>
          <w:tab w:val="left" w:pos="2790"/>
        </w:tabs>
        <w:spacing w:line="420" w:lineRule="exact"/>
        <w:ind w:firstLine="480" w:firstLineChars="200"/>
        <w:rPr>
          <w:rFonts w:cs="宋体"/>
          <w:sz w:val="24"/>
        </w:rPr>
      </w:pPr>
      <w:r>
        <w:rPr>
          <w:rFonts w:hint="eastAsia" w:cs="宋体"/>
          <w:sz w:val="24"/>
        </w:rPr>
        <w:t>三、甲方责任</w:t>
      </w:r>
    </w:p>
    <w:p w14:paraId="0CFFFA66">
      <w:pPr>
        <w:tabs>
          <w:tab w:val="left" w:pos="2790"/>
        </w:tabs>
        <w:spacing w:line="420" w:lineRule="exact"/>
        <w:ind w:firstLine="480" w:firstLineChars="200"/>
        <w:rPr>
          <w:rFonts w:cs="宋体"/>
          <w:sz w:val="24"/>
        </w:rPr>
      </w:pPr>
      <w:r>
        <w:rPr>
          <w:rFonts w:hint="eastAsia" w:cs="宋体"/>
          <w:sz w:val="24"/>
        </w:rPr>
        <w:t>(1)严格遵守国家有关安全生产的法律法规，认真执行项目承包合同或施工合同中的有关安全要求。</w:t>
      </w:r>
    </w:p>
    <w:p w14:paraId="6F3FA95D">
      <w:pPr>
        <w:tabs>
          <w:tab w:val="left" w:pos="2790"/>
        </w:tabs>
        <w:spacing w:line="420" w:lineRule="exact"/>
        <w:ind w:firstLine="480" w:firstLineChars="200"/>
        <w:rPr>
          <w:rFonts w:cs="宋体"/>
          <w:sz w:val="24"/>
        </w:rPr>
      </w:pPr>
      <w:r>
        <w:rPr>
          <w:rFonts w:hint="eastAsia" w:cs="宋体"/>
          <w:sz w:val="24"/>
        </w:rPr>
        <w:t>(2)按照“安全第一、预防为主、综合治理”和坚持“管生产必须管安全”的原则进行安全生产管理，项目使用人或所在地管理方为安全生产管理主要责任人。</w:t>
      </w:r>
    </w:p>
    <w:p w14:paraId="55DCEFF1">
      <w:pPr>
        <w:tabs>
          <w:tab w:val="left" w:pos="2790"/>
        </w:tabs>
        <w:spacing w:line="420" w:lineRule="exact"/>
        <w:ind w:firstLine="480" w:firstLineChars="200"/>
        <w:rPr>
          <w:rFonts w:cs="宋体"/>
          <w:sz w:val="24"/>
        </w:rPr>
      </w:pPr>
      <w:r>
        <w:rPr>
          <w:rFonts w:hint="eastAsia" w:cs="宋体"/>
          <w:sz w:val="24"/>
        </w:rPr>
        <w:t>(3) 施工前对乙方进行安全交底。</w:t>
      </w:r>
    </w:p>
    <w:p w14:paraId="1DCE6C58">
      <w:pPr>
        <w:tabs>
          <w:tab w:val="left" w:pos="2790"/>
        </w:tabs>
        <w:spacing w:line="420" w:lineRule="exact"/>
        <w:ind w:firstLine="480" w:firstLineChars="200"/>
        <w:rPr>
          <w:rFonts w:cs="宋体"/>
          <w:sz w:val="24"/>
        </w:rPr>
      </w:pPr>
      <w:r>
        <w:rPr>
          <w:rFonts w:hint="eastAsia" w:cs="宋体"/>
          <w:sz w:val="24"/>
        </w:rPr>
        <w:t>(4) 组织对乙方施工现场进行安全生产检查，监督乙方及时处理发现的各种安全隐患，对乙方不符合安全生产要求的行为有权要求其整改。</w:t>
      </w:r>
    </w:p>
    <w:p w14:paraId="4BF286D0">
      <w:pPr>
        <w:tabs>
          <w:tab w:val="left" w:pos="2790"/>
        </w:tabs>
        <w:spacing w:line="420" w:lineRule="exact"/>
        <w:ind w:firstLine="480" w:firstLineChars="200"/>
        <w:rPr>
          <w:rFonts w:cs="宋体"/>
          <w:sz w:val="24"/>
        </w:rPr>
      </w:pPr>
      <w:r>
        <w:rPr>
          <w:rFonts w:hint="eastAsia" w:cs="宋体"/>
          <w:sz w:val="24"/>
        </w:rPr>
        <w:t>四、乙方职责</w:t>
      </w:r>
    </w:p>
    <w:p w14:paraId="404662B0">
      <w:pPr>
        <w:tabs>
          <w:tab w:val="left" w:pos="2790"/>
        </w:tabs>
        <w:spacing w:line="420" w:lineRule="exact"/>
        <w:ind w:firstLine="480" w:firstLineChars="200"/>
        <w:rPr>
          <w:rFonts w:cs="宋体"/>
          <w:sz w:val="24"/>
        </w:rPr>
      </w:pPr>
      <w:r>
        <w:rPr>
          <w:rFonts w:hint="eastAsia" w:cs="宋体"/>
          <w:sz w:val="24"/>
        </w:rPr>
        <w:t>(1)严格遵守《中华人民共和国安全生产法》、《浙江省安全生产条例》等有关安全生产的法律法规的规定；认真执行项目 承包合同或施工合同中的有关安全要求。</w:t>
      </w:r>
    </w:p>
    <w:p w14:paraId="69D7626E">
      <w:pPr>
        <w:tabs>
          <w:tab w:val="left" w:pos="2790"/>
        </w:tabs>
        <w:spacing w:line="420" w:lineRule="exact"/>
        <w:ind w:firstLine="480" w:firstLineChars="200"/>
        <w:rPr>
          <w:rFonts w:cs="宋体"/>
          <w:sz w:val="24"/>
        </w:rPr>
      </w:pPr>
      <w:r>
        <w:rPr>
          <w:rFonts w:hint="eastAsia" w:cs="宋体"/>
          <w:sz w:val="24"/>
        </w:rPr>
        <w:t>(2)坚持“安全第一、预防为主、综合治理”和“管生产必须管安全”的原则，加强安全生产宣传教育，增强全员安全生产意识，各项目负责人、工程技术人员、生产管理人员和具体操作人员，必须熟悉和遵守本协议的各项规定，做到生产与安全工作同时计划、布置、检查、总结和评比。</w:t>
      </w:r>
    </w:p>
    <w:p w14:paraId="5E1E65E8">
      <w:pPr>
        <w:tabs>
          <w:tab w:val="left" w:pos="2790"/>
        </w:tabs>
        <w:spacing w:line="420" w:lineRule="exact"/>
        <w:ind w:firstLine="480" w:firstLineChars="200"/>
        <w:rPr>
          <w:rFonts w:cs="宋体"/>
          <w:sz w:val="24"/>
        </w:rPr>
      </w:pPr>
      <w:r>
        <w:rPr>
          <w:rFonts w:hint="eastAsia" w:cs="宋体"/>
          <w:sz w:val="24"/>
        </w:rPr>
        <w:t>(3)建立健全安全生产责任制、安全教育培训、安全技术交底、隐患排查治理、施工现场安全监督、安全生产事故应急救援预案等安全相关管理制度，及时发现并消除安全隐患。确保安全生产经费有效投入，各防护用品到位，并能正确使用，防止事故发生。乙方应根据安全生产相关法律法规的规定配备相应资质的安全生产人员，确保安全生产。</w:t>
      </w:r>
    </w:p>
    <w:p w14:paraId="7B3B7991">
      <w:pPr>
        <w:tabs>
          <w:tab w:val="left" w:pos="2790"/>
        </w:tabs>
        <w:spacing w:line="420" w:lineRule="exact"/>
        <w:ind w:firstLine="480" w:firstLineChars="200"/>
        <w:rPr>
          <w:rFonts w:cs="宋体"/>
          <w:sz w:val="24"/>
        </w:rPr>
      </w:pPr>
      <w:r>
        <w:rPr>
          <w:rFonts w:hint="eastAsia" w:cs="宋体"/>
          <w:sz w:val="24"/>
        </w:rPr>
        <w:t>(4)乙方在任何时候都应采取各种合理的预防措施，防止其员工发生任何违法、违禁、暴力或妨碍治安的行为。</w:t>
      </w:r>
    </w:p>
    <w:p w14:paraId="022FA38F">
      <w:pPr>
        <w:tabs>
          <w:tab w:val="left" w:pos="2790"/>
        </w:tabs>
        <w:spacing w:line="420" w:lineRule="exact"/>
        <w:ind w:firstLine="480" w:firstLineChars="200"/>
        <w:rPr>
          <w:rFonts w:cs="宋体"/>
          <w:sz w:val="24"/>
        </w:rPr>
      </w:pPr>
      <w:r>
        <w:rPr>
          <w:rFonts w:hint="eastAsia" w:cs="宋体"/>
          <w:sz w:val="24"/>
        </w:rPr>
        <w:t>(5)乙方参加施工的人员，必须严格执行国家有关法律、法规和甲方的有关规定，对有关人员进行安全教育和相关培训，并熟知和遵守本工种的各项安全技术操作规程。特种作业人员必须持证上岗，施工现场如出现特种作业无证操作现象时，项目经理或负责人必须承担管理责任。</w:t>
      </w:r>
    </w:p>
    <w:p w14:paraId="1EBED993">
      <w:pPr>
        <w:tabs>
          <w:tab w:val="left" w:pos="2790"/>
        </w:tabs>
        <w:spacing w:line="420" w:lineRule="exact"/>
        <w:ind w:firstLine="480" w:firstLineChars="200"/>
        <w:rPr>
          <w:rFonts w:cs="宋体"/>
          <w:sz w:val="24"/>
        </w:rPr>
      </w:pPr>
      <w:r>
        <w:rPr>
          <w:rFonts w:hint="eastAsia" w:cs="宋体"/>
          <w:sz w:val="24"/>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7AAF1A6">
      <w:pPr>
        <w:tabs>
          <w:tab w:val="left" w:pos="2790"/>
        </w:tabs>
        <w:spacing w:line="420" w:lineRule="exact"/>
        <w:ind w:firstLine="480" w:firstLineChars="200"/>
        <w:rPr>
          <w:rFonts w:cs="宋体"/>
          <w:bCs/>
          <w:sz w:val="24"/>
        </w:rPr>
      </w:pPr>
      <w:r>
        <w:rPr>
          <w:rFonts w:hint="eastAsia" w:cs="宋体"/>
          <w:bCs/>
          <w:sz w:val="24"/>
        </w:rPr>
        <w:t>(7)操作人员上岗，必须按规定穿戴防护用品。施工负责人或安全检查员应随时检查劳动防护用品的穿戴情况，不按规定穿戴防护用品的人员不得上岗。</w:t>
      </w:r>
    </w:p>
    <w:p w14:paraId="46096372">
      <w:pPr>
        <w:tabs>
          <w:tab w:val="left" w:pos="2790"/>
        </w:tabs>
        <w:spacing w:line="420" w:lineRule="exact"/>
        <w:ind w:firstLine="480" w:firstLineChars="200"/>
        <w:rPr>
          <w:rFonts w:cs="宋体"/>
          <w:sz w:val="24"/>
        </w:rPr>
      </w:pPr>
      <w:r>
        <w:rPr>
          <w:rFonts w:hint="eastAsia" w:cs="宋体"/>
          <w:sz w:val="24"/>
        </w:rPr>
        <w:t>(8)所有施工机具设备和高空作业 的设备均应定期检查，并有安全员的签字记录，保证其经常处于完好状态；不合格的机具、设备和劳动保护用品严禁使用。一经开工，就表示乙方已确认该施工现场、作业环境、设施设备和工器具等符合安全生产要求和处于安全状态。作业过程中因乙方原因或由于上述因素不良而导致的事故及造成第三责任事故均由乙方承担事故责任，并赔偿其事故的一切经济损失。</w:t>
      </w:r>
    </w:p>
    <w:p w14:paraId="56892186">
      <w:pPr>
        <w:tabs>
          <w:tab w:val="left" w:pos="2790"/>
        </w:tabs>
        <w:spacing w:line="420" w:lineRule="exact"/>
        <w:ind w:firstLine="480" w:firstLineChars="200"/>
        <w:rPr>
          <w:rFonts w:cs="宋体"/>
          <w:sz w:val="24"/>
        </w:rPr>
      </w:pPr>
      <w:r>
        <w:rPr>
          <w:rFonts w:hint="eastAsia" w:cs="宋体"/>
          <w:sz w:val="24"/>
        </w:rPr>
        <w:t>(9)施工中采用新技术、新工艺、新设备、新材料时，必须制定相应的安全技术措施，施工现场必须具有相关的安全标志牌。</w:t>
      </w:r>
    </w:p>
    <w:p w14:paraId="03011EAD">
      <w:pPr>
        <w:tabs>
          <w:tab w:val="left" w:pos="2790"/>
        </w:tabs>
        <w:spacing w:line="420" w:lineRule="exact"/>
        <w:ind w:firstLine="480" w:firstLineChars="200"/>
        <w:rPr>
          <w:rFonts w:cs="宋体"/>
          <w:sz w:val="24"/>
        </w:rPr>
      </w:pPr>
      <w:r>
        <w:rPr>
          <w:rFonts w:hint="eastAsia" w:cs="宋体"/>
          <w:sz w:val="24"/>
        </w:rPr>
        <w:t>(10)乙方施工过程中如需使用水、电、动用明火或借用甲方设备设施等，乙方必须事先向甲方主管部门办理审批手续，经甲方同意后，由专人负责落实。</w:t>
      </w:r>
    </w:p>
    <w:p w14:paraId="7C527ABD">
      <w:pPr>
        <w:tabs>
          <w:tab w:val="left" w:pos="2790"/>
        </w:tabs>
        <w:spacing w:line="420" w:lineRule="exact"/>
        <w:ind w:firstLine="480" w:firstLineChars="200"/>
        <w:rPr>
          <w:rFonts w:cs="宋体"/>
          <w:sz w:val="24"/>
        </w:rPr>
      </w:pPr>
      <w:r>
        <w:rPr>
          <w:rFonts w:hint="eastAsia" w:cs="宋体"/>
          <w:sz w:val="24"/>
        </w:rPr>
        <w:t>（11）乙方人员下班后应切断电源，确保用电 安全。如遇大风、大雾天、雷暴雨等恶劣气候影响作业安全时，禁止作业。</w:t>
      </w:r>
    </w:p>
    <w:p w14:paraId="66BB27DD">
      <w:pPr>
        <w:tabs>
          <w:tab w:val="left" w:pos="2790"/>
        </w:tabs>
        <w:spacing w:line="420" w:lineRule="exact"/>
        <w:ind w:firstLine="480" w:firstLineChars="200"/>
        <w:rPr>
          <w:rFonts w:cs="宋体"/>
          <w:sz w:val="24"/>
        </w:rPr>
      </w:pPr>
      <w:r>
        <w:rPr>
          <w:rFonts w:hint="eastAsia" w:cs="宋体"/>
          <w:sz w:val="24"/>
        </w:rPr>
        <w:t>（12）乙方在施工（作业）结束后，必须对施工现场彻底清理，做到工完、料尽、场地清，并及时通知甲方项目负责人验收。</w:t>
      </w:r>
    </w:p>
    <w:p w14:paraId="2927DADD">
      <w:pPr>
        <w:tabs>
          <w:tab w:val="left" w:pos="2790"/>
        </w:tabs>
        <w:spacing w:line="420" w:lineRule="exact"/>
        <w:ind w:firstLine="464" w:firstLineChars="200"/>
        <w:rPr>
          <w:rFonts w:cs="宋体"/>
          <w:sz w:val="24"/>
        </w:rPr>
      </w:pPr>
      <w:r>
        <w:rPr>
          <w:rFonts w:hint="eastAsia" w:cs="宋体"/>
          <w:spacing w:val="-4"/>
          <w:sz w:val="24"/>
        </w:rPr>
        <w:t>五、甲方建议乙方对其施工人员购买相应的财产一切险或其他险种等。</w:t>
      </w:r>
    </w:p>
    <w:p w14:paraId="7D86B24B">
      <w:pPr>
        <w:tabs>
          <w:tab w:val="left" w:pos="2790"/>
        </w:tabs>
        <w:spacing w:line="420" w:lineRule="exact"/>
        <w:ind w:firstLine="480" w:firstLineChars="200"/>
        <w:rPr>
          <w:rFonts w:cs="宋体"/>
          <w:sz w:val="24"/>
        </w:rPr>
      </w:pPr>
      <w:r>
        <w:rPr>
          <w:rFonts w:hint="eastAsia" w:cs="宋体"/>
          <w:sz w:val="24"/>
        </w:rPr>
        <w:t>六、违约责任</w:t>
      </w:r>
    </w:p>
    <w:p w14:paraId="6F5E3F98">
      <w:pPr>
        <w:tabs>
          <w:tab w:val="left" w:pos="2790"/>
        </w:tabs>
        <w:spacing w:line="420" w:lineRule="exact"/>
        <w:ind w:firstLine="480" w:firstLineChars="200"/>
        <w:rPr>
          <w:rFonts w:cs="宋体"/>
          <w:sz w:val="24"/>
        </w:rPr>
      </w:pPr>
      <w:r>
        <w:rPr>
          <w:rFonts w:hint="eastAsia" w:cs="宋体"/>
          <w:sz w:val="24"/>
        </w:rPr>
        <w:t>（1）乙方在施工过程中未按照甲方要求进行作业或乙方作业人员发生“三违”等现象的，应按照甲方的相关规定进行处理。</w:t>
      </w:r>
    </w:p>
    <w:p w14:paraId="46708E52">
      <w:pPr>
        <w:tabs>
          <w:tab w:val="left" w:pos="2790"/>
        </w:tabs>
        <w:spacing w:line="420" w:lineRule="exact"/>
        <w:ind w:firstLine="480" w:firstLineChars="200"/>
        <w:rPr>
          <w:rFonts w:cs="宋体"/>
          <w:sz w:val="24"/>
        </w:rPr>
      </w:pPr>
      <w:r>
        <w:rPr>
          <w:rFonts w:hint="eastAsia" w:cs="宋体"/>
          <w:sz w:val="24"/>
        </w:rPr>
        <w:t>（2）乙方在施工作业中发生事故，由乙方按照《生产安全事故报告和调查处理条例》向事故发生地的负责安全生产监督管理职责的有关部门的报告，同时立即告知甲方。事故善后工作由乙方负责处理，甲方应配合乙方做好事故调查处理工作。</w:t>
      </w:r>
    </w:p>
    <w:p w14:paraId="63ED3A13">
      <w:pPr>
        <w:tabs>
          <w:tab w:val="left" w:pos="2790"/>
        </w:tabs>
        <w:spacing w:line="420" w:lineRule="exact"/>
        <w:ind w:firstLine="480" w:firstLineChars="200"/>
        <w:rPr>
          <w:rFonts w:cs="宋体"/>
          <w:sz w:val="24"/>
        </w:rPr>
      </w:pPr>
      <w:r>
        <w:rPr>
          <w:rFonts w:hint="eastAsia" w:cs="宋体"/>
          <w:sz w:val="24"/>
        </w:rPr>
        <w:t>（3）事故责任及经济赔偿，因双方责任发生的生产安全事故，根据事故责任划分（以安全管理部门或当地政府事故处理责任部门出具的事故责任判定书为准），由各自承担相应事故责任及经济赔偿。</w:t>
      </w:r>
    </w:p>
    <w:p w14:paraId="5677839D">
      <w:pPr>
        <w:tabs>
          <w:tab w:val="left" w:pos="2790"/>
        </w:tabs>
        <w:spacing w:line="420" w:lineRule="exact"/>
        <w:ind w:firstLine="480" w:firstLineChars="200"/>
        <w:rPr>
          <w:rFonts w:cs="宋体"/>
          <w:bCs/>
          <w:sz w:val="24"/>
        </w:rPr>
      </w:pPr>
      <w:r>
        <w:rPr>
          <w:rFonts w:hint="eastAsia" w:cs="宋体"/>
          <w:bCs/>
          <w:sz w:val="24"/>
        </w:rPr>
        <w:t>（4）由于乙方或自然原因、意外事故引起的人员伤亡、环境事故以及财产损失，均由乙方负责，与甲方无关，乙方应自行做好善后工作，防止事态扩大。如因乙方或乙方施工人员的原因造成甲方财产损失、人员伤害的，乙方应承担由此引起的一切损失。</w:t>
      </w:r>
    </w:p>
    <w:p w14:paraId="0705A460">
      <w:pPr>
        <w:tabs>
          <w:tab w:val="left" w:pos="2790"/>
        </w:tabs>
        <w:spacing w:line="420" w:lineRule="exact"/>
        <w:ind w:firstLine="480" w:firstLineChars="200"/>
        <w:rPr>
          <w:rFonts w:cs="宋体"/>
          <w:sz w:val="24"/>
        </w:rPr>
      </w:pPr>
      <w:r>
        <w:rPr>
          <w:rFonts w:hint="eastAsia" w:cs="宋体"/>
          <w:sz w:val="24"/>
        </w:rPr>
        <w:t>（5）乙方对甲方提出的安全整改意见不及时整改，每逾期一天，乙方应按100元至500元/天承担违约责任。</w:t>
      </w:r>
    </w:p>
    <w:p w14:paraId="365F1688">
      <w:pPr>
        <w:tabs>
          <w:tab w:val="left" w:pos="2790"/>
        </w:tabs>
        <w:spacing w:line="420" w:lineRule="exact"/>
        <w:ind w:firstLine="480" w:firstLineChars="200"/>
        <w:rPr>
          <w:rFonts w:cs="宋体"/>
          <w:sz w:val="24"/>
        </w:rPr>
      </w:pPr>
      <w:r>
        <w:rPr>
          <w:rFonts w:hint="eastAsia" w:cs="宋体"/>
          <w:sz w:val="24"/>
        </w:rPr>
        <w:t>七、安全责任考核</w:t>
      </w:r>
    </w:p>
    <w:p w14:paraId="41A1058D">
      <w:pPr>
        <w:tabs>
          <w:tab w:val="left" w:pos="2790"/>
        </w:tabs>
        <w:spacing w:line="420" w:lineRule="exact"/>
        <w:ind w:firstLine="480" w:firstLineChars="200"/>
        <w:rPr>
          <w:rFonts w:cs="宋体"/>
          <w:sz w:val="24"/>
        </w:rPr>
      </w:pPr>
      <w:r>
        <w:rPr>
          <w:rFonts w:hint="eastAsia" w:cs="宋体"/>
          <w:sz w:val="24"/>
        </w:rPr>
        <w:t>1.乙方在合同履行过程中未按照甲方要求进行作业的或乙方作业人员发生其他违规作业现象的，应按照甲方的相关规定进行处理。</w:t>
      </w:r>
    </w:p>
    <w:p w14:paraId="57A02812">
      <w:pPr>
        <w:tabs>
          <w:tab w:val="left" w:pos="2790"/>
        </w:tabs>
        <w:spacing w:line="420" w:lineRule="exact"/>
        <w:ind w:firstLine="480" w:firstLineChars="200"/>
        <w:rPr>
          <w:rFonts w:cs="宋体"/>
          <w:sz w:val="24"/>
        </w:rPr>
      </w:pPr>
      <w:r>
        <w:rPr>
          <w:rFonts w:hint="eastAsia" w:cs="宋体"/>
          <w:sz w:val="24"/>
        </w:rPr>
        <w:t>2.乙方在合同履行过程中发生事故，应按照“四不放过”原则跟进，并参照甲方的事故报告调查处理相关规定进行处理。由乙方原因造成的安全生产责任事故的，由乙方承担一切责任。</w:t>
      </w:r>
    </w:p>
    <w:p w14:paraId="03A23621">
      <w:pPr>
        <w:tabs>
          <w:tab w:val="left" w:pos="2790"/>
        </w:tabs>
        <w:spacing w:line="420" w:lineRule="exact"/>
        <w:ind w:firstLine="480" w:firstLineChars="200"/>
        <w:rPr>
          <w:rFonts w:cs="宋体"/>
          <w:sz w:val="24"/>
        </w:rPr>
      </w:pPr>
      <w:r>
        <w:rPr>
          <w:rFonts w:hint="eastAsia" w:cs="宋体"/>
          <w:sz w:val="24"/>
        </w:rPr>
        <w:t>3.事故责任及经济赔偿，因双方责任发生的生产安全事故，根据事故责任划分（以交警、安全管理部门或当地政府事故处理责任部门出具的事故责任判定书为准），由双方承担相应事故责任及经济赔偿。</w:t>
      </w:r>
    </w:p>
    <w:p w14:paraId="7EA6FCDB">
      <w:pPr>
        <w:tabs>
          <w:tab w:val="left" w:pos="2790"/>
        </w:tabs>
        <w:spacing w:line="420" w:lineRule="exact"/>
        <w:ind w:firstLine="480" w:firstLineChars="200"/>
        <w:rPr>
          <w:rFonts w:cs="宋体"/>
          <w:sz w:val="24"/>
        </w:rPr>
      </w:pPr>
      <w:r>
        <w:rPr>
          <w:rFonts w:hint="eastAsia" w:cs="宋体"/>
          <w:sz w:val="24"/>
        </w:rPr>
        <w:t>4.由于乙方或自然原因引起的人员伤亡、环境事故以及财产损失，后续相关费用由甲乙双方协商解决，防止事态扩大。如因乙方及乙方人员的原因造成甲方财产损失、人员伤害的，乙方应承担由此引起的一切损失（损失包括但不限于赔付损失、垫付损失、诉讼费、律师费、保全费、担保费、鉴定费、公证费等，该损失定义适用本合同）。</w:t>
      </w:r>
    </w:p>
    <w:p w14:paraId="4B43EE9D">
      <w:pPr>
        <w:tabs>
          <w:tab w:val="left" w:pos="2790"/>
        </w:tabs>
        <w:spacing w:line="420" w:lineRule="exact"/>
        <w:ind w:firstLine="480" w:firstLineChars="200"/>
        <w:rPr>
          <w:rFonts w:cs="宋体"/>
          <w:sz w:val="24"/>
        </w:rPr>
      </w:pPr>
      <w:r>
        <w:rPr>
          <w:rFonts w:hint="eastAsia" w:cs="宋体"/>
          <w:sz w:val="24"/>
        </w:rPr>
        <w:t>5.乙方作业人员和管理人员出现以下情形之一的，甲方有权立即启动清退程序：</w:t>
      </w:r>
    </w:p>
    <w:p w14:paraId="2840FF1E">
      <w:pPr>
        <w:tabs>
          <w:tab w:val="left" w:pos="2790"/>
        </w:tabs>
        <w:spacing w:line="420" w:lineRule="exact"/>
        <w:ind w:firstLine="480" w:firstLineChars="200"/>
        <w:rPr>
          <w:rFonts w:cs="宋体"/>
          <w:sz w:val="24"/>
        </w:rPr>
      </w:pPr>
      <w:r>
        <w:rPr>
          <w:rFonts w:hint="eastAsia" w:cs="宋体"/>
          <w:sz w:val="24"/>
        </w:rPr>
        <w:t>5.1合同期内，作业人员因违章指挥、违规作业或违反劳动纪律等行为，导致发生重伤及以上责任事故的。</w:t>
      </w:r>
    </w:p>
    <w:p w14:paraId="273C0A06">
      <w:pPr>
        <w:tabs>
          <w:tab w:val="left" w:pos="2790"/>
        </w:tabs>
        <w:spacing w:line="420" w:lineRule="exact"/>
        <w:ind w:firstLine="480" w:firstLineChars="200"/>
        <w:rPr>
          <w:rFonts w:cs="宋体"/>
          <w:sz w:val="24"/>
        </w:rPr>
      </w:pPr>
      <w:r>
        <w:rPr>
          <w:rFonts w:hint="eastAsia" w:cs="宋体"/>
          <w:sz w:val="24"/>
        </w:rPr>
        <w:t>5.2违章冒险作业情节严重，存在较大亡人风险，且现场拒不停止作业的。</w:t>
      </w:r>
    </w:p>
    <w:p w14:paraId="4B0D3D8A">
      <w:pPr>
        <w:tabs>
          <w:tab w:val="left" w:pos="2790"/>
        </w:tabs>
        <w:spacing w:line="420" w:lineRule="exact"/>
        <w:ind w:firstLine="480" w:firstLineChars="200"/>
        <w:rPr>
          <w:rFonts w:cs="宋体"/>
          <w:sz w:val="24"/>
        </w:rPr>
      </w:pPr>
      <w:r>
        <w:rPr>
          <w:rFonts w:hint="eastAsia" w:cs="宋体"/>
          <w:sz w:val="24"/>
        </w:rPr>
        <w:t>5.3合同期内，作业人员吸毒或携带违禁物品进入作业现场，经现场抽查或举报查实的。</w:t>
      </w:r>
    </w:p>
    <w:p w14:paraId="5F3EC340">
      <w:pPr>
        <w:tabs>
          <w:tab w:val="left" w:pos="2790"/>
        </w:tabs>
        <w:spacing w:line="420" w:lineRule="exact"/>
        <w:ind w:firstLine="480" w:firstLineChars="200"/>
        <w:rPr>
          <w:rFonts w:cs="宋体"/>
          <w:sz w:val="24"/>
        </w:rPr>
      </w:pPr>
      <w:r>
        <w:rPr>
          <w:rFonts w:hint="eastAsia" w:cs="宋体"/>
          <w:sz w:val="24"/>
        </w:rPr>
        <w:t>5.4作业人员持用虚假证件、冒名顶替、伪造履历入职，或隐瞒重大职业健康禁忌，经查实的。</w:t>
      </w:r>
    </w:p>
    <w:p w14:paraId="7DBA41ED">
      <w:pPr>
        <w:tabs>
          <w:tab w:val="left" w:pos="2790"/>
        </w:tabs>
        <w:spacing w:line="420" w:lineRule="exact"/>
        <w:ind w:firstLine="480" w:firstLineChars="200"/>
        <w:rPr>
          <w:rFonts w:cs="宋体"/>
          <w:sz w:val="24"/>
        </w:rPr>
      </w:pPr>
      <w:r>
        <w:rPr>
          <w:rFonts w:hint="eastAsia" w:cs="宋体"/>
          <w:sz w:val="24"/>
        </w:rPr>
        <w:t>5.5合同期内，作业人员接连发生习惯性违章行为，屡教不改的。</w:t>
      </w:r>
    </w:p>
    <w:p w14:paraId="463D89BE">
      <w:pPr>
        <w:tabs>
          <w:tab w:val="left" w:pos="2790"/>
        </w:tabs>
        <w:spacing w:line="420" w:lineRule="exact"/>
        <w:ind w:firstLine="480" w:firstLineChars="200"/>
        <w:rPr>
          <w:rFonts w:cs="宋体"/>
          <w:sz w:val="24"/>
        </w:rPr>
      </w:pPr>
      <w:r>
        <w:rPr>
          <w:rFonts w:hint="eastAsia" w:cs="宋体"/>
          <w:sz w:val="24"/>
        </w:rPr>
        <w:t>5.6合同期内，作业人员因故意或过失，导致甲方遭受50万元及以上直接经济损失或造成负面舆情影响的。</w:t>
      </w:r>
    </w:p>
    <w:p w14:paraId="66E0D871">
      <w:pPr>
        <w:tabs>
          <w:tab w:val="left" w:pos="2790"/>
        </w:tabs>
        <w:spacing w:line="420" w:lineRule="exact"/>
        <w:ind w:firstLine="480" w:firstLineChars="200"/>
        <w:rPr>
          <w:rFonts w:cs="宋体"/>
          <w:sz w:val="24"/>
        </w:rPr>
      </w:pPr>
      <w:r>
        <w:rPr>
          <w:rFonts w:hint="eastAsia" w:cs="宋体"/>
          <w:sz w:val="24"/>
        </w:rPr>
        <w:t>5.7合同期内，专（兼）安全生产管理人员未按规定履行安全生产管理职责，存在未开展现场检查并形成检查记录、未开展安全教育并形成教育记录等履职不到位情形且不配合整改的。</w:t>
      </w:r>
    </w:p>
    <w:p w14:paraId="72EF802E">
      <w:pPr>
        <w:tabs>
          <w:tab w:val="left" w:pos="2790"/>
        </w:tabs>
        <w:spacing w:line="420" w:lineRule="exact"/>
        <w:ind w:firstLine="480" w:firstLineChars="200"/>
        <w:rPr>
          <w:rFonts w:cs="宋体"/>
          <w:sz w:val="24"/>
        </w:rPr>
      </w:pPr>
      <w:r>
        <w:rPr>
          <w:rFonts w:hint="eastAsia" w:cs="宋体"/>
          <w:sz w:val="24"/>
        </w:rPr>
        <w:t>5.8合同期内，管理人员未按公司合理要求落实整改或拒不整改的。</w:t>
      </w:r>
    </w:p>
    <w:p w14:paraId="71E072D7">
      <w:pPr>
        <w:tabs>
          <w:tab w:val="left" w:pos="2790"/>
        </w:tabs>
        <w:spacing w:line="420" w:lineRule="exact"/>
        <w:ind w:firstLine="480" w:firstLineChars="200"/>
        <w:rPr>
          <w:rFonts w:cs="宋体"/>
          <w:sz w:val="24"/>
        </w:rPr>
      </w:pPr>
      <w:r>
        <w:rPr>
          <w:rFonts w:hint="eastAsia" w:cs="宋体"/>
          <w:sz w:val="24"/>
        </w:rPr>
        <w:t>5.9发生其他法定禁止行为的。</w:t>
      </w:r>
    </w:p>
    <w:p w14:paraId="722646A2">
      <w:pPr>
        <w:tabs>
          <w:tab w:val="left" w:pos="2790"/>
        </w:tabs>
        <w:spacing w:line="420" w:lineRule="exact"/>
        <w:ind w:firstLine="480" w:firstLineChars="200"/>
        <w:rPr>
          <w:rFonts w:cs="宋体"/>
          <w:sz w:val="24"/>
        </w:rPr>
      </w:pPr>
      <w:r>
        <w:rPr>
          <w:rFonts w:hint="eastAsia" w:cs="宋体"/>
          <w:sz w:val="24"/>
        </w:rPr>
        <w:t>6.乙方出现以下情形之一的，甲方有权立即启动清退程序：</w:t>
      </w:r>
    </w:p>
    <w:p w14:paraId="07FE2C26">
      <w:pPr>
        <w:tabs>
          <w:tab w:val="left" w:pos="2790"/>
        </w:tabs>
        <w:spacing w:line="420" w:lineRule="exact"/>
        <w:ind w:firstLine="480" w:firstLineChars="200"/>
        <w:rPr>
          <w:rFonts w:cs="宋体"/>
          <w:sz w:val="24"/>
        </w:rPr>
      </w:pPr>
      <w:r>
        <w:rPr>
          <w:rFonts w:hint="eastAsia" w:cs="宋体"/>
          <w:sz w:val="24"/>
        </w:rPr>
        <w:t>6.1合同期内，累计造成 2 名及以上人员重伤责任事故的。</w:t>
      </w:r>
    </w:p>
    <w:p w14:paraId="20B34F74">
      <w:pPr>
        <w:tabs>
          <w:tab w:val="left" w:pos="2790"/>
        </w:tabs>
        <w:spacing w:line="420" w:lineRule="exact"/>
        <w:ind w:firstLine="480" w:firstLineChars="200"/>
        <w:rPr>
          <w:rFonts w:cs="宋体"/>
          <w:sz w:val="24"/>
        </w:rPr>
      </w:pPr>
      <w:r>
        <w:rPr>
          <w:rFonts w:hint="eastAsia" w:cs="宋体"/>
          <w:sz w:val="24"/>
        </w:rPr>
        <w:t>6.2合同期内，造成 1 名及以上人员死亡责任事故的。</w:t>
      </w:r>
    </w:p>
    <w:p w14:paraId="66A91AD1">
      <w:pPr>
        <w:tabs>
          <w:tab w:val="left" w:pos="2790"/>
        </w:tabs>
        <w:spacing w:line="420" w:lineRule="exact"/>
        <w:ind w:firstLine="480" w:firstLineChars="200"/>
        <w:rPr>
          <w:rFonts w:cs="宋体"/>
          <w:sz w:val="24"/>
        </w:rPr>
      </w:pPr>
      <w:r>
        <w:rPr>
          <w:rFonts w:hint="eastAsia" w:cs="宋体"/>
          <w:sz w:val="24"/>
        </w:rPr>
        <w:t>6.3合同期内，累计被查处 5 名及以上人员经常性严重违章行为的。</w:t>
      </w:r>
    </w:p>
    <w:p w14:paraId="5F8A1F8D">
      <w:pPr>
        <w:tabs>
          <w:tab w:val="left" w:pos="2790"/>
        </w:tabs>
        <w:spacing w:line="420" w:lineRule="exact"/>
        <w:ind w:firstLine="480" w:firstLineChars="200"/>
        <w:rPr>
          <w:rFonts w:cs="宋体"/>
          <w:sz w:val="24"/>
        </w:rPr>
      </w:pPr>
      <w:r>
        <w:rPr>
          <w:rFonts w:hint="eastAsia" w:cs="宋体"/>
          <w:sz w:val="24"/>
        </w:rPr>
        <w:t>6.4合同期内造成事故，导致甲方遭受100万元及以上直接经济损失或造成负面舆情影响的。</w:t>
      </w:r>
    </w:p>
    <w:p w14:paraId="49C0680D">
      <w:pPr>
        <w:tabs>
          <w:tab w:val="left" w:pos="2790"/>
        </w:tabs>
        <w:spacing w:line="420" w:lineRule="exact"/>
        <w:ind w:firstLine="480" w:firstLineChars="200"/>
        <w:rPr>
          <w:rFonts w:cs="宋体"/>
          <w:sz w:val="24"/>
        </w:rPr>
      </w:pPr>
      <w:r>
        <w:rPr>
          <w:rFonts w:hint="eastAsia" w:cs="宋体"/>
          <w:sz w:val="24"/>
        </w:rPr>
        <w:t>6.5年度考核、连续 2 次季度考核或连续 3 次月度考核不合格经整改仍无法满足要求的。</w:t>
      </w:r>
    </w:p>
    <w:p w14:paraId="4D5932AA">
      <w:pPr>
        <w:tabs>
          <w:tab w:val="left" w:pos="2790"/>
        </w:tabs>
        <w:spacing w:line="420" w:lineRule="exact"/>
        <w:ind w:firstLine="480" w:firstLineChars="200"/>
        <w:rPr>
          <w:rFonts w:cs="宋体"/>
          <w:sz w:val="24"/>
        </w:rPr>
      </w:pPr>
      <w:r>
        <w:rPr>
          <w:rFonts w:hint="eastAsia" w:cs="宋体"/>
          <w:sz w:val="24"/>
        </w:rPr>
        <w:t>6.6提供虚假资质材料、业绩证明，骗取准入资格或合作机会的。</w:t>
      </w:r>
    </w:p>
    <w:p w14:paraId="46DB699F">
      <w:pPr>
        <w:tabs>
          <w:tab w:val="left" w:pos="2790"/>
        </w:tabs>
        <w:spacing w:line="420" w:lineRule="exact"/>
        <w:ind w:firstLine="480" w:firstLineChars="200"/>
        <w:rPr>
          <w:rFonts w:cs="宋体"/>
          <w:sz w:val="24"/>
        </w:rPr>
      </w:pPr>
      <w:r>
        <w:rPr>
          <w:rFonts w:hint="eastAsia" w:cs="宋体"/>
          <w:sz w:val="24"/>
        </w:rPr>
        <w:t>6.7未按合同要求缴纳相关履约保证金，或保证金被扣减后未在规定时限内补足的。</w:t>
      </w:r>
    </w:p>
    <w:p w14:paraId="3F20ACAF">
      <w:pPr>
        <w:tabs>
          <w:tab w:val="left" w:pos="2790"/>
        </w:tabs>
        <w:spacing w:line="420" w:lineRule="exact"/>
        <w:ind w:firstLine="480" w:firstLineChars="200"/>
        <w:rPr>
          <w:rFonts w:cs="宋体"/>
          <w:sz w:val="24"/>
        </w:rPr>
      </w:pPr>
      <w:r>
        <w:rPr>
          <w:rFonts w:hint="eastAsia" w:cs="宋体"/>
          <w:sz w:val="24"/>
        </w:rPr>
        <w:t>6.8违反外包合同及安全协议约定，擅自转包、分包外包业务的。</w:t>
      </w:r>
    </w:p>
    <w:p w14:paraId="69CDF63B">
      <w:pPr>
        <w:tabs>
          <w:tab w:val="left" w:pos="2790"/>
        </w:tabs>
        <w:spacing w:line="420" w:lineRule="exact"/>
        <w:ind w:firstLine="480" w:firstLineChars="200"/>
        <w:rPr>
          <w:rFonts w:cs="宋体"/>
          <w:sz w:val="24"/>
        </w:rPr>
      </w:pPr>
      <w:r>
        <w:rPr>
          <w:rFonts w:hint="eastAsia" w:cs="宋体"/>
          <w:sz w:val="24"/>
        </w:rPr>
        <w:t>6.9存在严重违法违规行为（如伪造设备检测报告），被行业主管部门列入失信名单的。</w:t>
      </w:r>
    </w:p>
    <w:p w14:paraId="69C602FE">
      <w:pPr>
        <w:tabs>
          <w:tab w:val="left" w:pos="2790"/>
        </w:tabs>
        <w:spacing w:line="420" w:lineRule="exact"/>
        <w:ind w:firstLine="480" w:firstLineChars="200"/>
        <w:rPr>
          <w:rFonts w:cs="宋体"/>
          <w:sz w:val="24"/>
        </w:rPr>
      </w:pPr>
      <w:r>
        <w:rPr>
          <w:rFonts w:hint="eastAsia" w:cs="宋体"/>
          <w:sz w:val="24"/>
        </w:rPr>
        <w:t>6.10拒绝接受甲方安全监管的。</w:t>
      </w:r>
    </w:p>
    <w:p w14:paraId="05F4357E">
      <w:pPr>
        <w:tabs>
          <w:tab w:val="left" w:pos="2790"/>
        </w:tabs>
        <w:spacing w:line="420" w:lineRule="exact"/>
        <w:ind w:firstLine="480" w:firstLineChars="200"/>
        <w:rPr>
          <w:rFonts w:cs="宋体"/>
          <w:sz w:val="24"/>
        </w:rPr>
      </w:pPr>
      <w:r>
        <w:rPr>
          <w:rFonts w:hint="eastAsia" w:cs="宋体"/>
          <w:sz w:val="24"/>
        </w:rPr>
        <w:t>6.11无正当理由，隐患整改不及时或拒不整改的。</w:t>
      </w:r>
    </w:p>
    <w:p w14:paraId="13CA6EB3">
      <w:pPr>
        <w:tabs>
          <w:tab w:val="left" w:pos="2790"/>
        </w:tabs>
        <w:spacing w:line="420" w:lineRule="exact"/>
        <w:ind w:firstLine="480" w:firstLineChars="200"/>
        <w:rPr>
          <w:rFonts w:cs="宋体"/>
          <w:sz w:val="24"/>
        </w:rPr>
      </w:pPr>
      <w:r>
        <w:rPr>
          <w:rFonts w:hint="eastAsia" w:cs="宋体"/>
          <w:sz w:val="24"/>
        </w:rPr>
        <w:t>6.12发生其他法定禁止行为的。</w:t>
      </w:r>
    </w:p>
    <w:p w14:paraId="6AC94561">
      <w:pPr>
        <w:tabs>
          <w:tab w:val="left" w:pos="2790"/>
        </w:tabs>
        <w:spacing w:line="420" w:lineRule="exact"/>
        <w:ind w:firstLine="480" w:firstLineChars="200"/>
        <w:rPr>
          <w:rFonts w:cs="宋体"/>
          <w:sz w:val="24"/>
        </w:rPr>
      </w:pPr>
      <w:r>
        <w:rPr>
          <w:rFonts w:hint="eastAsia" w:cs="宋体"/>
          <w:sz w:val="24"/>
        </w:rPr>
        <w:t>7.黑名单管理</w:t>
      </w:r>
    </w:p>
    <w:p w14:paraId="56DF9049">
      <w:pPr>
        <w:tabs>
          <w:tab w:val="left" w:pos="2790"/>
        </w:tabs>
        <w:spacing w:line="420" w:lineRule="exact"/>
        <w:ind w:firstLine="480" w:firstLineChars="200"/>
        <w:rPr>
          <w:rFonts w:cs="宋体"/>
          <w:sz w:val="24"/>
        </w:rPr>
      </w:pPr>
      <w:r>
        <w:rPr>
          <w:rFonts w:hint="eastAsia" w:cs="宋体"/>
          <w:sz w:val="24"/>
        </w:rPr>
        <w:t>7.1被清退的乙方员工，自清退之日起 5 年内不得参与甲方任何业务外包工作。</w:t>
      </w:r>
    </w:p>
    <w:p w14:paraId="2AD1299E">
      <w:pPr>
        <w:tabs>
          <w:tab w:val="left" w:pos="2790"/>
        </w:tabs>
        <w:spacing w:line="420" w:lineRule="exact"/>
        <w:ind w:firstLine="480" w:firstLineChars="200"/>
        <w:rPr>
          <w:rFonts w:cs="宋体"/>
          <w:sz w:val="24"/>
        </w:rPr>
      </w:pPr>
      <w:r>
        <w:rPr>
          <w:rFonts w:hint="eastAsia" w:cs="宋体"/>
          <w:sz w:val="24"/>
        </w:rPr>
        <w:t>7.2被清退的乙方及其主要负责人以及实际控制人、安全负责人、安全管理人员，以及对生产安全责任事故负有责任的人员一并纳入黑名单，自清退之日起 2年内不得参与甲方任何外包业务投标或合作。</w:t>
      </w:r>
    </w:p>
    <w:p w14:paraId="54843A66">
      <w:pPr>
        <w:numPr>
          <w:ilvl w:val="0"/>
          <w:numId w:val="6"/>
        </w:numPr>
        <w:tabs>
          <w:tab w:val="left" w:pos="2790"/>
        </w:tabs>
        <w:spacing w:line="420" w:lineRule="exact"/>
        <w:ind w:firstLine="480" w:firstLineChars="200"/>
        <w:rPr>
          <w:rFonts w:cs="宋体"/>
          <w:sz w:val="24"/>
        </w:rPr>
      </w:pPr>
      <w:r>
        <w:rPr>
          <w:rFonts w:hint="eastAsia" w:cs="宋体"/>
          <w:sz w:val="24"/>
        </w:rPr>
        <w:t>乙方人员有违反本协议约定的，甲方有权要求乙方承担所有损失，甲方有权根据实际情况决定是否解除合同。</w:t>
      </w:r>
    </w:p>
    <w:p w14:paraId="3C27B69C">
      <w:pPr>
        <w:numPr>
          <w:ilvl w:val="255"/>
          <w:numId w:val="0"/>
        </w:numPr>
        <w:tabs>
          <w:tab w:val="left" w:pos="2790"/>
        </w:tabs>
        <w:spacing w:line="420" w:lineRule="exact"/>
        <w:ind w:firstLine="480" w:firstLineChars="200"/>
        <w:rPr>
          <w:rFonts w:cs="宋体"/>
          <w:sz w:val="24"/>
        </w:rPr>
      </w:pPr>
      <w:r>
        <w:rPr>
          <w:rFonts w:hint="eastAsia" w:cs="宋体"/>
          <w:sz w:val="24"/>
        </w:rPr>
        <w:t>八、本协议各项规定适用于协议双方，如遇有同国家和政府有关法律法规不符的按国家和政府的有关规定执行。</w:t>
      </w:r>
    </w:p>
    <w:p w14:paraId="452F98C0">
      <w:pPr>
        <w:spacing w:line="300" w:lineRule="auto"/>
        <w:ind w:firstLine="480" w:firstLineChars="200"/>
        <w:rPr>
          <w:rFonts w:cs="宋体"/>
          <w:sz w:val="24"/>
        </w:rPr>
      </w:pPr>
      <w:r>
        <w:rPr>
          <w:rFonts w:hint="eastAsia" w:cs="宋体"/>
          <w:sz w:val="24"/>
        </w:rPr>
        <w:t>九、本协议在执行过程中产生的或与本协议有关的争议及分歧，双方应通过友好协商解决，无法达成共识时，双方均可向工程所在地人民法院提起诉讼。</w:t>
      </w:r>
    </w:p>
    <w:p w14:paraId="6064979D">
      <w:pPr>
        <w:tabs>
          <w:tab w:val="left" w:pos="2790"/>
        </w:tabs>
        <w:spacing w:line="420" w:lineRule="exact"/>
        <w:ind w:firstLine="480" w:firstLineChars="200"/>
        <w:rPr>
          <w:rFonts w:cs="宋体"/>
          <w:sz w:val="24"/>
        </w:rPr>
      </w:pPr>
      <w:r>
        <w:rPr>
          <w:rFonts w:hint="eastAsia" w:cs="宋体"/>
          <w:sz w:val="24"/>
        </w:rPr>
        <w:t>十、本协议由双方法定代表人或其授权的代理人签署并加盖单位章后生效。</w:t>
      </w:r>
    </w:p>
    <w:p w14:paraId="0EBE1C91">
      <w:pPr>
        <w:tabs>
          <w:tab w:val="left" w:pos="2790"/>
        </w:tabs>
        <w:spacing w:line="420" w:lineRule="exact"/>
        <w:ind w:firstLine="480" w:firstLineChars="200"/>
        <w:rPr>
          <w:rFonts w:cs="宋体"/>
          <w:sz w:val="24"/>
        </w:rPr>
      </w:pPr>
      <w:r>
        <w:rPr>
          <w:rFonts w:hint="eastAsia" w:cs="宋体"/>
          <w:sz w:val="24"/>
        </w:rPr>
        <w:t>十一、本协议一式二份，双方各执一份。</w:t>
      </w:r>
    </w:p>
    <w:p w14:paraId="7F99672C">
      <w:pPr>
        <w:tabs>
          <w:tab w:val="left" w:pos="2790"/>
        </w:tabs>
        <w:spacing w:line="420" w:lineRule="exact"/>
        <w:ind w:firstLine="480" w:firstLineChars="200"/>
        <w:rPr>
          <w:rFonts w:cs="宋体"/>
          <w:sz w:val="24"/>
        </w:rPr>
      </w:pPr>
    </w:p>
    <w:p w14:paraId="27486DB5">
      <w:pPr>
        <w:tabs>
          <w:tab w:val="left" w:pos="2790"/>
        </w:tabs>
        <w:spacing w:line="440" w:lineRule="exact"/>
        <w:rPr>
          <w:rFonts w:cs="宋体"/>
          <w:sz w:val="24"/>
        </w:rPr>
      </w:pPr>
      <w:r>
        <w:rPr>
          <w:rFonts w:hint="eastAsia" w:cs="宋体"/>
          <w:sz w:val="24"/>
        </w:rPr>
        <w:t>甲方 (盖单位章) ：                       乙方 (盖单位章) ：</w:t>
      </w:r>
    </w:p>
    <w:p w14:paraId="1A99F1B6">
      <w:pPr>
        <w:tabs>
          <w:tab w:val="left" w:pos="2790"/>
        </w:tabs>
        <w:spacing w:line="440" w:lineRule="exact"/>
        <w:rPr>
          <w:rFonts w:cs="宋体"/>
          <w:sz w:val="24"/>
        </w:rPr>
      </w:pPr>
      <w:r>
        <w:rPr>
          <w:rFonts w:hint="eastAsia" w:cs="宋体"/>
          <w:sz w:val="24"/>
        </w:rPr>
        <w:t>法定代表人或                             法定代表人或</w:t>
      </w:r>
    </w:p>
    <w:p w14:paraId="27CD8C88">
      <w:pPr>
        <w:tabs>
          <w:tab w:val="left" w:pos="2790"/>
        </w:tabs>
        <w:spacing w:line="440" w:lineRule="exact"/>
        <w:rPr>
          <w:rFonts w:cs="宋体"/>
          <w:sz w:val="24"/>
        </w:rPr>
      </w:pPr>
      <w:r>
        <w:rPr>
          <w:rFonts w:hint="eastAsia" w:cs="宋体"/>
          <w:sz w:val="24"/>
        </w:rPr>
        <w:t>其委托代理人：(签字)                     其委托代理人：(签字)</w:t>
      </w:r>
    </w:p>
    <w:p w14:paraId="40F3A61B">
      <w:pPr>
        <w:tabs>
          <w:tab w:val="left" w:pos="2790"/>
        </w:tabs>
        <w:spacing w:line="440" w:lineRule="exact"/>
        <w:rPr>
          <w:rFonts w:cs="宋体"/>
          <w:sz w:val="24"/>
        </w:rPr>
      </w:pPr>
    </w:p>
    <w:p w14:paraId="573B2458">
      <w:pPr>
        <w:tabs>
          <w:tab w:val="left" w:pos="2790"/>
        </w:tabs>
        <w:spacing w:line="440" w:lineRule="exact"/>
        <w:ind w:firstLine="2160" w:firstLineChars="900"/>
        <w:rPr>
          <w:rFonts w:cs="宋体"/>
          <w:sz w:val="24"/>
        </w:rPr>
      </w:pPr>
      <w:r>
        <w:rPr>
          <w:rFonts w:hint="eastAsia" w:cs="宋体"/>
          <w:sz w:val="24"/>
        </w:rPr>
        <w:t>签订日期：        年   月   日</w:t>
      </w:r>
    </w:p>
    <w:p w14:paraId="4404AB92">
      <w:pPr>
        <w:spacing w:line="400" w:lineRule="exact"/>
        <w:jc w:val="left"/>
        <w:rPr>
          <w:rFonts w:cs="宋体"/>
          <w:sz w:val="28"/>
          <w:szCs w:val="28"/>
        </w:rPr>
      </w:pPr>
    </w:p>
    <w:p w14:paraId="1D9200C4">
      <w:pPr>
        <w:spacing w:line="400" w:lineRule="exact"/>
        <w:jc w:val="left"/>
        <w:rPr>
          <w:rFonts w:cs="宋体"/>
          <w:sz w:val="28"/>
          <w:szCs w:val="28"/>
        </w:rPr>
      </w:pPr>
    </w:p>
    <w:p w14:paraId="7F2405F8">
      <w:pPr>
        <w:rPr>
          <w:rFonts w:cs="宋体"/>
          <w:b/>
          <w:sz w:val="28"/>
          <w:szCs w:val="28"/>
        </w:rPr>
      </w:pPr>
      <w:r>
        <w:rPr>
          <w:rFonts w:hint="eastAsia" w:cs="宋体"/>
          <w:szCs w:val="21"/>
        </w:rPr>
        <w:br w:type="page"/>
      </w:r>
      <w:r>
        <w:rPr>
          <w:rFonts w:hint="eastAsia" w:cs="宋体"/>
          <w:b/>
          <w:sz w:val="28"/>
          <w:szCs w:val="28"/>
        </w:rPr>
        <w:t>附件4:</w:t>
      </w:r>
    </w:p>
    <w:p w14:paraId="12A7ED74">
      <w:pPr>
        <w:spacing w:before="156" w:beforeLines="50" w:after="156" w:afterLines="50" w:line="440" w:lineRule="exact"/>
        <w:jc w:val="center"/>
        <w:rPr>
          <w:rFonts w:cs="宋体"/>
          <w:sz w:val="30"/>
          <w:szCs w:val="30"/>
        </w:rPr>
      </w:pPr>
      <w:r>
        <w:rPr>
          <w:rFonts w:hint="eastAsia" w:cs="宋体"/>
          <w:sz w:val="30"/>
          <w:szCs w:val="30"/>
        </w:rPr>
        <w:t>不拖欠民工工资承诺书</w:t>
      </w:r>
    </w:p>
    <w:p w14:paraId="249F294B">
      <w:pPr>
        <w:rPr>
          <w:rFonts w:cs="宋体"/>
          <w:b/>
          <w:sz w:val="24"/>
        </w:rPr>
      </w:pPr>
      <w:r>
        <w:rPr>
          <w:rFonts w:hint="eastAsia" w:cs="宋体"/>
          <w:b/>
          <w:sz w:val="24"/>
          <w:lang w:bidi="ar"/>
        </w:rPr>
        <w:t xml:space="preserve"> </w:t>
      </w:r>
    </w:p>
    <w:p w14:paraId="639EF40D">
      <w:pPr>
        <w:snapToGrid w:val="0"/>
        <w:spacing w:line="360" w:lineRule="auto"/>
        <w:ind w:firstLine="495"/>
        <w:rPr>
          <w:rFonts w:cs="宋体"/>
          <w:kern w:val="0"/>
        </w:rPr>
      </w:pPr>
      <w:r>
        <w:rPr>
          <w:rFonts w:hint="eastAsia" w:cs="宋体"/>
          <w:kern w:val="0"/>
          <w:lang w:bidi="ar"/>
        </w:rPr>
        <w:t>致：</w:t>
      </w:r>
      <w:r>
        <w:rPr>
          <w:rFonts w:hint="eastAsia" w:cs="宋体"/>
          <w:kern w:val="0"/>
          <w:u w:val="single"/>
          <w:lang w:bidi="ar"/>
        </w:rPr>
        <w:t xml:space="preserve"> 温州港口服务有限公司                 </w:t>
      </w:r>
    </w:p>
    <w:p w14:paraId="2315F074">
      <w:pPr>
        <w:snapToGrid w:val="0"/>
        <w:spacing w:line="360" w:lineRule="auto"/>
        <w:ind w:firstLine="495"/>
        <w:rPr>
          <w:rFonts w:cs="宋体"/>
          <w:kern w:val="0"/>
        </w:rPr>
      </w:pPr>
      <w:r>
        <w:rPr>
          <w:rFonts w:hint="eastAsia" w:cs="宋体"/>
          <w:kern w:val="0"/>
          <w:lang w:bidi="ar"/>
        </w:rPr>
        <w:t>为保护民工的合法权益，不拖欠民工工资，本人</w:t>
      </w:r>
      <w:r>
        <w:rPr>
          <w:rFonts w:hint="eastAsia" w:cs="宋体"/>
          <w:kern w:val="0"/>
          <w:u w:val="single"/>
          <w:lang w:bidi="ar"/>
        </w:rPr>
        <w:t xml:space="preserve">      </w:t>
      </w:r>
      <w:r>
        <w:rPr>
          <w:rFonts w:hint="eastAsia" w:cs="宋体"/>
          <w:kern w:val="0"/>
          <w:lang w:bidi="ar"/>
        </w:rPr>
        <w:t xml:space="preserve"> 以</w:t>
      </w:r>
      <w:r>
        <w:rPr>
          <w:rFonts w:hint="eastAsia" w:cs="宋体"/>
          <w:kern w:val="0"/>
          <w:u w:val="single"/>
          <w:lang w:bidi="ar"/>
        </w:rPr>
        <w:t xml:space="preserve">            </w:t>
      </w:r>
      <w:r>
        <w:rPr>
          <w:rFonts w:hint="eastAsia" w:cs="宋体"/>
          <w:kern w:val="0"/>
          <w:lang w:bidi="ar"/>
        </w:rPr>
        <w:t>法定代表人的资格，郑重承诺：</w:t>
      </w:r>
    </w:p>
    <w:p w14:paraId="3E51DBC0">
      <w:pPr>
        <w:snapToGrid w:val="0"/>
        <w:spacing w:line="360" w:lineRule="auto"/>
        <w:ind w:firstLine="495"/>
        <w:rPr>
          <w:rFonts w:cs="宋体"/>
          <w:kern w:val="0"/>
        </w:rPr>
      </w:pPr>
      <w:r>
        <w:rPr>
          <w:rFonts w:hint="eastAsia" w:cs="宋体"/>
          <w:kern w:val="0"/>
          <w:lang w:bidi="ar"/>
        </w:rPr>
        <w:t xml:space="preserve">我单位承建 </w:t>
      </w:r>
      <w:r>
        <w:rPr>
          <w:rFonts w:hint="eastAsia" w:cs="宋体"/>
          <w:kern w:val="0"/>
          <w:u w:val="single"/>
          <w:lang w:bidi="ar"/>
        </w:rPr>
        <w:t xml:space="preserve">             </w:t>
      </w:r>
      <w:r>
        <w:rPr>
          <w:rFonts w:hint="eastAsia" w:cs="宋体"/>
          <w:kern w:val="0"/>
          <w:lang w:bidi="ar"/>
        </w:rPr>
        <w:t>，需要使用民工时，将保证做到：</w:t>
      </w:r>
    </w:p>
    <w:p w14:paraId="672F68B3">
      <w:pPr>
        <w:snapToGrid w:val="0"/>
        <w:spacing w:line="360" w:lineRule="auto"/>
        <w:ind w:firstLine="495"/>
        <w:rPr>
          <w:rFonts w:cs="宋体"/>
          <w:kern w:val="0"/>
        </w:rPr>
      </w:pPr>
      <w:r>
        <w:rPr>
          <w:rFonts w:hint="eastAsia" w:cs="宋体"/>
          <w:kern w:val="0"/>
          <w:lang w:bidi="ar"/>
        </w:rPr>
        <w:t>1、按照《劳动法》规定雇佣和使用民工，工资将直接发放给民工本人，保证不发放给“包工头”。</w:t>
      </w:r>
    </w:p>
    <w:p w14:paraId="5F768EF5">
      <w:pPr>
        <w:snapToGrid w:val="0"/>
        <w:spacing w:line="360" w:lineRule="auto"/>
        <w:ind w:firstLine="495"/>
        <w:rPr>
          <w:rFonts w:cs="宋体"/>
          <w:kern w:val="0"/>
        </w:rPr>
      </w:pPr>
      <w:r>
        <w:rPr>
          <w:rFonts w:hint="eastAsia" w:cs="宋体"/>
          <w:kern w:val="0"/>
          <w:lang w:bidi="ar"/>
        </w:rPr>
        <w:t>2、分包单位雇佣民工的，我单位将要求分包单位按照规定签订劳动合同，并负责督促其按照合同规定及时结付民工工资。如因我单位未按合同约定与分包单位结清工程款，致使后者拖欠民工工资的，将由我单位先行垫付欠款，发包人可从支付给我单位的工程款中扣回双倍的罚款。我单位对分包单位清偿拖欠民工工资负总责。</w:t>
      </w:r>
    </w:p>
    <w:p w14:paraId="11682B53">
      <w:pPr>
        <w:snapToGrid w:val="0"/>
        <w:spacing w:line="360" w:lineRule="auto"/>
        <w:ind w:firstLine="495"/>
        <w:rPr>
          <w:rFonts w:cs="宋体"/>
          <w:kern w:val="0"/>
        </w:rPr>
      </w:pPr>
      <w:r>
        <w:rPr>
          <w:rFonts w:hint="eastAsia" w:cs="宋体"/>
          <w:kern w:val="0"/>
          <w:lang w:bidi="ar"/>
        </w:rPr>
        <w:t>3、如果发生违反规定拖欠或克扣民工工资行为，造成民工上访，及其它突发事件或公共事件，我单位愿意接受发包人暂停我单位1年期间参加发包人招标项目投标资格的处罚，同时愿意接受上级行政主管部门依照有关规定作出的其它处罚决定。</w:t>
      </w:r>
    </w:p>
    <w:p w14:paraId="20F20862">
      <w:pPr>
        <w:snapToGrid w:val="0"/>
        <w:spacing w:line="360" w:lineRule="auto"/>
        <w:ind w:firstLine="495"/>
        <w:rPr>
          <w:rFonts w:cs="宋体"/>
          <w:kern w:val="0"/>
        </w:rPr>
      </w:pPr>
      <w:r>
        <w:rPr>
          <w:rFonts w:hint="eastAsia" w:cs="宋体"/>
          <w:kern w:val="0"/>
          <w:lang w:bidi="ar"/>
        </w:rPr>
        <w:t>4、我单位将按地方政府相关文件的规定缴纳民工工资保障金。</w:t>
      </w:r>
    </w:p>
    <w:p w14:paraId="35A0A075">
      <w:pPr>
        <w:snapToGrid w:val="0"/>
        <w:spacing w:line="360" w:lineRule="auto"/>
        <w:ind w:firstLine="495"/>
        <w:rPr>
          <w:rFonts w:cs="宋体"/>
          <w:kern w:val="0"/>
        </w:rPr>
      </w:pPr>
      <w:r>
        <w:rPr>
          <w:rFonts w:hint="eastAsia" w:cs="宋体"/>
          <w:kern w:val="0"/>
          <w:lang w:bidi="ar"/>
        </w:rPr>
        <w:t xml:space="preserve"> </w:t>
      </w:r>
    </w:p>
    <w:p w14:paraId="05D0A423">
      <w:pPr>
        <w:snapToGrid w:val="0"/>
        <w:spacing w:line="360" w:lineRule="auto"/>
        <w:ind w:firstLine="4788" w:firstLineChars="2280"/>
        <w:rPr>
          <w:rFonts w:cs="宋体"/>
          <w:kern w:val="0"/>
        </w:rPr>
      </w:pPr>
      <w:r>
        <w:rPr>
          <w:rFonts w:hint="eastAsia" w:cs="宋体"/>
          <w:kern w:val="0"/>
          <w:lang w:bidi="ar"/>
        </w:rPr>
        <w:t xml:space="preserve">承  包  人(公章)：             </w:t>
      </w:r>
    </w:p>
    <w:p w14:paraId="6B15F899">
      <w:pPr>
        <w:snapToGrid w:val="0"/>
        <w:spacing w:line="360" w:lineRule="auto"/>
        <w:ind w:firstLine="495"/>
        <w:rPr>
          <w:rFonts w:cs="宋体"/>
          <w:kern w:val="0"/>
        </w:rPr>
      </w:pPr>
      <w:r>
        <w:rPr>
          <w:rFonts w:hint="eastAsia" w:cs="宋体"/>
          <w:kern w:val="0"/>
          <w:lang w:bidi="ar"/>
        </w:rPr>
        <w:t xml:space="preserve"> </w:t>
      </w:r>
    </w:p>
    <w:p w14:paraId="619199A3">
      <w:pPr>
        <w:snapToGrid w:val="0"/>
        <w:spacing w:line="360" w:lineRule="auto"/>
        <w:ind w:firstLine="495"/>
        <w:rPr>
          <w:rFonts w:cs="宋体"/>
          <w:kern w:val="0"/>
        </w:rPr>
      </w:pPr>
      <w:r>
        <w:rPr>
          <w:rFonts w:hint="eastAsia" w:cs="宋体"/>
          <w:kern w:val="0"/>
          <w:lang w:bidi="ar"/>
        </w:rPr>
        <w:t xml:space="preserve">                                        法定代表人或其委托代理人（签名）             </w:t>
      </w:r>
    </w:p>
    <w:p w14:paraId="0734C3DD">
      <w:pPr>
        <w:snapToGrid w:val="0"/>
        <w:spacing w:line="360" w:lineRule="auto"/>
        <w:ind w:firstLine="4788" w:firstLineChars="2280"/>
        <w:rPr>
          <w:rFonts w:cs="宋体"/>
          <w:kern w:val="0"/>
          <w:lang w:bidi="ar"/>
        </w:rPr>
      </w:pPr>
      <w:r>
        <w:rPr>
          <w:rFonts w:hint="eastAsia" w:cs="宋体"/>
          <w:kern w:val="0"/>
          <w:lang w:bidi="ar"/>
        </w:rPr>
        <w:t xml:space="preserve">    </w:t>
      </w:r>
    </w:p>
    <w:p w14:paraId="04CDD305">
      <w:pPr>
        <w:widowControl/>
        <w:ind w:firstLine="4830" w:firstLineChars="2300"/>
        <w:rPr>
          <w:rFonts w:cs="宋体"/>
          <w:b/>
          <w:sz w:val="28"/>
          <w:szCs w:val="28"/>
        </w:rPr>
      </w:pPr>
      <w:r>
        <w:rPr>
          <w:rFonts w:hint="eastAsia" w:cs="宋体"/>
          <w:kern w:val="0"/>
          <w:u w:val="single"/>
          <w:lang w:bidi="ar"/>
        </w:rPr>
        <w:t xml:space="preserve">      </w:t>
      </w:r>
      <w:r>
        <w:rPr>
          <w:rFonts w:hint="eastAsia" w:cs="宋体"/>
          <w:kern w:val="0"/>
          <w:lang w:bidi="ar"/>
        </w:rPr>
        <w:t>年</w:t>
      </w:r>
      <w:r>
        <w:rPr>
          <w:rFonts w:hint="eastAsia" w:cs="宋体"/>
          <w:kern w:val="0"/>
          <w:u w:val="single"/>
          <w:lang w:bidi="ar"/>
        </w:rPr>
        <w:t xml:space="preserve">     </w:t>
      </w:r>
      <w:r>
        <w:rPr>
          <w:rFonts w:hint="eastAsia" w:cs="宋体"/>
          <w:kern w:val="0"/>
          <w:lang w:bidi="ar"/>
        </w:rPr>
        <w:t>月</w:t>
      </w:r>
      <w:r>
        <w:rPr>
          <w:rFonts w:hint="eastAsia" w:cs="宋体"/>
          <w:kern w:val="0"/>
          <w:u w:val="single"/>
          <w:lang w:bidi="ar"/>
        </w:rPr>
        <w:t xml:space="preserve">      </w:t>
      </w:r>
      <w:r>
        <w:rPr>
          <w:rFonts w:hint="eastAsia" w:cs="宋体"/>
          <w:kern w:val="0"/>
          <w:lang w:bidi="ar"/>
        </w:rPr>
        <w:t xml:space="preserve">日   </w:t>
      </w:r>
    </w:p>
    <w:p w14:paraId="3A7CBB02">
      <w:pPr>
        <w:rPr>
          <w:rFonts w:cs="宋体"/>
          <w:b/>
          <w:sz w:val="28"/>
          <w:szCs w:val="28"/>
        </w:rPr>
      </w:pPr>
      <w:r>
        <w:rPr>
          <w:rFonts w:hint="eastAsia" w:cs="宋体"/>
          <w:b/>
          <w:sz w:val="28"/>
          <w:szCs w:val="28"/>
        </w:rPr>
        <w:br w:type="page"/>
      </w:r>
    </w:p>
    <w:p w14:paraId="19E63911">
      <w:pPr>
        <w:rPr>
          <w:rFonts w:cs="宋体"/>
          <w:b/>
          <w:sz w:val="28"/>
          <w:szCs w:val="28"/>
        </w:rPr>
      </w:pPr>
      <w:r>
        <w:rPr>
          <w:rFonts w:hint="eastAsia" w:cs="宋体"/>
          <w:b/>
          <w:sz w:val="28"/>
          <w:szCs w:val="28"/>
        </w:rPr>
        <w:t>附件5:</w:t>
      </w:r>
    </w:p>
    <w:p w14:paraId="7D44159D">
      <w:pPr>
        <w:widowControl/>
        <w:jc w:val="center"/>
        <w:rPr>
          <w:rFonts w:cs="宋体"/>
          <w:b/>
          <w:spacing w:val="50"/>
          <w:kern w:val="0"/>
          <w:sz w:val="32"/>
          <w:szCs w:val="32"/>
        </w:rPr>
      </w:pPr>
      <w:r>
        <w:rPr>
          <w:rFonts w:hint="eastAsia" w:cs="宋体"/>
          <w:b/>
          <w:spacing w:val="50"/>
          <w:kern w:val="0"/>
          <w:sz w:val="32"/>
          <w:szCs w:val="32"/>
        </w:rPr>
        <w:t>合作伙伴合规承诺书</w:t>
      </w:r>
    </w:p>
    <w:p w14:paraId="7C1E1942">
      <w:pPr>
        <w:autoSpaceDE w:val="0"/>
        <w:spacing w:line="380" w:lineRule="exact"/>
        <w:ind w:left="-8" w:right="126" w:rightChars="60" w:firstLine="484" w:firstLineChars="202"/>
        <w:rPr>
          <w:rFonts w:cs="宋体"/>
          <w:kern w:val="0"/>
          <w:sz w:val="24"/>
        </w:rPr>
      </w:pPr>
      <w:r>
        <w:rPr>
          <w:rFonts w:hint="eastAsia" w:cs="宋体"/>
          <w:kern w:val="0"/>
          <w:sz w:val="24"/>
        </w:rPr>
        <w:t>为满足</w:t>
      </w:r>
      <w:r>
        <w:rPr>
          <w:rFonts w:hint="eastAsia" w:cs="宋体"/>
          <w:kern w:val="0"/>
          <w:sz w:val="24"/>
          <w:u w:val="single"/>
        </w:rPr>
        <w:t>温州港口服务有限公司</w:t>
      </w:r>
      <w:r>
        <w:rPr>
          <w:rFonts w:hint="eastAsia" w:cs="宋体"/>
          <w:kern w:val="0"/>
          <w:sz w:val="24"/>
        </w:rPr>
        <w:t>合规管理要求，规范本公司市场交易行为，促进公平、公正交易，本公司特作出以下承诺：</w:t>
      </w:r>
    </w:p>
    <w:p w14:paraId="7069E207">
      <w:pPr>
        <w:autoSpaceDE w:val="0"/>
        <w:spacing w:line="380" w:lineRule="exact"/>
        <w:ind w:left="-8" w:right="126" w:rightChars="60" w:firstLine="484" w:firstLineChars="202"/>
        <w:rPr>
          <w:rFonts w:cs="宋体"/>
          <w:kern w:val="0"/>
          <w:sz w:val="24"/>
        </w:rPr>
      </w:pPr>
      <w:r>
        <w:rPr>
          <w:rFonts w:hint="eastAsia" w:cs="宋体"/>
          <w:kern w:val="0"/>
          <w:sz w:val="24"/>
        </w:rPr>
        <w:t>1.本公司理解</w:t>
      </w:r>
      <w:r>
        <w:rPr>
          <w:rFonts w:hint="eastAsia" w:cs="宋体"/>
          <w:kern w:val="0"/>
          <w:sz w:val="24"/>
          <w:u w:val="single"/>
        </w:rPr>
        <w:t>温州港口服务有限公司</w:t>
      </w:r>
      <w:r>
        <w:rPr>
          <w:rFonts w:hint="eastAsia" w:cs="宋体"/>
          <w:kern w:val="0"/>
          <w:sz w:val="24"/>
        </w:rPr>
        <w:t>合规管理需求，在合作范围内遵守</w:t>
      </w:r>
      <w:r>
        <w:rPr>
          <w:rFonts w:hint="eastAsia" w:cs="宋体"/>
          <w:kern w:val="0"/>
          <w:sz w:val="24"/>
          <w:u w:val="single"/>
        </w:rPr>
        <w:t>温州港口服务有限公司</w:t>
      </w:r>
      <w:r>
        <w:rPr>
          <w:rFonts w:hint="eastAsia" w:cs="宋体"/>
          <w:kern w:val="0"/>
          <w:sz w:val="24"/>
        </w:rPr>
        <w:t>对第三方的合规管理要求。</w:t>
      </w:r>
    </w:p>
    <w:p w14:paraId="7A0E2709">
      <w:pPr>
        <w:autoSpaceDE w:val="0"/>
        <w:spacing w:line="380" w:lineRule="exact"/>
        <w:ind w:left="-8" w:right="126" w:rightChars="60" w:firstLine="484" w:firstLineChars="202"/>
        <w:rPr>
          <w:rFonts w:cs="宋体"/>
          <w:kern w:val="0"/>
          <w:sz w:val="24"/>
        </w:rPr>
      </w:pPr>
      <w:r>
        <w:rPr>
          <w:rFonts w:hint="eastAsia" w:cs="宋体"/>
          <w:kern w:val="0"/>
          <w:sz w:val="24"/>
        </w:rPr>
        <w:t>2.本公司具有合同订立的主体资格，具有良好的资信和履约能力，能够有效履行合同义务。</w:t>
      </w:r>
    </w:p>
    <w:p w14:paraId="3AF54216">
      <w:pPr>
        <w:autoSpaceDE w:val="0"/>
        <w:spacing w:line="380" w:lineRule="exact"/>
        <w:ind w:left="-8" w:right="126" w:rightChars="60" w:firstLine="484" w:firstLineChars="202"/>
        <w:rPr>
          <w:rFonts w:cs="宋体"/>
          <w:kern w:val="0"/>
          <w:sz w:val="24"/>
        </w:rPr>
      </w:pPr>
      <w:r>
        <w:rPr>
          <w:rFonts w:hint="eastAsia" w:cs="宋体"/>
          <w:kern w:val="0"/>
          <w:sz w:val="24"/>
        </w:rPr>
        <w:t>3.本公司严格遵守国家法律法规，恪守商业道德和职业道德规范，不从事并抵制任何不廉洁行为，严格履行以下合规义务：</w:t>
      </w:r>
    </w:p>
    <w:p w14:paraId="05C228B8">
      <w:pPr>
        <w:autoSpaceDE w:val="0"/>
        <w:spacing w:line="380" w:lineRule="exact"/>
        <w:ind w:left="-8" w:right="126" w:rightChars="60" w:firstLine="484" w:firstLineChars="202"/>
        <w:rPr>
          <w:rFonts w:cs="宋体"/>
          <w:kern w:val="0"/>
          <w:sz w:val="24"/>
        </w:rPr>
      </w:pPr>
      <w:r>
        <w:rPr>
          <w:rFonts w:hint="eastAsia" w:cs="宋体"/>
          <w:kern w:val="0"/>
          <w:sz w:val="24"/>
        </w:rPr>
        <w:t>（一）本公司员工严格遵守《中华人民共和国反不正当竞争法》等有关商业贿赂行为的禁止性规定，坚决抵制商业贿赂。</w:t>
      </w:r>
    </w:p>
    <w:p w14:paraId="7821656E">
      <w:pPr>
        <w:autoSpaceDE w:val="0"/>
        <w:spacing w:line="380" w:lineRule="exact"/>
        <w:ind w:left="-8" w:right="126" w:rightChars="60" w:firstLine="484" w:firstLineChars="202"/>
        <w:rPr>
          <w:rFonts w:cs="宋体"/>
          <w:kern w:val="0"/>
          <w:sz w:val="24"/>
        </w:rPr>
      </w:pPr>
      <w:r>
        <w:rPr>
          <w:rFonts w:hint="eastAsia" w:cs="宋体"/>
          <w:kern w:val="0"/>
          <w:sz w:val="24"/>
        </w:rPr>
        <w:t>（二）本公司员工不得给予</w:t>
      </w:r>
      <w:r>
        <w:rPr>
          <w:rFonts w:hint="eastAsia" w:cs="宋体"/>
          <w:kern w:val="0"/>
          <w:sz w:val="24"/>
          <w:u w:val="single"/>
        </w:rPr>
        <w:t>温州港口服务有限公司</w:t>
      </w:r>
      <w:r>
        <w:rPr>
          <w:rFonts w:hint="eastAsia" w:cs="宋体"/>
          <w:kern w:val="0"/>
          <w:sz w:val="24"/>
        </w:rPr>
        <w:t>及相关单位或个人的任何不正当馈赠。</w:t>
      </w:r>
    </w:p>
    <w:p w14:paraId="7DE8C523">
      <w:pPr>
        <w:autoSpaceDE w:val="0"/>
        <w:spacing w:line="380" w:lineRule="exact"/>
        <w:ind w:left="-8" w:right="126" w:rightChars="60" w:firstLine="484" w:firstLineChars="202"/>
        <w:rPr>
          <w:rFonts w:cs="宋体"/>
          <w:kern w:val="0"/>
          <w:sz w:val="24"/>
        </w:rPr>
      </w:pPr>
      <w:r>
        <w:rPr>
          <w:rFonts w:hint="eastAsia" w:cs="宋体"/>
          <w:kern w:val="0"/>
          <w:sz w:val="24"/>
        </w:rPr>
        <w:t>（三）本公司员工不得接受</w:t>
      </w:r>
      <w:r>
        <w:rPr>
          <w:rFonts w:hint="eastAsia" w:cs="宋体"/>
          <w:kern w:val="0"/>
          <w:sz w:val="24"/>
          <w:u w:val="single"/>
        </w:rPr>
        <w:t>温州港口服务有限公司</w:t>
      </w:r>
      <w:r>
        <w:rPr>
          <w:rFonts w:hint="eastAsia" w:cs="宋体"/>
          <w:kern w:val="0"/>
          <w:sz w:val="24"/>
        </w:rPr>
        <w:t>及相关单位或个人的任何不正当馈赠。</w:t>
      </w:r>
    </w:p>
    <w:p w14:paraId="02EE9EF1">
      <w:pPr>
        <w:autoSpaceDE w:val="0"/>
        <w:spacing w:line="380" w:lineRule="exact"/>
        <w:ind w:left="-8" w:right="126" w:rightChars="60" w:firstLine="484" w:firstLineChars="202"/>
        <w:rPr>
          <w:rFonts w:cs="宋体"/>
          <w:kern w:val="0"/>
          <w:sz w:val="24"/>
        </w:rPr>
      </w:pPr>
      <w:r>
        <w:rPr>
          <w:rFonts w:hint="eastAsia" w:cs="宋体"/>
          <w:kern w:val="0"/>
          <w:sz w:val="24"/>
        </w:rPr>
        <w:t>（四）本公司员工不得参加</w:t>
      </w:r>
      <w:r>
        <w:rPr>
          <w:rFonts w:hint="eastAsia" w:cs="宋体"/>
          <w:kern w:val="0"/>
          <w:sz w:val="24"/>
          <w:u w:val="single"/>
        </w:rPr>
        <w:t>温州港口服务有限公司</w:t>
      </w:r>
      <w:r>
        <w:rPr>
          <w:rFonts w:hint="eastAsia" w:cs="宋体"/>
          <w:kern w:val="0"/>
          <w:sz w:val="24"/>
        </w:rPr>
        <w:t>及有关单位安排的可能影响公正执行公务的宴请、旅游、考察等活动。</w:t>
      </w:r>
    </w:p>
    <w:p w14:paraId="3B11024E">
      <w:pPr>
        <w:autoSpaceDE w:val="0"/>
        <w:spacing w:line="380" w:lineRule="exact"/>
        <w:ind w:left="-8" w:right="126" w:rightChars="60" w:firstLine="484" w:firstLineChars="202"/>
        <w:rPr>
          <w:rFonts w:cs="宋体"/>
          <w:kern w:val="0"/>
          <w:sz w:val="24"/>
        </w:rPr>
      </w:pPr>
      <w:r>
        <w:rPr>
          <w:rFonts w:hint="eastAsia" w:cs="宋体"/>
          <w:kern w:val="0"/>
          <w:sz w:val="24"/>
        </w:rPr>
        <w:t>（五）本公司员工不得从事其他可能影响廉洁商业的行为。</w:t>
      </w:r>
    </w:p>
    <w:p w14:paraId="4426D97B">
      <w:pPr>
        <w:autoSpaceDE w:val="0"/>
        <w:spacing w:line="380" w:lineRule="exact"/>
        <w:ind w:left="-8" w:right="126" w:rightChars="60" w:firstLine="484" w:firstLineChars="202"/>
        <w:rPr>
          <w:rFonts w:cs="宋体"/>
          <w:kern w:val="0"/>
          <w:sz w:val="24"/>
        </w:rPr>
      </w:pPr>
      <w:r>
        <w:rPr>
          <w:rFonts w:hint="eastAsia" w:cs="宋体"/>
          <w:kern w:val="0"/>
          <w:sz w:val="24"/>
        </w:rPr>
        <w:t>4.本公司坚持诚信商业行为，依法依约保守</w:t>
      </w:r>
      <w:r>
        <w:rPr>
          <w:rFonts w:hint="eastAsia" w:cs="宋体"/>
          <w:kern w:val="0"/>
          <w:sz w:val="24"/>
          <w:u w:val="single"/>
        </w:rPr>
        <w:t>温州港口服务有限公司</w:t>
      </w:r>
      <w:r>
        <w:rPr>
          <w:rFonts w:hint="eastAsia" w:cs="宋体"/>
          <w:kern w:val="0"/>
          <w:sz w:val="24"/>
        </w:rPr>
        <w:t>的商业秘密。</w:t>
      </w:r>
    </w:p>
    <w:p w14:paraId="1CE45245">
      <w:pPr>
        <w:autoSpaceDE w:val="0"/>
        <w:spacing w:line="380" w:lineRule="exact"/>
        <w:ind w:left="-8" w:right="126" w:rightChars="60" w:firstLine="484" w:firstLineChars="202"/>
        <w:rPr>
          <w:rFonts w:cs="宋体"/>
          <w:kern w:val="0"/>
          <w:sz w:val="24"/>
        </w:rPr>
      </w:pPr>
      <w:r>
        <w:rPr>
          <w:rFonts w:hint="eastAsia" w:cs="宋体"/>
          <w:kern w:val="0"/>
          <w:sz w:val="24"/>
        </w:rPr>
        <w:t>5.本公司严守缔约精神，全面履行合同义务，不擅自变更、中止以及不履行合同，发生履约突发事件时将当及时通知</w:t>
      </w:r>
      <w:r>
        <w:rPr>
          <w:rFonts w:hint="eastAsia" w:cs="宋体"/>
          <w:kern w:val="0"/>
          <w:sz w:val="24"/>
          <w:u w:val="single"/>
        </w:rPr>
        <w:t>温州港口服务有限公司</w:t>
      </w:r>
      <w:r>
        <w:rPr>
          <w:rFonts w:hint="eastAsia" w:cs="宋体"/>
          <w:kern w:val="0"/>
          <w:sz w:val="24"/>
        </w:rPr>
        <w:t>。</w:t>
      </w:r>
    </w:p>
    <w:p w14:paraId="31CFBC6A">
      <w:pPr>
        <w:autoSpaceDE w:val="0"/>
        <w:spacing w:line="380" w:lineRule="exact"/>
        <w:ind w:left="-8" w:right="126" w:rightChars="60" w:firstLine="484" w:firstLineChars="202"/>
        <w:rPr>
          <w:rFonts w:cs="宋体"/>
          <w:kern w:val="0"/>
          <w:sz w:val="24"/>
        </w:rPr>
      </w:pPr>
      <w:r>
        <w:rPr>
          <w:rFonts w:hint="eastAsia" w:cs="宋体"/>
          <w:kern w:val="0"/>
          <w:sz w:val="24"/>
        </w:rPr>
        <w:t>6.本公司同意在合同目的范围内配合</w:t>
      </w:r>
      <w:r>
        <w:rPr>
          <w:rFonts w:hint="eastAsia" w:cs="宋体"/>
          <w:kern w:val="0"/>
          <w:sz w:val="24"/>
          <w:u w:val="single"/>
        </w:rPr>
        <w:t>温州港口服务有限公司</w:t>
      </w:r>
      <w:r>
        <w:rPr>
          <w:rFonts w:hint="eastAsia" w:cs="宋体"/>
          <w:kern w:val="0"/>
          <w:sz w:val="24"/>
        </w:rPr>
        <w:t>的合规检查，不得隐瞒可能造成</w:t>
      </w:r>
      <w:r>
        <w:rPr>
          <w:rFonts w:hint="eastAsia" w:cs="宋体"/>
          <w:kern w:val="0"/>
          <w:sz w:val="24"/>
          <w:u w:val="single"/>
        </w:rPr>
        <w:t>温州港口服务有限公司</w:t>
      </w:r>
      <w:r>
        <w:rPr>
          <w:rFonts w:hint="eastAsia" w:cs="宋体"/>
          <w:kern w:val="0"/>
          <w:sz w:val="24"/>
        </w:rPr>
        <w:t>利益受损的信息。</w:t>
      </w:r>
    </w:p>
    <w:p w14:paraId="6C3FBD2C">
      <w:pPr>
        <w:autoSpaceDE w:val="0"/>
        <w:spacing w:line="380" w:lineRule="exact"/>
        <w:ind w:left="-8" w:right="126" w:rightChars="60" w:firstLine="484" w:firstLineChars="202"/>
        <w:rPr>
          <w:rFonts w:cs="宋体"/>
          <w:kern w:val="0"/>
          <w:sz w:val="24"/>
        </w:rPr>
      </w:pPr>
      <w:r>
        <w:rPr>
          <w:rFonts w:hint="eastAsia" w:cs="宋体"/>
          <w:kern w:val="0"/>
          <w:sz w:val="24"/>
        </w:rPr>
        <w:t>7.本公司承诺对本承诺书执行情况进行监督检查，本公司及员工未遵守承诺事项，本公司承诺自愿赔偿由此给</w:t>
      </w:r>
      <w:r>
        <w:rPr>
          <w:rFonts w:hint="eastAsia" w:cs="宋体"/>
          <w:kern w:val="0"/>
          <w:sz w:val="24"/>
          <w:u w:val="single"/>
        </w:rPr>
        <w:t>温州港口服务有限公司</w:t>
      </w:r>
      <w:r>
        <w:rPr>
          <w:rFonts w:hint="eastAsia" w:cs="宋体"/>
          <w:kern w:val="0"/>
          <w:sz w:val="24"/>
        </w:rPr>
        <w:t>造成的损失，或按相关合同约定承担违约责任，且</w:t>
      </w:r>
      <w:r>
        <w:rPr>
          <w:rFonts w:hint="eastAsia" w:cs="宋体"/>
          <w:kern w:val="0"/>
          <w:sz w:val="24"/>
          <w:u w:val="single"/>
        </w:rPr>
        <w:t>温州港口服务有限公司</w:t>
      </w:r>
      <w:r>
        <w:rPr>
          <w:rFonts w:hint="eastAsia" w:cs="宋体"/>
          <w:kern w:val="0"/>
          <w:sz w:val="24"/>
        </w:rPr>
        <w:t>有权终止相关合同。</w:t>
      </w:r>
    </w:p>
    <w:p w14:paraId="133D6176">
      <w:pPr>
        <w:autoSpaceDE w:val="0"/>
        <w:spacing w:line="380" w:lineRule="exact"/>
        <w:ind w:left="-8" w:right="126" w:rightChars="60" w:firstLine="484" w:firstLineChars="202"/>
        <w:rPr>
          <w:rFonts w:cs="宋体"/>
          <w:kern w:val="0"/>
          <w:sz w:val="24"/>
        </w:rPr>
      </w:pPr>
      <w:r>
        <w:rPr>
          <w:rFonts w:hint="eastAsia" w:cs="宋体"/>
          <w:kern w:val="0"/>
          <w:sz w:val="24"/>
        </w:rPr>
        <w:t>本承诺函一式两份，经承诺人盖章后生效，由承诺人和</w:t>
      </w:r>
      <w:r>
        <w:rPr>
          <w:rFonts w:hint="eastAsia" w:cs="宋体"/>
          <w:kern w:val="0"/>
          <w:sz w:val="24"/>
          <w:u w:val="single"/>
        </w:rPr>
        <w:t>温州港口服务有限公司</w:t>
      </w:r>
      <w:r>
        <w:rPr>
          <w:rFonts w:hint="eastAsia" w:cs="宋体"/>
          <w:kern w:val="0"/>
          <w:sz w:val="24"/>
        </w:rPr>
        <w:t>各保留一份。</w:t>
      </w:r>
    </w:p>
    <w:p w14:paraId="54002DD6">
      <w:pPr>
        <w:autoSpaceDE w:val="0"/>
        <w:spacing w:line="380" w:lineRule="exact"/>
        <w:ind w:left="-8" w:right="126" w:rightChars="60" w:firstLine="484" w:firstLineChars="202"/>
        <w:rPr>
          <w:rFonts w:cs="宋体"/>
          <w:kern w:val="0"/>
          <w:sz w:val="24"/>
        </w:rPr>
      </w:pPr>
      <w:r>
        <w:rPr>
          <w:rFonts w:hint="eastAsia" w:cs="宋体"/>
          <w:kern w:val="0"/>
          <w:sz w:val="24"/>
        </w:rPr>
        <w:t xml:space="preserve"> </w:t>
      </w:r>
    </w:p>
    <w:p w14:paraId="3B44C16D">
      <w:pPr>
        <w:autoSpaceDE w:val="0"/>
        <w:spacing w:line="360" w:lineRule="auto"/>
        <w:ind w:left="-567" w:leftChars="-270" w:right="-510" w:rightChars="-243"/>
        <w:rPr>
          <w:rFonts w:cs="宋体"/>
          <w:kern w:val="0"/>
          <w:sz w:val="24"/>
          <w:u w:val="single"/>
        </w:rPr>
      </w:pPr>
      <w:r>
        <w:rPr>
          <w:rFonts w:hint="eastAsia" w:cs="宋体"/>
          <w:kern w:val="0"/>
          <w:sz w:val="24"/>
        </w:rPr>
        <w:t xml:space="preserve">                                  承诺人（盖章）：</w:t>
      </w:r>
      <w:r>
        <w:rPr>
          <w:rFonts w:hint="eastAsia" w:cs="宋体"/>
          <w:kern w:val="0"/>
          <w:sz w:val="24"/>
          <w:u w:val="single"/>
        </w:rPr>
        <w:t xml:space="preserve">          </w:t>
      </w:r>
    </w:p>
    <w:p w14:paraId="5E3E226A">
      <w:pPr>
        <w:spacing w:line="380" w:lineRule="exact"/>
        <w:jc w:val="center"/>
        <w:rPr>
          <w:rFonts w:cs="宋体"/>
        </w:rPr>
      </w:pPr>
      <w:r>
        <w:rPr>
          <w:rFonts w:hint="eastAsia" w:cs="宋体"/>
          <w:kern w:val="0"/>
          <w:sz w:val="24"/>
          <w:u w:val="single"/>
        </w:rPr>
        <w:t xml:space="preserve">       </w:t>
      </w:r>
      <w:r>
        <w:rPr>
          <w:rFonts w:hint="eastAsia" w:cs="宋体"/>
          <w:kern w:val="0"/>
          <w:sz w:val="24"/>
        </w:rPr>
        <w:t>年</w:t>
      </w:r>
      <w:r>
        <w:rPr>
          <w:rFonts w:hint="eastAsia" w:cs="宋体"/>
          <w:kern w:val="0"/>
          <w:sz w:val="24"/>
          <w:u w:val="single"/>
        </w:rPr>
        <w:t xml:space="preserve">   </w:t>
      </w:r>
      <w:r>
        <w:rPr>
          <w:rFonts w:hint="eastAsia" w:cs="宋体"/>
          <w:kern w:val="0"/>
          <w:sz w:val="24"/>
        </w:rPr>
        <w:t>月</w:t>
      </w:r>
      <w:r>
        <w:rPr>
          <w:rFonts w:hint="eastAsia" w:cs="宋体"/>
          <w:kern w:val="0"/>
          <w:sz w:val="24"/>
          <w:u w:val="single"/>
        </w:rPr>
        <w:t xml:space="preserve">   </w:t>
      </w:r>
      <w:r>
        <w:rPr>
          <w:rFonts w:hint="eastAsia" w:cs="宋体"/>
          <w:kern w:val="0"/>
          <w:sz w:val="24"/>
        </w:rPr>
        <w:t>日</w:t>
      </w:r>
    </w:p>
    <w:p w14:paraId="7C583730">
      <w:pPr>
        <w:spacing w:line="420" w:lineRule="exact"/>
        <w:ind w:firstLine="480" w:firstLineChars="200"/>
        <w:rPr>
          <w:rFonts w:cs="宋体"/>
          <w:sz w:val="24"/>
        </w:rPr>
      </w:pPr>
      <w:r>
        <w:rPr>
          <w:rFonts w:hint="eastAsia" w:cs="宋体"/>
          <w:sz w:val="24"/>
        </w:rPr>
        <w:br w:type="page"/>
      </w:r>
    </w:p>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14:paraId="0F144458">
      <w:pPr>
        <w:pStyle w:val="4"/>
        <w:numPr>
          <w:ilvl w:val="0"/>
          <w:numId w:val="1"/>
        </w:numPr>
        <w:jc w:val="center"/>
        <w:rPr>
          <w:rFonts w:cs="宋体"/>
        </w:rPr>
      </w:pPr>
      <w:bookmarkStart w:id="98" w:name="_Toc152045772"/>
      <w:bookmarkStart w:id="99" w:name="_Toc144974834"/>
      <w:bookmarkStart w:id="100" w:name="_Toc152042554"/>
      <w:bookmarkStart w:id="101" w:name="_Toc179632789"/>
      <w:r>
        <w:rPr>
          <w:rFonts w:hint="eastAsia" w:cs="宋体"/>
        </w:rPr>
        <w:t xml:space="preserve"> </w:t>
      </w:r>
      <w:bookmarkStart w:id="102" w:name="_Toc27841"/>
      <w:r>
        <w:rPr>
          <w:rFonts w:hint="eastAsia" w:cs="宋体"/>
        </w:rPr>
        <w:t>工程量清单</w:t>
      </w:r>
      <w:bookmarkEnd w:id="98"/>
      <w:bookmarkEnd w:id="99"/>
      <w:bookmarkEnd w:id="100"/>
      <w:bookmarkEnd w:id="101"/>
      <w:bookmarkEnd w:id="102"/>
      <w:r>
        <w:rPr>
          <w:rFonts w:hint="eastAsia" w:cs="宋体"/>
        </w:rPr>
        <w:t>编制</w:t>
      </w:r>
    </w:p>
    <w:p w14:paraId="6E2D153C">
      <w:pPr>
        <w:pStyle w:val="25"/>
        <w:wordWrap w:val="0"/>
        <w:topLinePunct/>
        <w:autoSpaceDN w:val="0"/>
        <w:snapToGrid w:val="0"/>
        <w:spacing w:before="0" w:line="360" w:lineRule="auto"/>
        <w:textAlignment w:val="center"/>
        <w:rPr>
          <w:rFonts w:ascii="宋体" w:hAnsi="宋体" w:eastAsia="宋体"/>
        </w:rPr>
      </w:pPr>
      <w:r>
        <w:rPr>
          <w:rFonts w:hint="eastAsia" w:ascii="宋体" w:hAnsi="宋体" w:eastAsia="宋体"/>
          <w:b/>
          <w:bCs/>
          <w:sz w:val="32"/>
          <w:szCs w:val="32"/>
        </w:rPr>
        <w:t xml:space="preserve">   </w:t>
      </w:r>
      <w:bookmarkStart w:id="103" w:name="_Toc527143582"/>
      <w:bookmarkStart w:id="104" w:name="_Toc17708334"/>
      <w:bookmarkStart w:id="105" w:name="_Toc32498"/>
      <w:bookmarkStart w:id="106" w:name="_Toc15821"/>
      <w:bookmarkStart w:id="107" w:name="_Toc92893092"/>
      <w:bookmarkStart w:id="108" w:name="_Toc5919"/>
      <w:bookmarkStart w:id="109" w:name="_Toc1262"/>
      <w:bookmarkStart w:id="110" w:name="_Toc27020"/>
      <w:r>
        <w:rPr>
          <w:rFonts w:hint="eastAsia" w:ascii="宋体" w:hAnsi="宋体" w:eastAsia="宋体"/>
        </w:rPr>
        <w:t>1.招标工程量清单说明</w:t>
      </w:r>
      <w:bookmarkEnd w:id="103"/>
      <w:bookmarkEnd w:id="104"/>
      <w:bookmarkEnd w:id="105"/>
      <w:bookmarkEnd w:id="106"/>
      <w:bookmarkEnd w:id="107"/>
      <w:bookmarkEnd w:id="108"/>
      <w:bookmarkEnd w:id="109"/>
      <w:bookmarkEnd w:id="110"/>
    </w:p>
    <w:p w14:paraId="5A50E266">
      <w:pPr>
        <w:wordWrap w:val="0"/>
        <w:topLinePunct/>
        <w:autoSpaceDN w:val="0"/>
        <w:snapToGrid w:val="0"/>
        <w:spacing w:line="360" w:lineRule="auto"/>
        <w:ind w:firstLine="420" w:firstLineChars="200"/>
        <w:textAlignment w:val="center"/>
        <w:rPr>
          <w:rFonts w:cs="宋体"/>
          <w:szCs w:val="21"/>
        </w:rPr>
      </w:pPr>
      <w:r>
        <w:rPr>
          <w:rFonts w:hint="eastAsia" w:cs="宋体"/>
          <w:szCs w:val="21"/>
        </w:rPr>
        <w:t>1.1 本招标工程量清单是根据招标文件中包括的、有合同约束力的图纸以及有关的国家标准、行业标准、合同条款中约定的工程量计算规则编制。约定计量规则中没有的子目，其工程量按照有合同约束力的图纸所标示尺寸的理论净量计算。计量采用中华人民共和国法定计量单位。</w:t>
      </w:r>
    </w:p>
    <w:p w14:paraId="12DDAB9B">
      <w:pPr>
        <w:wordWrap w:val="0"/>
        <w:topLinePunct/>
        <w:autoSpaceDN w:val="0"/>
        <w:snapToGrid w:val="0"/>
        <w:spacing w:line="360" w:lineRule="auto"/>
        <w:ind w:firstLine="420" w:firstLineChars="200"/>
        <w:textAlignment w:val="center"/>
        <w:rPr>
          <w:rFonts w:cs="宋体"/>
          <w:szCs w:val="21"/>
        </w:rPr>
      </w:pPr>
      <w:r>
        <w:rPr>
          <w:rFonts w:hint="eastAsia" w:cs="宋体"/>
          <w:szCs w:val="21"/>
        </w:rPr>
        <w:t>1.2 本招标工程量清单应与招标文件中的投标人须知、通用合同条款、专用合同条款、技术标准和要求及图纸、地质勘察资料等一起阅读和理解。</w:t>
      </w:r>
    </w:p>
    <w:p w14:paraId="7DF7B3A7">
      <w:pPr>
        <w:wordWrap w:val="0"/>
        <w:topLinePunct/>
        <w:autoSpaceDN w:val="0"/>
        <w:snapToGrid w:val="0"/>
        <w:spacing w:line="360" w:lineRule="auto"/>
        <w:ind w:firstLine="420" w:firstLineChars="200"/>
        <w:textAlignment w:val="center"/>
        <w:rPr>
          <w:rFonts w:cs="宋体"/>
          <w:szCs w:val="21"/>
        </w:rPr>
      </w:pPr>
      <w:r>
        <w:rPr>
          <w:rFonts w:hint="eastAsia" w:cs="宋体"/>
          <w:szCs w:val="21"/>
        </w:rPr>
        <w:t>1.3 本招标工程量清单仅是投标报价的共同基础。实际工程计量、结算价格的确定以及价款支付应遵循合同条款（包括通用条款和专用条款）、技术标准和要求以及本章的有关约定。</w:t>
      </w:r>
    </w:p>
    <w:p w14:paraId="7E60A56B">
      <w:pPr>
        <w:wordWrap w:val="0"/>
        <w:topLinePunct/>
        <w:autoSpaceDN w:val="0"/>
        <w:snapToGrid w:val="0"/>
        <w:spacing w:line="360" w:lineRule="auto"/>
        <w:ind w:firstLine="420" w:firstLineChars="200"/>
        <w:textAlignment w:val="center"/>
        <w:rPr>
          <w:rFonts w:cs="宋体"/>
          <w:szCs w:val="21"/>
        </w:rPr>
      </w:pPr>
      <w:r>
        <w:rPr>
          <w:rFonts w:hint="eastAsia" w:cs="宋体"/>
        </w:rPr>
        <w:t xml:space="preserve">1.4 </w:t>
      </w:r>
      <w:r>
        <w:rPr>
          <w:rFonts w:hint="eastAsia" w:cs="宋体"/>
          <w:szCs w:val="21"/>
        </w:rPr>
        <w:t>除本招标文件有特别约定外均按现行计价依据规定执行。</w:t>
      </w:r>
    </w:p>
    <w:p w14:paraId="56A85129">
      <w:pPr>
        <w:wordWrap w:val="0"/>
        <w:topLinePunct/>
        <w:autoSpaceDN w:val="0"/>
        <w:snapToGrid w:val="0"/>
        <w:spacing w:line="360" w:lineRule="auto"/>
        <w:ind w:firstLine="420" w:firstLineChars="200"/>
        <w:textAlignment w:val="center"/>
        <w:rPr>
          <w:rFonts w:cs="宋体"/>
          <w:szCs w:val="21"/>
        </w:rPr>
      </w:pPr>
      <w:r>
        <w:rPr>
          <w:rFonts w:hint="eastAsia" w:cs="宋体"/>
          <w:szCs w:val="21"/>
        </w:rPr>
        <w:t>1.5 工程量清单格式详见投标文件商务标格式，具体以</w:t>
      </w:r>
      <w:r>
        <w:rPr>
          <w:rFonts w:hint="eastAsia" w:cs="宋体"/>
          <w:u w:val="single"/>
        </w:rPr>
        <w:t>软件工具</w:t>
      </w:r>
      <w:r>
        <w:rPr>
          <w:rFonts w:hint="eastAsia" w:cs="宋体"/>
        </w:rPr>
        <w:t>为准</w:t>
      </w:r>
      <w:r>
        <w:rPr>
          <w:rFonts w:hint="eastAsia" w:cs="宋体"/>
          <w:szCs w:val="21"/>
        </w:rPr>
        <w:t>。</w:t>
      </w:r>
    </w:p>
    <w:p w14:paraId="238ED81B">
      <w:pPr>
        <w:pStyle w:val="25"/>
        <w:wordWrap w:val="0"/>
        <w:topLinePunct/>
        <w:autoSpaceDN w:val="0"/>
        <w:snapToGrid w:val="0"/>
        <w:spacing w:before="0" w:line="360" w:lineRule="auto"/>
        <w:textAlignment w:val="center"/>
        <w:rPr>
          <w:rFonts w:ascii="宋体" w:hAnsi="宋体" w:eastAsia="宋体"/>
        </w:rPr>
      </w:pPr>
      <w:bookmarkStart w:id="111" w:name="_Toc92893093"/>
      <w:bookmarkStart w:id="112" w:name="_Toc527143583"/>
      <w:bookmarkStart w:id="113" w:name="_Toc17708335"/>
      <w:bookmarkStart w:id="114" w:name="_Toc8986"/>
      <w:bookmarkStart w:id="115" w:name="_Toc12096"/>
      <w:bookmarkStart w:id="116" w:name="_Toc17097"/>
      <w:bookmarkStart w:id="117" w:name="_Toc29632"/>
      <w:bookmarkStart w:id="118" w:name="_Toc28887"/>
      <w:r>
        <w:rPr>
          <w:rFonts w:hint="eastAsia" w:ascii="宋体" w:hAnsi="宋体" w:eastAsia="宋体"/>
        </w:rPr>
        <w:t>2.投标报价说明</w:t>
      </w:r>
      <w:bookmarkEnd w:id="111"/>
      <w:bookmarkEnd w:id="112"/>
      <w:bookmarkEnd w:id="113"/>
      <w:bookmarkEnd w:id="114"/>
      <w:bookmarkEnd w:id="115"/>
      <w:bookmarkEnd w:id="116"/>
      <w:bookmarkEnd w:id="117"/>
      <w:bookmarkEnd w:id="118"/>
    </w:p>
    <w:p w14:paraId="2F824631">
      <w:pPr>
        <w:wordWrap w:val="0"/>
        <w:topLinePunct/>
        <w:autoSpaceDN w:val="0"/>
        <w:snapToGrid w:val="0"/>
        <w:spacing w:line="360" w:lineRule="auto"/>
        <w:ind w:firstLine="420" w:firstLineChars="200"/>
        <w:textAlignment w:val="center"/>
        <w:rPr>
          <w:rFonts w:cs="宋体"/>
          <w:szCs w:val="21"/>
        </w:rPr>
      </w:pPr>
      <w:r>
        <w:rPr>
          <w:rFonts w:hint="eastAsia" w:cs="宋体"/>
          <w:szCs w:val="21"/>
        </w:rPr>
        <w:t>2.1 投标报价应根据下列依据进行编制：相关专业工程的国家标准《工程量计算规范》；省、市建设主管部门以及工程造价管理机构颁发的相关计价规定；本企业定额或参照省建设主管部门颁发的计价依据；招标文件、招标工程量清单及其补充通知、答疑纪要；达到规定设计深度的施工图纸；与工程项目有关的规范、标准、技术资料；施工现场实际情况、工程特点和投标人自行拟定的施工组织设计或施工方案；市场价格或工程造价管理机构发布的价格信息；其他相关资料。</w:t>
      </w:r>
    </w:p>
    <w:p w14:paraId="2D4DCC42">
      <w:pPr>
        <w:wordWrap w:val="0"/>
        <w:topLinePunct/>
        <w:autoSpaceDN w:val="0"/>
        <w:snapToGrid w:val="0"/>
        <w:spacing w:line="360" w:lineRule="auto"/>
        <w:ind w:firstLine="420" w:firstLineChars="200"/>
        <w:textAlignment w:val="center"/>
        <w:rPr>
          <w:rFonts w:cs="宋体"/>
          <w:szCs w:val="21"/>
        </w:rPr>
      </w:pPr>
      <w:r>
        <w:rPr>
          <w:rFonts w:hint="eastAsia" w:cs="宋体"/>
          <w:szCs w:val="21"/>
        </w:rPr>
        <w:t>2.2 投标人应当根据本企业的具体经营状况、技术装备水平、管理水平，视工程的实际情况、风险程度，自主报价。投标人不得以低于其企业成本的投标报价竞标。</w:t>
      </w:r>
    </w:p>
    <w:p w14:paraId="3CC1F7EE">
      <w:pPr>
        <w:wordWrap w:val="0"/>
        <w:topLinePunct/>
        <w:autoSpaceDN w:val="0"/>
        <w:snapToGrid w:val="0"/>
        <w:spacing w:line="360" w:lineRule="auto"/>
        <w:ind w:firstLine="420" w:firstLineChars="200"/>
        <w:textAlignment w:val="center"/>
        <w:rPr>
          <w:rFonts w:cs="宋体"/>
          <w:szCs w:val="21"/>
        </w:rPr>
      </w:pPr>
      <w:r>
        <w:rPr>
          <w:rFonts w:hint="eastAsia" w:cs="宋体"/>
          <w:szCs w:val="21"/>
        </w:rPr>
        <w:t>投标人应根据其投标报价情况提供书面报价说明。报价说明的主要内容包括：投标报价的编制依据；对投标工期、质量、安全、材料、施工等方面的承诺；综合单价中考虑的风险因素、风险范围（幅度）；措施项目的依据；其他需要说明的问题。</w:t>
      </w:r>
    </w:p>
    <w:p w14:paraId="68F7C14B">
      <w:pPr>
        <w:wordWrap w:val="0"/>
        <w:topLinePunct/>
        <w:autoSpaceDN w:val="0"/>
        <w:snapToGrid w:val="0"/>
        <w:spacing w:line="360" w:lineRule="auto"/>
        <w:ind w:firstLine="420" w:firstLineChars="200"/>
        <w:textAlignment w:val="center"/>
        <w:rPr>
          <w:rFonts w:cs="宋体"/>
          <w:szCs w:val="21"/>
        </w:rPr>
      </w:pPr>
      <w:r>
        <w:rPr>
          <w:rFonts w:hint="eastAsia" w:cs="宋体"/>
          <w:szCs w:val="21"/>
        </w:rPr>
        <w:t>2.3 投标报价应按照以下原则计价：</w:t>
      </w:r>
    </w:p>
    <w:p w14:paraId="4E2B63BD">
      <w:pPr>
        <w:wordWrap w:val="0"/>
        <w:topLinePunct/>
        <w:autoSpaceDN w:val="0"/>
        <w:snapToGrid w:val="0"/>
        <w:spacing w:line="360" w:lineRule="auto"/>
        <w:ind w:firstLine="420" w:firstLineChars="200"/>
        <w:textAlignment w:val="center"/>
        <w:rPr>
          <w:rFonts w:cs="宋体"/>
          <w:szCs w:val="21"/>
        </w:rPr>
      </w:pPr>
      <w:r>
        <w:rPr>
          <w:rFonts w:hint="eastAsia" w:cs="宋体"/>
          <w:szCs w:val="21"/>
        </w:rPr>
        <w:t>2.3.1 分部分项工程项目清单费用</w:t>
      </w:r>
    </w:p>
    <w:p w14:paraId="2AB7EAB7">
      <w:pPr>
        <w:wordWrap w:val="0"/>
        <w:topLinePunct/>
        <w:autoSpaceDN w:val="0"/>
        <w:snapToGrid w:val="0"/>
        <w:spacing w:line="360" w:lineRule="auto"/>
        <w:ind w:firstLine="420" w:firstLineChars="200"/>
        <w:textAlignment w:val="center"/>
        <w:rPr>
          <w:rFonts w:cs="宋体"/>
          <w:szCs w:val="21"/>
        </w:rPr>
      </w:pPr>
      <w:r>
        <w:rPr>
          <w:rFonts w:hint="eastAsia" w:cs="宋体"/>
          <w:szCs w:val="21"/>
        </w:rPr>
        <w:t>（1）投标人按招标工程量清单填报价格。投标报价采用综合单价计价，投标人应根据综合单价的组成、工程量清单项目特征描述和工程内容确定综合单价。综合单价包括完成工程量清单中一个规定计量单位项目所需的人工费、材料费、机械使用费、企业管理费和利润，并考虑一定的风险因素。综合单价中应包括招标文件中确定的由投标人承担的风险范围及其费用。</w:t>
      </w:r>
    </w:p>
    <w:p w14:paraId="3CFFF580">
      <w:pPr>
        <w:wordWrap w:val="0"/>
        <w:topLinePunct/>
        <w:autoSpaceDN w:val="0"/>
        <w:snapToGrid w:val="0"/>
        <w:spacing w:line="360" w:lineRule="auto"/>
        <w:ind w:firstLine="420" w:firstLineChars="200"/>
        <w:textAlignment w:val="center"/>
        <w:rPr>
          <w:rFonts w:cs="宋体"/>
          <w:szCs w:val="21"/>
        </w:rPr>
      </w:pPr>
      <w:r>
        <w:rPr>
          <w:rFonts w:hint="eastAsia" w:cs="宋体"/>
          <w:szCs w:val="21"/>
        </w:rPr>
        <w:t>（2）人工费、材料费、机械使用费、企业管理费和利润的费用所涵盖内容可自主确定或按省级建设主管部门颁发的计价依据确定。</w:t>
      </w:r>
    </w:p>
    <w:p w14:paraId="3D6FB308">
      <w:pPr>
        <w:wordWrap w:val="0"/>
        <w:topLinePunct/>
        <w:autoSpaceDN w:val="0"/>
        <w:snapToGrid w:val="0"/>
        <w:spacing w:line="360" w:lineRule="auto"/>
        <w:ind w:firstLine="420" w:firstLineChars="200"/>
        <w:textAlignment w:val="center"/>
        <w:rPr>
          <w:rFonts w:cs="宋体"/>
          <w:szCs w:val="21"/>
        </w:rPr>
      </w:pPr>
      <w:r>
        <w:rPr>
          <w:rFonts w:hint="eastAsia" w:cs="宋体"/>
          <w:szCs w:val="21"/>
        </w:rPr>
        <w:t>（3）综合单价应包括招标人自行采购材料的价款。招标文件提供暂估价的材料，投标人按暂估的单价计入综合单价。暂估价的材料如遇本省计价依据中无相类似的材料时，投标人应该在投标文件报价说明中明确该材料的损耗率。</w:t>
      </w:r>
    </w:p>
    <w:p w14:paraId="23741DC2">
      <w:pPr>
        <w:wordWrap w:val="0"/>
        <w:topLinePunct/>
        <w:autoSpaceDN w:val="0"/>
        <w:snapToGrid w:val="0"/>
        <w:spacing w:line="360" w:lineRule="auto"/>
        <w:ind w:firstLine="420" w:firstLineChars="200"/>
        <w:textAlignment w:val="center"/>
        <w:rPr>
          <w:rFonts w:cs="宋体"/>
          <w:szCs w:val="21"/>
        </w:rPr>
      </w:pPr>
      <w:r>
        <w:rPr>
          <w:rFonts w:hint="eastAsia" w:cs="宋体"/>
          <w:szCs w:val="21"/>
        </w:rPr>
        <w:t>（4）企业管理费、利润的费用计算由投标人自主确定或参照省建设主管部门颁发的计价依据计算。</w:t>
      </w:r>
    </w:p>
    <w:p w14:paraId="6F1AC252">
      <w:pPr>
        <w:wordWrap w:val="0"/>
        <w:topLinePunct/>
        <w:autoSpaceDN w:val="0"/>
        <w:snapToGrid w:val="0"/>
        <w:spacing w:line="360" w:lineRule="auto"/>
        <w:ind w:firstLine="420" w:firstLineChars="200"/>
        <w:textAlignment w:val="center"/>
        <w:rPr>
          <w:rFonts w:cs="宋体"/>
          <w:szCs w:val="21"/>
        </w:rPr>
      </w:pPr>
      <w:r>
        <w:rPr>
          <w:rFonts w:hint="eastAsia" w:cs="宋体"/>
          <w:szCs w:val="21"/>
        </w:rPr>
        <w:t>投标报价时，企业管理费中应包括施工企业对建筑以及材料、构件和建筑安装物进行一般鉴定、检查所发生的检验试验费等相关费用。为保障工程质量和安全，企业管理费报价可参照省建设主管部门颁发的计价依据和相关取费计价文件规定由投标人自主确定。</w:t>
      </w:r>
    </w:p>
    <w:p w14:paraId="5F63BE28">
      <w:pPr>
        <w:wordWrap w:val="0"/>
        <w:topLinePunct/>
        <w:autoSpaceDN w:val="0"/>
        <w:snapToGrid w:val="0"/>
        <w:spacing w:line="360" w:lineRule="auto"/>
        <w:ind w:firstLine="420" w:firstLineChars="200"/>
        <w:textAlignment w:val="center"/>
        <w:rPr>
          <w:rFonts w:cs="宋体"/>
          <w:szCs w:val="21"/>
        </w:rPr>
      </w:pPr>
      <w:r>
        <w:rPr>
          <w:rFonts w:hint="eastAsia" w:cs="宋体"/>
          <w:szCs w:val="21"/>
        </w:rPr>
        <w:t>（5）综合单价中的风险费计算应根据招标文件中所明确的投标人应承担的风险范围和幅度由投标人自主确定。</w:t>
      </w:r>
    </w:p>
    <w:p w14:paraId="1D4701E2">
      <w:pPr>
        <w:wordWrap w:val="0"/>
        <w:topLinePunct/>
        <w:autoSpaceDN w:val="0"/>
        <w:snapToGrid w:val="0"/>
        <w:spacing w:line="360" w:lineRule="auto"/>
        <w:ind w:firstLine="420" w:firstLineChars="200"/>
        <w:textAlignment w:val="center"/>
        <w:rPr>
          <w:rFonts w:cs="宋体"/>
          <w:szCs w:val="21"/>
        </w:rPr>
      </w:pPr>
      <w:r>
        <w:rPr>
          <w:rFonts w:hint="eastAsia" w:cs="宋体"/>
          <w:szCs w:val="21"/>
        </w:rPr>
        <w:t>2.3.2 措施项目清单费用</w:t>
      </w:r>
    </w:p>
    <w:p w14:paraId="01EAAAA0">
      <w:pPr>
        <w:wordWrap w:val="0"/>
        <w:topLinePunct/>
        <w:autoSpaceDN w:val="0"/>
        <w:snapToGrid w:val="0"/>
        <w:spacing w:line="360" w:lineRule="auto"/>
        <w:ind w:firstLine="420" w:firstLineChars="200"/>
        <w:textAlignment w:val="center"/>
        <w:rPr>
          <w:rFonts w:cs="宋体"/>
          <w:szCs w:val="21"/>
        </w:rPr>
      </w:pPr>
      <w:r>
        <w:rPr>
          <w:rFonts w:hint="eastAsia" w:cs="宋体"/>
          <w:szCs w:val="21"/>
        </w:rPr>
        <w:t>（1）投标人应根据招标人提供的措施项目清单和投标人自行确定的施工组织设计或施工方案填报数量和价格，不发生的措施项目金额以“O”计价。遇有措施项目清单未列项的，投标人可补充措施项目并报价。</w:t>
      </w:r>
    </w:p>
    <w:p w14:paraId="0BEE9BB6">
      <w:pPr>
        <w:wordWrap w:val="0"/>
        <w:topLinePunct/>
        <w:autoSpaceDN w:val="0"/>
        <w:snapToGrid w:val="0"/>
        <w:spacing w:line="360" w:lineRule="auto"/>
        <w:ind w:firstLine="420" w:firstLineChars="200"/>
        <w:textAlignment w:val="center"/>
        <w:rPr>
          <w:rFonts w:cs="宋体"/>
          <w:szCs w:val="21"/>
        </w:rPr>
      </w:pPr>
      <w:r>
        <w:rPr>
          <w:rFonts w:hint="eastAsia" w:cs="宋体"/>
          <w:szCs w:val="21"/>
        </w:rPr>
        <w:t>（2）技术措施项目中的单价项目报价可参照综合单价的组成自主确定或参照省建设主管部门发布的计价依据。</w:t>
      </w:r>
    </w:p>
    <w:p w14:paraId="635DB629">
      <w:pPr>
        <w:wordWrap w:val="0"/>
        <w:topLinePunct/>
        <w:autoSpaceDN w:val="0"/>
        <w:snapToGrid w:val="0"/>
        <w:spacing w:line="360" w:lineRule="auto"/>
        <w:ind w:firstLine="420" w:firstLineChars="200"/>
        <w:textAlignment w:val="center"/>
        <w:rPr>
          <w:rFonts w:cs="宋体"/>
          <w:szCs w:val="21"/>
        </w:rPr>
      </w:pPr>
      <w:r>
        <w:rPr>
          <w:rFonts w:hint="eastAsia" w:cs="宋体"/>
          <w:szCs w:val="21"/>
        </w:rPr>
        <w:t>（3）措施项目中凡属周转使用的设备、材料，均应按单次使用摊销量报价。</w:t>
      </w:r>
    </w:p>
    <w:p w14:paraId="01C623F4">
      <w:pPr>
        <w:wordWrap w:val="0"/>
        <w:topLinePunct/>
        <w:autoSpaceDN w:val="0"/>
        <w:snapToGrid w:val="0"/>
        <w:spacing w:line="360" w:lineRule="auto"/>
        <w:ind w:firstLine="420" w:firstLineChars="200"/>
        <w:textAlignment w:val="center"/>
        <w:rPr>
          <w:rFonts w:cs="宋体"/>
          <w:szCs w:val="21"/>
        </w:rPr>
      </w:pPr>
      <w:r>
        <w:rPr>
          <w:rFonts w:hint="eastAsia" w:cs="宋体"/>
          <w:szCs w:val="21"/>
        </w:rPr>
        <w:t>（4）并按招标工程量清单中的相应措施清单提供数量和报价。遇有缺项时，投标人可补充措施项目。</w:t>
      </w:r>
    </w:p>
    <w:p w14:paraId="0557CF31">
      <w:pPr>
        <w:wordWrap w:val="0"/>
        <w:topLinePunct/>
        <w:autoSpaceDN w:val="0"/>
        <w:snapToGrid w:val="0"/>
        <w:spacing w:line="360" w:lineRule="auto"/>
        <w:ind w:firstLine="420" w:firstLineChars="200"/>
        <w:textAlignment w:val="center"/>
        <w:rPr>
          <w:rFonts w:cs="宋体"/>
          <w:szCs w:val="21"/>
        </w:rPr>
      </w:pPr>
      <w:r>
        <w:rPr>
          <w:rFonts w:hint="eastAsia" w:cs="宋体"/>
          <w:szCs w:val="21"/>
        </w:rPr>
        <w:t>（5）施工取费费率依照本省现行计价依据的有关规定执行。</w:t>
      </w:r>
    </w:p>
    <w:p w14:paraId="5C146DFC">
      <w:pPr>
        <w:wordWrap w:val="0"/>
        <w:topLinePunct/>
        <w:autoSpaceDN w:val="0"/>
        <w:snapToGrid w:val="0"/>
        <w:spacing w:line="360" w:lineRule="auto"/>
        <w:ind w:firstLine="420" w:firstLineChars="200"/>
        <w:textAlignment w:val="center"/>
        <w:rPr>
          <w:rFonts w:cs="宋体"/>
          <w:szCs w:val="21"/>
        </w:rPr>
      </w:pPr>
      <w:r>
        <w:rPr>
          <w:rFonts w:hint="eastAsia" w:cs="宋体"/>
          <w:szCs w:val="21"/>
        </w:rPr>
        <w:t>安全文明施工措施费不得挪作他用。安全文明施工基本费投标报价不得低于建设主管部门颁发的取费计价文件规定的弹性费率下限计算值。</w:t>
      </w:r>
    </w:p>
    <w:p w14:paraId="0B43087D">
      <w:pPr>
        <w:wordWrap w:val="0"/>
        <w:topLinePunct/>
        <w:autoSpaceDN w:val="0"/>
        <w:snapToGrid w:val="0"/>
        <w:spacing w:line="360" w:lineRule="auto"/>
        <w:ind w:firstLine="420" w:firstLineChars="200"/>
        <w:textAlignment w:val="center"/>
        <w:rPr>
          <w:rFonts w:cs="宋体"/>
          <w:szCs w:val="21"/>
        </w:rPr>
      </w:pPr>
      <w:r>
        <w:rPr>
          <w:rFonts w:hint="eastAsia" w:cs="宋体"/>
          <w:szCs w:val="21"/>
        </w:rPr>
        <w:t>（6）投标人措施项目各分项之间不得重复报价。</w:t>
      </w:r>
    </w:p>
    <w:p w14:paraId="3C0BBBAA">
      <w:pPr>
        <w:wordWrap w:val="0"/>
        <w:topLinePunct/>
        <w:autoSpaceDN w:val="0"/>
        <w:snapToGrid w:val="0"/>
        <w:spacing w:line="360" w:lineRule="auto"/>
        <w:ind w:firstLine="420" w:firstLineChars="200"/>
        <w:textAlignment w:val="center"/>
        <w:rPr>
          <w:rFonts w:cs="宋体"/>
          <w:szCs w:val="21"/>
        </w:rPr>
      </w:pPr>
      <w:r>
        <w:rPr>
          <w:rFonts w:hint="eastAsia" w:cs="宋体"/>
          <w:szCs w:val="21"/>
        </w:rPr>
        <w:t>2.3.3 其他项目清单费用</w:t>
      </w:r>
    </w:p>
    <w:p w14:paraId="16753CA0">
      <w:pPr>
        <w:wordWrap w:val="0"/>
        <w:topLinePunct/>
        <w:autoSpaceDN w:val="0"/>
        <w:snapToGrid w:val="0"/>
        <w:spacing w:line="360" w:lineRule="auto"/>
        <w:ind w:firstLine="420" w:firstLineChars="200"/>
        <w:textAlignment w:val="center"/>
        <w:rPr>
          <w:rFonts w:cs="宋体"/>
          <w:szCs w:val="21"/>
        </w:rPr>
      </w:pPr>
      <w:r>
        <w:rPr>
          <w:rFonts w:hint="eastAsia" w:cs="宋体"/>
          <w:szCs w:val="21"/>
        </w:rPr>
        <w:t>（1）暂列金额，投标人按招标工程量清单确定的金额填报；总承包服务费，投标人按招标工程量清单确定的项目内容和要求自主确定费率并报价；计日工费，投标人按招标工程量清单列出的项目内容和数量自主确定综合单价并计算报价。招标人对计日工费内容和数量未作要求的，投标人不需要作出报价。</w:t>
      </w:r>
    </w:p>
    <w:p w14:paraId="7116BB06">
      <w:pPr>
        <w:wordWrap w:val="0"/>
        <w:topLinePunct/>
        <w:autoSpaceDN w:val="0"/>
        <w:snapToGrid w:val="0"/>
        <w:spacing w:line="360" w:lineRule="auto"/>
        <w:ind w:firstLine="420" w:firstLineChars="200"/>
        <w:textAlignment w:val="center"/>
        <w:rPr>
          <w:rFonts w:cs="宋体"/>
          <w:szCs w:val="21"/>
        </w:rPr>
      </w:pPr>
      <w:r>
        <w:rPr>
          <w:rFonts w:hint="eastAsia" w:cs="宋体"/>
          <w:szCs w:val="21"/>
        </w:rPr>
        <w:t>（2）其他项目清单中的暂列金额和计日工，均为招标人估算、预测数量，投标时计入投标人的报价中，交工结算时应按承包人实际完成的工程内容结算。</w:t>
      </w:r>
    </w:p>
    <w:p w14:paraId="38CD1E6E">
      <w:pPr>
        <w:wordWrap w:val="0"/>
        <w:topLinePunct/>
        <w:autoSpaceDN w:val="0"/>
        <w:snapToGrid w:val="0"/>
        <w:spacing w:line="360" w:lineRule="auto"/>
        <w:ind w:firstLine="420" w:firstLineChars="200"/>
        <w:textAlignment w:val="center"/>
        <w:rPr>
          <w:rFonts w:cs="宋体"/>
          <w:szCs w:val="21"/>
        </w:rPr>
      </w:pPr>
      <w:r>
        <w:rPr>
          <w:rFonts w:hint="eastAsia" w:cs="宋体"/>
          <w:szCs w:val="21"/>
        </w:rPr>
        <w:t>2.3.4 规费、税金</w:t>
      </w:r>
    </w:p>
    <w:p w14:paraId="510E40A3">
      <w:pPr>
        <w:wordWrap w:val="0"/>
        <w:topLinePunct/>
        <w:autoSpaceDN w:val="0"/>
        <w:snapToGrid w:val="0"/>
        <w:spacing w:line="360" w:lineRule="auto"/>
        <w:ind w:firstLine="420" w:firstLineChars="200"/>
        <w:textAlignment w:val="center"/>
        <w:rPr>
          <w:rFonts w:cs="宋体"/>
          <w:szCs w:val="21"/>
        </w:rPr>
      </w:pPr>
      <w:r>
        <w:rPr>
          <w:rFonts w:hint="eastAsia" w:cs="宋体"/>
          <w:szCs w:val="21"/>
        </w:rPr>
        <w:t>规费、税金按省建设主管部门颁发的计价规则内容和计费标准计算报价。省、市政府及有关权力部门颁发的政策性文件对规费、税金的内容和计费标准有调整的，按其规定执行。</w:t>
      </w:r>
    </w:p>
    <w:p w14:paraId="00CA16C8">
      <w:pPr>
        <w:wordWrap w:val="0"/>
        <w:topLinePunct/>
        <w:autoSpaceDN w:val="0"/>
        <w:snapToGrid w:val="0"/>
        <w:spacing w:line="360" w:lineRule="auto"/>
        <w:ind w:firstLine="420" w:firstLineChars="200"/>
        <w:textAlignment w:val="center"/>
        <w:rPr>
          <w:rFonts w:cs="宋体"/>
          <w:szCs w:val="21"/>
        </w:rPr>
      </w:pPr>
      <w:r>
        <w:rPr>
          <w:rFonts w:hint="eastAsia" w:cs="宋体"/>
          <w:szCs w:val="21"/>
        </w:rPr>
        <w:t>规费费率不得低于现行标准费率的30%；</w:t>
      </w:r>
    </w:p>
    <w:p w14:paraId="3EB2F42C">
      <w:pPr>
        <w:wordWrap w:val="0"/>
        <w:topLinePunct/>
        <w:autoSpaceDN w:val="0"/>
        <w:snapToGrid w:val="0"/>
        <w:spacing w:line="360" w:lineRule="auto"/>
        <w:ind w:firstLine="420" w:firstLineChars="200"/>
        <w:textAlignment w:val="center"/>
        <w:rPr>
          <w:rFonts w:cs="宋体"/>
          <w:szCs w:val="21"/>
        </w:rPr>
      </w:pPr>
      <w:r>
        <w:rPr>
          <w:rFonts w:hint="eastAsia" w:cs="宋体"/>
          <w:szCs w:val="21"/>
        </w:rPr>
        <w:t>税金作为不可竞争费用，投标税率必须与现行规定相符；</w:t>
      </w:r>
    </w:p>
    <w:p w14:paraId="5F808D59">
      <w:pPr>
        <w:wordWrap w:val="0"/>
        <w:topLinePunct/>
        <w:autoSpaceDN w:val="0"/>
        <w:snapToGrid w:val="0"/>
        <w:spacing w:line="360" w:lineRule="auto"/>
        <w:ind w:firstLine="420" w:firstLineChars="200"/>
        <w:textAlignment w:val="center"/>
        <w:rPr>
          <w:rFonts w:cs="宋体"/>
          <w:szCs w:val="21"/>
        </w:rPr>
      </w:pPr>
      <w:r>
        <w:rPr>
          <w:rFonts w:hint="eastAsia" w:cs="宋体"/>
          <w:szCs w:val="21"/>
        </w:rPr>
        <w:t>2.4 投标人不得擅自修改招标工程量清单的分部分项工程项目清单内容。</w:t>
      </w:r>
    </w:p>
    <w:p w14:paraId="472870ED">
      <w:pPr>
        <w:wordWrap w:val="0"/>
        <w:topLinePunct/>
        <w:autoSpaceDN w:val="0"/>
        <w:snapToGrid w:val="0"/>
        <w:spacing w:line="360" w:lineRule="auto"/>
        <w:ind w:firstLine="420" w:firstLineChars="200"/>
        <w:textAlignment w:val="center"/>
        <w:rPr>
          <w:rFonts w:cs="宋体"/>
          <w:szCs w:val="21"/>
        </w:rPr>
      </w:pPr>
      <w:r>
        <w:rPr>
          <w:rFonts w:hint="eastAsia" w:cs="宋体"/>
          <w:szCs w:val="21"/>
        </w:rPr>
        <w:t>工程量清单报价应与工、料、机报价及对应的报价分析相符，与拟建工程的施工组织设计或施工方案相符。</w:t>
      </w:r>
    </w:p>
    <w:p w14:paraId="45BD5BD1">
      <w:pPr>
        <w:wordWrap w:val="0"/>
        <w:topLinePunct/>
        <w:autoSpaceDN w:val="0"/>
        <w:snapToGrid w:val="0"/>
        <w:spacing w:line="360" w:lineRule="auto"/>
        <w:ind w:firstLine="420" w:firstLineChars="200"/>
        <w:textAlignment w:val="center"/>
        <w:rPr>
          <w:rFonts w:cs="宋体"/>
          <w:szCs w:val="21"/>
        </w:rPr>
      </w:pPr>
      <w:r>
        <w:rPr>
          <w:rFonts w:hint="eastAsia" w:cs="宋体"/>
          <w:szCs w:val="21"/>
        </w:rPr>
        <w:t>投标人应根据自己的企业定额或参照省建设主管部门颁发的计价规则向招标人提供具体的报价计算分析，其各项报价分析表与工程量清单计价表之间的金额（价格）应前后对应一致。</w:t>
      </w:r>
    </w:p>
    <w:p w14:paraId="24B3DBF6">
      <w:pPr>
        <w:wordWrap w:val="0"/>
        <w:topLinePunct/>
        <w:autoSpaceDN w:val="0"/>
        <w:snapToGrid w:val="0"/>
        <w:spacing w:line="360" w:lineRule="auto"/>
        <w:ind w:firstLine="420" w:firstLineChars="200"/>
        <w:textAlignment w:val="center"/>
        <w:rPr>
          <w:rFonts w:cs="宋体"/>
          <w:szCs w:val="21"/>
        </w:rPr>
      </w:pPr>
      <w:r>
        <w:rPr>
          <w:rFonts w:hint="eastAsia" w:cs="宋体"/>
          <w:szCs w:val="21"/>
        </w:rPr>
        <w:t>2.5 清单报价中的任何算术性错误，招标人按下列原则予以调整：</w:t>
      </w:r>
    </w:p>
    <w:p w14:paraId="05E9EB40">
      <w:pPr>
        <w:wordWrap w:val="0"/>
        <w:topLinePunct/>
        <w:autoSpaceDN w:val="0"/>
        <w:snapToGrid w:val="0"/>
        <w:spacing w:line="360" w:lineRule="auto"/>
        <w:ind w:firstLine="420" w:firstLineChars="200"/>
        <w:textAlignment w:val="center"/>
        <w:rPr>
          <w:rFonts w:cs="宋体"/>
          <w:szCs w:val="21"/>
        </w:rPr>
      </w:pPr>
      <w:r>
        <w:rPr>
          <w:rFonts w:hint="eastAsia" w:cs="宋体"/>
          <w:szCs w:val="21"/>
        </w:rPr>
        <w:t>2.5.1 大写金额和小写金额不一致，以大写金额为准；</w:t>
      </w:r>
    </w:p>
    <w:p w14:paraId="4FD19695">
      <w:pPr>
        <w:wordWrap w:val="0"/>
        <w:topLinePunct/>
        <w:autoSpaceDN w:val="0"/>
        <w:snapToGrid w:val="0"/>
        <w:spacing w:line="360" w:lineRule="auto"/>
        <w:ind w:firstLine="420" w:firstLineChars="200"/>
        <w:textAlignment w:val="center"/>
        <w:rPr>
          <w:rFonts w:cs="宋体"/>
          <w:szCs w:val="21"/>
        </w:rPr>
      </w:pPr>
      <w:r>
        <w:rPr>
          <w:rFonts w:hint="eastAsia" w:cs="宋体"/>
          <w:szCs w:val="21"/>
        </w:rPr>
        <w:t>2.5.2 合价金额与单价金额和工程量的乘积不一致的，以单价金额为准，但单价金额有明显错误的除外；</w:t>
      </w:r>
    </w:p>
    <w:p w14:paraId="67AAEA3F">
      <w:pPr>
        <w:wordWrap w:val="0"/>
        <w:topLinePunct/>
        <w:autoSpaceDN w:val="0"/>
        <w:snapToGrid w:val="0"/>
        <w:spacing w:line="360" w:lineRule="auto"/>
        <w:ind w:firstLine="420" w:firstLineChars="200"/>
        <w:textAlignment w:val="center"/>
        <w:rPr>
          <w:rFonts w:cs="宋体"/>
          <w:szCs w:val="21"/>
        </w:rPr>
      </w:pPr>
      <w:r>
        <w:rPr>
          <w:rFonts w:hint="eastAsia" w:cs="宋体"/>
          <w:szCs w:val="21"/>
        </w:rPr>
        <w:t>2.5.3 合价累计金额与小计（合计）金额不一致的，以合价累计金额为准，并修改小计（合计）金额。</w:t>
      </w:r>
    </w:p>
    <w:p w14:paraId="362D4D58">
      <w:pPr>
        <w:wordWrap w:val="0"/>
        <w:topLinePunct/>
        <w:autoSpaceDN w:val="0"/>
        <w:snapToGrid w:val="0"/>
        <w:spacing w:line="360" w:lineRule="auto"/>
        <w:ind w:firstLine="420" w:firstLineChars="200"/>
        <w:textAlignment w:val="center"/>
        <w:rPr>
          <w:rFonts w:cs="宋体"/>
          <w:szCs w:val="21"/>
        </w:rPr>
      </w:pPr>
      <w:r>
        <w:rPr>
          <w:rFonts w:hint="eastAsia" w:cs="宋体"/>
          <w:szCs w:val="21"/>
        </w:rPr>
        <w:t>2.6 根据住房和城乡建设部、省级造价主管部门对造价从业人员执业管理的相关法律法规规定以及《建设工程工程量清单计价规范》（GB50500-2013）的规定，投标报价的编制必须遵守以下规定：</w:t>
      </w:r>
    </w:p>
    <w:p w14:paraId="30B88C7B">
      <w:pPr>
        <w:wordWrap w:val="0"/>
        <w:topLinePunct/>
        <w:autoSpaceDN w:val="0"/>
        <w:snapToGrid w:val="0"/>
        <w:spacing w:line="360" w:lineRule="auto"/>
        <w:ind w:firstLine="420" w:firstLineChars="200"/>
        <w:textAlignment w:val="center"/>
        <w:rPr>
          <w:rFonts w:cs="宋体"/>
          <w:szCs w:val="21"/>
        </w:rPr>
      </w:pPr>
      <w:r>
        <w:rPr>
          <w:rFonts w:hint="eastAsia" w:cs="宋体"/>
          <w:szCs w:val="21"/>
        </w:rPr>
        <w:t>2.6.1 投标报价应由投标人或受其委托具有相应能力的工程造价咨询人编制。</w:t>
      </w:r>
    </w:p>
    <w:p w14:paraId="580347B7">
      <w:pPr>
        <w:wordWrap w:val="0"/>
        <w:topLinePunct/>
        <w:autoSpaceDN w:val="0"/>
        <w:snapToGrid w:val="0"/>
        <w:spacing w:line="360" w:lineRule="auto"/>
        <w:ind w:firstLine="420" w:firstLineChars="200"/>
        <w:textAlignment w:val="center"/>
        <w:rPr>
          <w:rFonts w:cs="宋体"/>
          <w:szCs w:val="21"/>
        </w:rPr>
      </w:pPr>
      <w:r>
        <w:rPr>
          <w:rFonts w:hint="eastAsia" w:cs="宋体"/>
          <w:szCs w:val="21"/>
        </w:rPr>
        <w:t>2.6.2 投标文件的编制人不得接受同一工程招标人委托编制招标文件（含招标控制价），并不得接受其他投标人委托编制投标文件。</w:t>
      </w:r>
    </w:p>
    <w:p w14:paraId="3FD0B80A">
      <w:pPr>
        <w:wordWrap w:val="0"/>
        <w:topLinePunct/>
        <w:autoSpaceDN w:val="0"/>
        <w:snapToGrid w:val="0"/>
        <w:spacing w:line="360" w:lineRule="auto"/>
        <w:ind w:firstLine="420" w:firstLineChars="200"/>
        <w:textAlignment w:val="center"/>
        <w:rPr>
          <w:rFonts w:cs="宋体"/>
          <w:szCs w:val="21"/>
        </w:rPr>
      </w:pPr>
      <w:r>
        <w:rPr>
          <w:rFonts w:hint="eastAsia" w:cs="宋体"/>
          <w:szCs w:val="21"/>
        </w:rPr>
        <w:t xml:space="preserve">2.7 工程量清单及计价采用的表格格式见投标工具。 </w:t>
      </w:r>
    </w:p>
    <w:p w14:paraId="2AE9822D">
      <w:pPr>
        <w:adjustRightInd/>
        <w:spacing w:line="240" w:lineRule="auto"/>
        <w:rPr>
          <w:rFonts w:cs="宋体"/>
          <w:b/>
          <w:bCs/>
          <w:sz w:val="28"/>
          <w:szCs w:val="20"/>
        </w:rPr>
      </w:pPr>
      <w:r>
        <w:rPr>
          <w:rFonts w:hint="eastAsia" w:cs="宋体"/>
          <w:b/>
          <w:bCs/>
          <w:sz w:val="28"/>
          <w:szCs w:val="20"/>
        </w:rPr>
        <w:t>3.附件</w:t>
      </w:r>
    </w:p>
    <w:p w14:paraId="7D9F402B">
      <w:pPr>
        <w:wordWrap w:val="0"/>
        <w:topLinePunct/>
        <w:autoSpaceDN w:val="0"/>
        <w:snapToGrid w:val="0"/>
        <w:spacing w:line="360" w:lineRule="auto"/>
        <w:ind w:firstLine="420" w:firstLineChars="200"/>
        <w:textAlignment w:val="center"/>
        <w:rPr>
          <w:rFonts w:cs="宋体"/>
          <w:szCs w:val="21"/>
        </w:rPr>
      </w:pPr>
      <w:r>
        <w:rPr>
          <w:rFonts w:hint="eastAsia" w:cs="宋体"/>
          <w:szCs w:val="21"/>
        </w:rPr>
        <w:t>附件1：招标工量清单扉页（另册）</w:t>
      </w:r>
    </w:p>
    <w:p w14:paraId="0D71513B">
      <w:pPr>
        <w:wordWrap w:val="0"/>
        <w:topLinePunct/>
        <w:autoSpaceDN w:val="0"/>
        <w:snapToGrid w:val="0"/>
        <w:spacing w:line="360" w:lineRule="auto"/>
        <w:ind w:firstLine="420" w:firstLineChars="200"/>
        <w:textAlignment w:val="center"/>
        <w:rPr>
          <w:rFonts w:cs="宋体"/>
          <w:szCs w:val="21"/>
        </w:rPr>
      </w:pPr>
      <w:r>
        <w:rPr>
          <w:rFonts w:hint="eastAsia" w:cs="宋体"/>
          <w:szCs w:val="21"/>
        </w:rPr>
        <w:t>附件2：招标工量清单编制说明（另册）</w:t>
      </w:r>
    </w:p>
    <w:p w14:paraId="7E5D9D4D">
      <w:pPr>
        <w:wordWrap w:val="0"/>
        <w:topLinePunct/>
        <w:autoSpaceDN w:val="0"/>
        <w:snapToGrid w:val="0"/>
        <w:spacing w:line="360" w:lineRule="auto"/>
        <w:ind w:firstLine="420" w:firstLineChars="200"/>
        <w:textAlignment w:val="center"/>
        <w:rPr>
          <w:rFonts w:cs="宋体"/>
        </w:rPr>
      </w:pPr>
      <w:r>
        <w:rPr>
          <w:rFonts w:hint="eastAsia" w:cs="宋体"/>
          <w:szCs w:val="21"/>
        </w:rPr>
        <w:t>附件3：分部分项工程清单与计价表（另册）</w:t>
      </w:r>
      <w:r>
        <w:rPr>
          <w:rFonts w:hint="eastAsia" w:cs="宋体"/>
          <w:szCs w:val="18"/>
        </w:rPr>
        <w:br w:type="page"/>
      </w:r>
    </w:p>
    <w:p w14:paraId="73892642">
      <w:pPr>
        <w:pStyle w:val="4"/>
        <w:numPr>
          <w:ilvl w:val="0"/>
          <w:numId w:val="1"/>
        </w:numPr>
        <w:jc w:val="center"/>
        <w:rPr>
          <w:rFonts w:cs="宋体"/>
        </w:rPr>
      </w:pPr>
      <w:r>
        <w:rPr>
          <w:rFonts w:hint="eastAsia" w:cs="宋体"/>
        </w:rPr>
        <w:t xml:space="preserve"> </w:t>
      </w:r>
      <w:bookmarkStart w:id="119" w:name="_Toc13363"/>
      <w:r>
        <w:rPr>
          <w:rFonts w:hint="eastAsia" w:cs="宋体"/>
        </w:rPr>
        <w:t>图纸</w:t>
      </w:r>
      <w:bookmarkEnd w:id="119"/>
    </w:p>
    <w:p w14:paraId="384AFF97">
      <w:pPr>
        <w:jc w:val="center"/>
        <w:rPr>
          <w:rFonts w:cs="宋体"/>
        </w:rPr>
      </w:pPr>
      <w:r>
        <w:rPr>
          <w:rFonts w:hint="eastAsia" w:cs="宋体"/>
          <w:b/>
          <w:bCs/>
          <w:sz w:val="32"/>
          <w:szCs w:val="32"/>
        </w:rPr>
        <w:t>（另册）</w:t>
      </w:r>
    </w:p>
    <w:p w14:paraId="286E4477">
      <w:pPr>
        <w:pStyle w:val="4"/>
        <w:numPr>
          <w:ilvl w:val="0"/>
          <w:numId w:val="1"/>
        </w:numPr>
        <w:jc w:val="center"/>
        <w:rPr>
          <w:rFonts w:cs="宋体"/>
        </w:rPr>
      </w:pPr>
      <w:r>
        <w:rPr>
          <w:rFonts w:hint="eastAsia" w:cs="宋体"/>
        </w:rPr>
        <w:br w:type="page"/>
      </w:r>
      <w:r>
        <w:rPr>
          <w:rFonts w:hint="eastAsia" w:cs="宋体"/>
        </w:rPr>
        <w:t xml:space="preserve"> </w:t>
      </w:r>
      <w:bookmarkStart w:id="120" w:name="_Toc22608"/>
      <w:r>
        <w:rPr>
          <w:rFonts w:hint="eastAsia" w:cs="宋体"/>
        </w:rPr>
        <w:t>技术标准和要求</w:t>
      </w:r>
      <w:bookmarkEnd w:id="120"/>
    </w:p>
    <w:p w14:paraId="7D15A924">
      <w:pPr>
        <w:pStyle w:val="12"/>
        <w:tabs>
          <w:tab w:val="left" w:pos="540"/>
        </w:tabs>
        <w:ind w:firstLine="600" w:firstLineChars="250"/>
        <w:rPr>
          <w:rFonts w:hAnsi="宋体" w:cs="宋体"/>
          <w:sz w:val="24"/>
          <w:szCs w:val="24"/>
        </w:rPr>
      </w:pPr>
      <w:bookmarkStart w:id="121" w:name="_Toc179632806"/>
      <w:bookmarkStart w:id="122" w:name="_Toc152045786"/>
      <w:bookmarkStart w:id="123" w:name="_Toc144974855"/>
      <w:bookmarkStart w:id="124" w:name="_Toc152042575"/>
      <w:r>
        <w:rPr>
          <w:rFonts w:hint="eastAsia" w:hAnsi="宋体" w:cs="宋体"/>
          <w:sz w:val="24"/>
          <w:szCs w:val="24"/>
        </w:rPr>
        <w:t>依据设计施工图纸和技术文件要求，本工程项目的材料、设备、施工必须达到以下现行中华人民共和国及省、市、行业的一切有关法规、规范的要求，如下述标准及规范要求有出入则以较严格者为准。</w:t>
      </w:r>
    </w:p>
    <w:p w14:paraId="735B88B8">
      <w:pPr>
        <w:pStyle w:val="12"/>
        <w:tabs>
          <w:tab w:val="left" w:pos="540"/>
        </w:tabs>
        <w:ind w:firstLine="600" w:firstLineChars="250"/>
        <w:rPr>
          <w:rFonts w:hAnsi="宋体" w:cs="宋体"/>
          <w:sz w:val="24"/>
          <w:szCs w:val="24"/>
        </w:rPr>
      </w:pPr>
      <w:r>
        <w:rPr>
          <w:rFonts w:hint="eastAsia" w:hAnsi="宋体" w:cs="宋体"/>
          <w:sz w:val="24"/>
          <w:szCs w:val="24"/>
        </w:rPr>
        <w:t>工程设计说明见施工图纸</w:t>
      </w:r>
    </w:p>
    <w:p w14:paraId="0D1D6EAC">
      <w:pPr>
        <w:pStyle w:val="12"/>
        <w:tabs>
          <w:tab w:val="left" w:pos="540"/>
        </w:tabs>
        <w:ind w:firstLine="600" w:firstLineChars="250"/>
        <w:rPr>
          <w:rFonts w:hAnsi="宋体" w:cs="宋体"/>
          <w:sz w:val="24"/>
          <w:szCs w:val="24"/>
        </w:rPr>
      </w:pPr>
      <w:r>
        <w:rPr>
          <w:rFonts w:hint="eastAsia" w:hAnsi="宋体" w:cs="宋体"/>
          <w:sz w:val="24"/>
          <w:szCs w:val="24"/>
        </w:rPr>
        <w:t>二、总体技术要求</w:t>
      </w:r>
    </w:p>
    <w:p w14:paraId="1CB1DD92">
      <w:pPr>
        <w:pStyle w:val="12"/>
        <w:tabs>
          <w:tab w:val="left" w:pos="540"/>
        </w:tabs>
        <w:ind w:firstLine="600" w:firstLineChars="250"/>
        <w:rPr>
          <w:rFonts w:hAnsi="宋体" w:cs="宋体"/>
          <w:sz w:val="24"/>
          <w:szCs w:val="24"/>
        </w:rPr>
      </w:pPr>
      <w:r>
        <w:rPr>
          <w:rFonts w:hint="eastAsia" w:hAnsi="宋体" w:cs="宋体"/>
          <w:sz w:val="24"/>
          <w:szCs w:val="24"/>
        </w:rPr>
        <w:t>1.必须达到施工图要求的各项技术指标；</w:t>
      </w:r>
    </w:p>
    <w:p w14:paraId="67A9B8DF">
      <w:pPr>
        <w:pStyle w:val="12"/>
        <w:tabs>
          <w:tab w:val="left" w:pos="540"/>
        </w:tabs>
        <w:ind w:firstLine="600" w:firstLineChars="250"/>
        <w:rPr>
          <w:rFonts w:hAnsi="宋体" w:cs="宋体"/>
          <w:sz w:val="24"/>
          <w:szCs w:val="24"/>
        </w:rPr>
      </w:pPr>
      <w:r>
        <w:rPr>
          <w:rFonts w:hint="eastAsia" w:hAnsi="宋体" w:cs="宋体"/>
          <w:sz w:val="24"/>
          <w:szCs w:val="24"/>
        </w:rPr>
        <w:t>2.按下列规范要求进行施工和验收（不限于）：</w:t>
      </w:r>
    </w:p>
    <w:p w14:paraId="4E327AFF">
      <w:pPr>
        <w:pStyle w:val="12"/>
        <w:tabs>
          <w:tab w:val="left" w:pos="540"/>
        </w:tabs>
        <w:ind w:firstLine="600" w:firstLineChars="250"/>
        <w:rPr>
          <w:rFonts w:hAnsi="宋体" w:cs="宋体"/>
          <w:sz w:val="24"/>
          <w:szCs w:val="24"/>
        </w:rPr>
      </w:pPr>
      <w:r>
        <w:rPr>
          <w:rFonts w:hint="eastAsia" w:hAnsi="宋体" w:cs="宋体"/>
          <w:sz w:val="24"/>
          <w:szCs w:val="24"/>
        </w:rPr>
        <w:t>（1）国家、地方、行业现行的建设工程规范和标准；</w:t>
      </w:r>
    </w:p>
    <w:p w14:paraId="34004F3B">
      <w:pPr>
        <w:pStyle w:val="12"/>
        <w:tabs>
          <w:tab w:val="left" w:pos="540"/>
        </w:tabs>
        <w:ind w:firstLine="600" w:firstLineChars="250"/>
        <w:rPr>
          <w:rFonts w:hAnsi="宋体" w:cs="宋体"/>
          <w:sz w:val="24"/>
          <w:szCs w:val="24"/>
        </w:rPr>
      </w:pPr>
      <w:r>
        <w:rPr>
          <w:rFonts w:hint="eastAsia" w:hAnsi="宋体" w:cs="宋体"/>
          <w:sz w:val="24"/>
          <w:szCs w:val="24"/>
        </w:rPr>
        <w:t>（2）国家、地方、行业现行的有关材料、设备和规范和标准；</w:t>
      </w:r>
    </w:p>
    <w:p w14:paraId="48FB3ED1">
      <w:pPr>
        <w:pStyle w:val="12"/>
        <w:tabs>
          <w:tab w:val="left" w:pos="540"/>
        </w:tabs>
        <w:ind w:firstLine="600" w:firstLineChars="250"/>
        <w:rPr>
          <w:rFonts w:hAnsi="宋体" w:cs="宋体"/>
          <w:sz w:val="24"/>
          <w:szCs w:val="24"/>
        </w:rPr>
      </w:pPr>
      <w:r>
        <w:rPr>
          <w:rFonts w:hint="eastAsia" w:hAnsi="宋体" w:cs="宋体"/>
          <w:sz w:val="24"/>
          <w:szCs w:val="24"/>
        </w:rPr>
        <w:t>（3）施工图纸；</w:t>
      </w:r>
    </w:p>
    <w:p w14:paraId="52188B21">
      <w:pPr>
        <w:pStyle w:val="12"/>
        <w:tabs>
          <w:tab w:val="left" w:pos="540"/>
        </w:tabs>
        <w:ind w:firstLine="600" w:firstLineChars="250"/>
        <w:rPr>
          <w:rFonts w:hAnsi="宋体" w:cs="宋体"/>
          <w:sz w:val="24"/>
          <w:szCs w:val="24"/>
        </w:rPr>
      </w:pPr>
      <w:r>
        <w:rPr>
          <w:rFonts w:hint="eastAsia" w:hAnsi="宋体" w:cs="宋体"/>
          <w:sz w:val="24"/>
          <w:szCs w:val="24"/>
        </w:rPr>
        <w:t>（4）其它现行国家、地方、行业有关技术标准、验收规范等。</w:t>
      </w:r>
    </w:p>
    <w:p w14:paraId="2BD4A584">
      <w:pPr>
        <w:pStyle w:val="12"/>
        <w:tabs>
          <w:tab w:val="left" w:pos="540"/>
        </w:tabs>
        <w:ind w:firstLine="600" w:firstLineChars="250"/>
        <w:rPr>
          <w:rFonts w:hAnsi="宋体" w:cs="宋体"/>
          <w:sz w:val="24"/>
          <w:szCs w:val="24"/>
        </w:rPr>
      </w:pPr>
      <w:r>
        <w:rPr>
          <w:rFonts w:hint="eastAsia" w:hAnsi="宋体" w:cs="宋体"/>
          <w:sz w:val="24"/>
          <w:szCs w:val="24"/>
        </w:rPr>
        <w:t>上述标准及规范若有冲突，以要求较高较新者为准。建设依据还包括相关工程设计图以及技术说明文件。</w:t>
      </w:r>
    </w:p>
    <w:p w14:paraId="34C9753C">
      <w:pPr>
        <w:pStyle w:val="12"/>
        <w:tabs>
          <w:tab w:val="left" w:pos="540"/>
        </w:tabs>
        <w:ind w:firstLine="600" w:firstLineChars="250"/>
        <w:rPr>
          <w:rFonts w:hAnsi="宋体" w:cs="宋体"/>
          <w:sz w:val="24"/>
          <w:szCs w:val="24"/>
        </w:rPr>
      </w:pPr>
      <w:r>
        <w:rPr>
          <w:rFonts w:hint="eastAsia" w:hAnsi="宋体" w:cs="宋体"/>
          <w:sz w:val="24"/>
          <w:szCs w:val="24"/>
        </w:rPr>
        <w:t>三、主要材料设备采用的品牌要求见清单</w:t>
      </w:r>
      <w:bookmarkStart w:id="125" w:name="OLE_LINK11"/>
      <w:r>
        <w:rPr>
          <w:rFonts w:hint="eastAsia" w:hAnsi="宋体" w:cs="宋体"/>
          <w:sz w:val="24"/>
          <w:szCs w:val="24"/>
        </w:rPr>
        <w:t>推荐材料品牌</w:t>
      </w:r>
      <w:bookmarkEnd w:id="125"/>
      <w:r>
        <w:rPr>
          <w:rFonts w:hint="eastAsia" w:hAnsi="宋体" w:cs="宋体"/>
          <w:sz w:val="24"/>
          <w:szCs w:val="24"/>
        </w:rPr>
        <w:t>。未列明材料的品牌，投标人选择</w:t>
      </w:r>
      <w:r>
        <w:rPr>
          <w:rFonts w:hint="eastAsia" w:hAnsi="宋体" w:cs="宋体"/>
          <w:sz w:val="24"/>
          <w:szCs w:val="24"/>
          <w:lang w:eastAsia="zh-CN"/>
        </w:rPr>
        <w:t>的</w:t>
      </w:r>
      <w:r>
        <w:rPr>
          <w:rFonts w:hint="eastAsia" w:hAnsi="宋体" w:cs="宋体"/>
          <w:sz w:val="24"/>
          <w:szCs w:val="24"/>
        </w:rPr>
        <w:t>品牌，</w:t>
      </w:r>
      <w:r>
        <w:rPr>
          <w:rFonts w:hint="eastAsia" w:hAnsi="宋体" w:cs="宋体"/>
          <w:sz w:val="24"/>
          <w:szCs w:val="24"/>
          <w:lang w:eastAsia="zh-CN"/>
        </w:rPr>
        <w:t>须经招标人确认，</w:t>
      </w:r>
      <w:r>
        <w:rPr>
          <w:rFonts w:hint="eastAsia" w:hAnsi="宋体" w:cs="宋体"/>
          <w:sz w:val="24"/>
          <w:szCs w:val="24"/>
        </w:rPr>
        <w:t>但所选品牌仍须符合工程整体质量要求和技术标准。</w:t>
      </w:r>
    </w:p>
    <w:p w14:paraId="06CCBE27">
      <w:pPr>
        <w:rPr>
          <w:rFonts w:cs="宋体"/>
        </w:rPr>
      </w:pPr>
      <w:r>
        <w:rPr>
          <w:rFonts w:hint="eastAsia" w:cs="宋体"/>
        </w:rPr>
        <w:br w:type="page"/>
      </w:r>
    </w:p>
    <w:p w14:paraId="3FEC8FBF">
      <w:pPr>
        <w:pStyle w:val="4"/>
        <w:numPr>
          <w:ilvl w:val="0"/>
          <w:numId w:val="1"/>
        </w:numPr>
        <w:jc w:val="center"/>
        <w:rPr>
          <w:rFonts w:cs="宋体"/>
        </w:rPr>
      </w:pPr>
      <w:r>
        <w:rPr>
          <w:rFonts w:hint="eastAsia" w:cs="宋体"/>
        </w:rPr>
        <w:t xml:space="preserve"> </w:t>
      </w:r>
      <w:bookmarkStart w:id="126" w:name="_Toc20941"/>
      <w:r>
        <w:rPr>
          <w:rFonts w:hint="eastAsia" w:cs="宋体"/>
        </w:rPr>
        <w:t>投标文件格式</w:t>
      </w:r>
      <w:bookmarkEnd w:id="121"/>
      <w:bookmarkEnd w:id="122"/>
      <w:bookmarkEnd w:id="123"/>
      <w:bookmarkEnd w:id="124"/>
      <w:bookmarkEnd w:id="126"/>
    </w:p>
    <w:p w14:paraId="642341E5">
      <w:pPr>
        <w:jc w:val="center"/>
        <w:rPr>
          <w:rFonts w:cs="宋体"/>
          <w:sz w:val="28"/>
          <w:szCs w:val="28"/>
        </w:rPr>
      </w:pPr>
      <w:r>
        <w:rPr>
          <w:rFonts w:hint="eastAsia" w:cs="宋体"/>
          <w:sz w:val="28"/>
          <w:szCs w:val="28"/>
        </w:rPr>
        <w:t>目  录</w:t>
      </w:r>
    </w:p>
    <w:p w14:paraId="3295C49C">
      <w:pPr>
        <w:rPr>
          <w:rFonts w:cs="宋体"/>
        </w:rPr>
      </w:pPr>
      <w:r>
        <w:rPr>
          <w:rFonts w:hint="eastAsia" w:cs="宋体"/>
        </w:rPr>
        <w:t>一、商务标</w:t>
      </w:r>
    </w:p>
    <w:p w14:paraId="39F8041D">
      <w:pPr>
        <w:rPr>
          <w:rFonts w:cs="宋体"/>
        </w:rPr>
      </w:pPr>
      <w:r>
        <w:rPr>
          <w:rFonts w:hint="eastAsia" w:cs="宋体"/>
        </w:rPr>
        <w:t>1、投标函</w:t>
      </w:r>
    </w:p>
    <w:p w14:paraId="2B8571B6">
      <w:pPr>
        <w:rPr>
          <w:rFonts w:cs="宋体"/>
        </w:rPr>
      </w:pPr>
      <w:r>
        <w:rPr>
          <w:rFonts w:hint="eastAsia" w:cs="宋体"/>
        </w:rPr>
        <w:t>2、法定代表人身份证明</w:t>
      </w:r>
    </w:p>
    <w:p w14:paraId="37C28D82">
      <w:pPr>
        <w:rPr>
          <w:rFonts w:cs="宋体"/>
        </w:rPr>
      </w:pPr>
      <w:r>
        <w:rPr>
          <w:rFonts w:hint="eastAsia" w:cs="宋体"/>
        </w:rPr>
        <w:t>3、已标价工程量清单（投标人根据工程量清单自行提供）</w:t>
      </w:r>
    </w:p>
    <w:p w14:paraId="388049E0">
      <w:pPr>
        <w:rPr>
          <w:rFonts w:cs="宋体"/>
        </w:rPr>
      </w:pPr>
      <w:r>
        <w:rPr>
          <w:rFonts w:hint="eastAsia" w:cs="宋体"/>
        </w:rPr>
        <w:t>二、资格审查资料</w:t>
      </w:r>
    </w:p>
    <w:p w14:paraId="6B3C4C62">
      <w:pPr>
        <w:ind w:firstLine="420" w:firstLineChars="200"/>
        <w:rPr>
          <w:rFonts w:cs="宋体"/>
        </w:rPr>
      </w:pPr>
      <w:r>
        <w:rPr>
          <w:rFonts w:hint="eastAsia" w:cs="宋体"/>
        </w:rPr>
        <w:t>（一）投标人基本情况表</w:t>
      </w:r>
    </w:p>
    <w:p w14:paraId="2D09B4A0">
      <w:pPr>
        <w:ind w:firstLine="420" w:firstLineChars="200"/>
        <w:rPr>
          <w:rFonts w:cs="宋体"/>
        </w:rPr>
      </w:pPr>
      <w:r>
        <w:rPr>
          <w:rFonts w:hint="eastAsia" w:cs="宋体"/>
        </w:rPr>
        <w:t>（二）项目管理机构一览表</w:t>
      </w:r>
    </w:p>
    <w:p w14:paraId="6DF9FA59">
      <w:pPr>
        <w:ind w:firstLine="420" w:firstLineChars="200"/>
        <w:rPr>
          <w:rFonts w:cs="宋体"/>
        </w:rPr>
      </w:pPr>
      <w:r>
        <w:rPr>
          <w:rFonts w:hint="eastAsia" w:cs="宋体"/>
        </w:rPr>
        <w:t>（三）未被列入失信被执行人名单、重大税收违法案件当事人名单、未列入建筑市场主体“黑名单”、未被列入安全生产严重失信主体名单的承诺函</w:t>
      </w:r>
    </w:p>
    <w:p w14:paraId="72042135">
      <w:pPr>
        <w:ind w:firstLine="420" w:firstLineChars="200"/>
        <w:rPr>
          <w:rFonts w:cs="宋体"/>
        </w:rPr>
      </w:pPr>
      <w:r>
        <w:rPr>
          <w:rFonts w:hint="eastAsia" w:cs="宋体"/>
        </w:rPr>
        <w:t>（四）企业《安全生产许可证》证书副本、营业执照扫描件</w:t>
      </w:r>
    </w:p>
    <w:p w14:paraId="601AB37B">
      <w:pPr>
        <w:ind w:firstLine="420" w:firstLineChars="200"/>
        <w:rPr>
          <w:rFonts w:cs="宋体"/>
        </w:rPr>
      </w:pPr>
      <w:r>
        <w:rPr>
          <w:rFonts w:hint="eastAsia" w:cs="宋体"/>
        </w:rPr>
        <w:t>（五）具备建筑装修装饰工程专业承包二级及以上资质证书副本扫描件、浙江省建筑市场监管公共服务系统”上，参与投标资质的“资质动态核查证明（证明要求：核查发布日期为投标截止日当周或前一周的任一个周一，动态核查结果：合格）。</w:t>
      </w:r>
    </w:p>
    <w:p w14:paraId="082BE214">
      <w:pPr>
        <w:ind w:firstLine="420" w:firstLineChars="200"/>
        <w:rPr>
          <w:rFonts w:cs="宋体"/>
        </w:rPr>
      </w:pPr>
      <w:r>
        <w:rPr>
          <w:rFonts w:hint="eastAsia" w:cs="宋体"/>
        </w:rPr>
        <w:t>（六）项目</w:t>
      </w:r>
      <w:r>
        <w:rPr>
          <w:rFonts w:hint="eastAsia" w:cs="宋体"/>
          <w:lang w:val="en-US" w:eastAsia="zh-CN"/>
        </w:rPr>
        <w:t>经理</w:t>
      </w:r>
      <w:r>
        <w:rPr>
          <w:rFonts w:hint="eastAsia" w:cs="宋体"/>
        </w:rPr>
        <w:t>具有有效的房屋建筑工程专业二级及以上注册建造师证书及有效的项目经理安全生产考核合格证书（B类）及社保证明扫描件（投标截止日前连续3个月）</w:t>
      </w:r>
    </w:p>
    <w:p w14:paraId="7B48EF3C">
      <w:pPr>
        <w:ind w:firstLine="420" w:firstLineChars="200"/>
        <w:rPr>
          <w:rFonts w:cs="宋体"/>
        </w:rPr>
      </w:pPr>
      <w:r>
        <w:rPr>
          <w:rFonts w:hint="eastAsia" w:cs="宋体"/>
        </w:rPr>
        <w:t>（七）技术负责人身份证复印件、职称证书复印件或电子打印件及社保证明复印件（投标截止日前连续3个月）</w:t>
      </w:r>
    </w:p>
    <w:p w14:paraId="03F018D6">
      <w:pPr>
        <w:ind w:firstLine="420" w:firstLineChars="200"/>
        <w:rPr>
          <w:rFonts w:cs="宋体"/>
        </w:rPr>
      </w:pPr>
      <w:r>
        <w:rPr>
          <w:rFonts w:hint="eastAsia" w:cs="宋体"/>
        </w:rPr>
        <w:t>（八）项目专职安全员身份证复印件、安全生产考核合格证书（C 类）复印件或电子打印件及社保证明复印件（投标截止日前连续3个月）。</w:t>
      </w:r>
    </w:p>
    <w:p w14:paraId="18190C09">
      <w:pPr>
        <w:ind w:firstLine="420" w:firstLineChars="200"/>
        <w:rPr>
          <w:rFonts w:cs="宋体"/>
        </w:rPr>
      </w:pPr>
      <w:r>
        <w:rPr>
          <w:rFonts w:hint="eastAsia" w:cs="宋体"/>
        </w:rPr>
        <w:t>（九）投标承诺函</w:t>
      </w:r>
    </w:p>
    <w:p w14:paraId="0795E79E">
      <w:pPr>
        <w:ind w:firstLine="420" w:firstLineChars="200"/>
        <w:rPr>
          <w:rFonts w:cs="宋体"/>
        </w:rPr>
      </w:pPr>
      <w:r>
        <w:rPr>
          <w:rFonts w:hint="eastAsia" w:cs="宋体"/>
        </w:rPr>
        <w:t>（十）企业主要负责人的“三类人员”A类证书，企业主要负责人包括企业法定代表人、企业分管安全生产的副经理。</w:t>
      </w:r>
    </w:p>
    <w:p w14:paraId="71892745">
      <w:pPr>
        <w:ind w:firstLine="420" w:firstLineChars="200"/>
        <w:rPr>
          <w:rFonts w:cs="宋体"/>
        </w:rPr>
      </w:pPr>
      <w:r>
        <w:rPr>
          <w:rFonts w:hint="eastAsia" w:cs="宋体"/>
        </w:rPr>
        <w:t>（十一）企业分管安全生产副经理的任职文件扫描件</w:t>
      </w:r>
    </w:p>
    <w:p w14:paraId="20399B3B">
      <w:pPr>
        <w:ind w:firstLine="420" w:firstLineChars="200"/>
        <w:rPr>
          <w:rFonts w:cs="宋体"/>
        </w:rPr>
      </w:pPr>
      <w:r>
        <w:rPr>
          <w:rFonts w:hint="eastAsia" w:cs="宋体"/>
        </w:rPr>
        <w:t>（十二）其他材料（如有）</w:t>
      </w:r>
    </w:p>
    <w:p w14:paraId="078DB525">
      <w:pPr>
        <w:jc w:val="center"/>
        <w:rPr>
          <w:rFonts w:cs="宋体"/>
          <w:b/>
          <w:sz w:val="30"/>
          <w:szCs w:val="30"/>
        </w:rPr>
      </w:pPr>
    </w:p>
    <w:p w14:paraId="14A27706">
      <w:pPr>
        <w:jc w:val="center"/>
        <w:rPr>
          <w:rFonts w:cs="宋体"/>
          <w:b/>
          <w:sz w:val="30"/>
          <w:szCs w:val="30"/>
        </w:rPr>
      </w:pPr>
    </w:p>
    <w:p w14:paraId="7CED7838">
      <w:pPr>
        <w:jc w:val="center"/>
        <w:rPr>
          <w:rFonts w:cs="宋体"/>
          <w:b/>
          <w:sz w:val="30"/>
          <w:szCs w:val="30"/>
        </w:rPr>
      </w:pPr>
    </w:p>
    <w:p w14:paraId="4D6EB27C">
      <w:pPr>
        <w:pStyle w:val="2"/>
        <w:ind w:firstLine="602"/>
        <w:rPr>
          <w:rFonts w:cs="宋体"/>
          <w:sz w:val="30"/>
          <w:szCs w:val="30"/>
        </w:rPr>
      </w:pPr>
    </w:p>
    <w:p w14:paraId="76E4EE79">
      <w:pPr>
        <w:rPr>
          <w:rFonts w:cs="宋体"/>
          <w:b/>
          <w:sz w:val="30"/>
          <w:szCs w:val="30"/>
        </w:rPr>
      </w:pPr>
    </w:p>
    <w:p w14:paraId="1EE95568">
      <w:pPr>
        <w:pStyle w:val="2"/>
        <w:ind w:firstLine="602"/>
        <w:rPr>
          <w:rFonts w:cs="宋体"/>
          <w:sz w:val="30"/>
          <w:szCs w:val="30"/>
        </w:rPr>
      </w:pPr>
    </w:p>
    <w:p w14:paraId="6473EF99">
      <w:pPr>
        <w:rPr>
          <w:rFonts w:cs="宋体"/>
          <w:b/>
          <w:sz w:val="30"/>
          <w:szCs w:val="30"/>
        </w:rPr>
      </w:pPr>
    </w:p>
    <w:p w14:paraId="310BDC4A">
      <w:pPr>
        <w:pStyle w:val="2"/>
        <w:ind w:firstLine="602"/>
        <w:rPr>
          <w:rFonts w:cs="宋体"/>
          <w:sz w:val="30"/>
          <w:szCs w:val="30"/>
        </w:rPr>
      </w:pPr>
    </w:p>
    <w:p w14:paraId="7786A001">
      <w:pPr>
        <w:rPr>
          <w:rFonts w:cs="宋体"/>
          <w:b/>
          <w:sz w:val="30"/>
          <w:szCs w:val="30"/>
        </w:rPr>
      </w:pPr>
    </w:p>
    <w:p w14:paraId="58D7FF98">
      <w:pPr>
        <w:pStyle w:val="2"/>
        <w:ind w:firstLine="602"/>
        <w:rPr>
          <w:rFonts w:cs="宋体"/>
          <w:sz w:val="30"/>
          <w:szCs w:val="30"/>
        </w:rPr>
      </w:pPr>
    </w:p>
    <w:p w14:paraId="51C78DED"/>
    <w:p w14:paraId="0457F825">
      <w:pPr>
        <w:jc w:val="center"/>
        <w:rPr>
          <w:rFonts w:cs="宋体"/>
          <w:b/>
          <w:sz w:val="30"/>
          <w:szCs w:val="30"/>
        </w:rPr>
      </w:pPr>
    </w:p>
    <w:p w14:paraId="579BD02B">
      <w:pPr>
        <w:jc w:val="center"/>
        <w:rPr>
          <w:rFonts w:cs="宋体"/>
          <w:b/>
          <w:sz w:val="30"/>
          <w:szCs w:val="30"/>
        </w:rPr>
      </w:pPr>
    </w:p>
    <w:p w14:paraId="21A9C531">
      <w:pPr>
        <w:jc w:val="center"/>
        <w:rPr>
          <w:rFonts w:cs="宋体"/>
        </w:rPr>
      </w:pPr>
      <w:r>
        <w:rPr>
          <w:rFonts w:hint="eastAsia" w:cs="宋体"/>
          <w:b/>
          <w:sz w:val="30"/>
          <w:szCs w:val="30"/>
        </w:rPr>
        <w:t>一、商务标</w:t>
      </w:r>
    </w:p>
    <w:p w14:paraId="1F6A6FEB">
      <w:pPr>
        <w:widowControl/>
        <w:adjustRightInd/>
        <w:snapToGrid w:val="0"/>
        <w:spacing w:line="360" w:lineRule="auto"/>
        <w:jc w:val="center"/>
        <w:textAlignment w:val="auto"/>
        <w:rPr>
          <w:rFonts w:cs="宋体"/>
          <w:sz w:val="28"/>
          <w:szCs w:val="28"/>
        </w:rPr>
      </w:pPr>
      <w:r>
        <w:rPr>
          <w:rFonts w:hint="eastAsia" w:cs="宋体"/>
          <w:sz w:val="28"/>
          <w:szCs w:val="28"/>
        </w:rPr>
        <w:t>1、投标函</w:t>
      </w:r>
    </w:p>
    <w:p w14:paraId="43A92DCF">
      <w:pPr>
        <w:rPr>
          <w:rFonts w:cs="宋体"/>
        </w:rPr>
      </w:pPr>
    </w:p>
    <w:p w14:paraId="03E8845E">
      <w:pPr>
        <w:rPr>
          <w:rFonts w:cs="宋体"/>
        </w:rPr>
      </w:pPr>
      <w:r>
        <w:rPr>
          <w:rFonts w:hint="eastAsia" w:cs="宋体"/>
        </w:rPr>
        <w:t>温州港口服务有限公司：</w:t>
      </w:r>
    </w:p>
    <w:p w14:paraId="0647F6EF">
      <w:pPr>
        <w:rPr>
          <w:rFonts w:cs="宋体"/>
        </w:rPr>
      </w:pPr>
    </w:p>
    <w:p w14:paraId="2EE0D7B9">
      <w:pPr>
        <w:ind w:firstLine="420" w:firstLineChars="200"/>
        <w:rPr>
          <w:rFonts w:cs="宋体"/>
        </w:rPr>
      </w:pPr>
      <w:r>
        <w:rPr>
          <w:rFonts w:hint="eastAsia" w:cs="宋体"/>
        </w:rPr>
        <w:t>1．我方已仔细研究了</w:t>
      </w:r>
      <w:r>
        <w:rPr>
          <w:rFonts w:hint="eastAsia" w:cs="宋体"/>
          <w:lang w:eastAsia="zh-CN"/>
        </w:rPr>
        <w:t>温州港口服务有限公司海港大厦1幢1501室（北）办公用房装修项目</w:t>
      </w:r>
      <w:r>
        <w:rPr>
          <w:rFonts w:hint="eastAsia" w:cs="宋体"/>
        </w:rPr>
        <w:t>招标文件的全部内容，愿意以人民币（大写）</w:t>
      </w:r>
      <w:r>
        <w:rPr>
          <w:rFonts w:hint="eastAsia" w:cs="宋体"/>
          <w:u w:val="single"/>
        </w:rPr>
        <w:t xml:space="preserve">     </w:t>
      </w:r>
      <w:r>
        <w:rPr>
          <w:rFonts w:hint="eastAsia" w:cs="宋体"/>
        </w:rPr>
        <w:t xml:space="preserve"> 元（¥ </w:t>
      </w:r>
      <w:r>
        <w:rPr>
          <w:rFonts w:hint="eastAsia" w:cs="宋体"/>
          <w:u w:val="single"/>
        </w:rPr>
        <w:t xml:space="preserve">      </w:t>
      </w:r>
      <w:r>
        <w:rPr>
          <w:rFonts w:hint="eastAsia" w:cs="宋体"/>
        </w:rPr>
        <w:t>）的投标总报价（含税价），税率为</w:t>
      </w:r>
      <w:r>
        <w:rPr>
          <w:rFonts w:hint="eastAsia" w:cs="宋体"/>
          <w:u w:val="single"/>
        </w:rPr>
        <w:t xml:space="preserve">   </w:t>
      </w:r>
      <w:r>
        <w:rPr>
          <w:rFonts w:hint="eastAsia" w:cs="宋体"/>
        </w:rPr>
        <w:t xml:space="preserve"> %，项目经理（姓名）</w:t>
      </w:r>
      <w:r>
        <w:rPr>
          <w:rFonts w:hint="eastAsia" w:cs="宋体"/>
          <w:u w:val="single"/>
        </w:rPr>
        <w:t xml:space="preserve">      </w:t>
      </w:r>
      <w:r>
        <w:rPr>
          <w:rFonts w:hint="eastAsia" w:cs="宋体"/>
        </w:rPr>
        <w:t>，工期</w:t>
      </w:r>
      <w:r>
        <w:rPr>
          <w:rFonts w:hint="eastAsia" w:cs="宋体"/>
          <w:u w:val="single"/>
        </w:rPr>
        <w:t xml:space="preserve">    </w:t>
      </w:r>
      <w:r>
        <w:rPr>
          <w:rFonts w:hint="eastAsia" w:cs="宋体"/>
        </w:rPr>
        <w:t xml:space="preserve">日历天，按合同约定实施和完成承包工程，修补工程中的任何缺陷，工程质量达到 </w:t>
      </w:r>
      <w:r>
        <w:rPr>
          <w:rFonts w:hint="eastAsia" w:cs="宋体"/>
          <w:u w:val="single"/>
        </w:rPr>
        <w:t xml:space="preserve">      </w:t>
      </w:r>
      <w:r>
        <w:rPr>
          <w:rFonts w:hint="eastAsia" w:cs="宋体"/>
        </w:rPr>
        <w:t xml:space="preserve"> 。</w:t>
      </w:r>
    </w:p>
    <w:p w14:paraId="7034160A">
      <w:pPr>
        <w:ind w:firstLine="420" w:firstLineChars="200"/>
        <w:rPr>
          <w:rFonts w:cs="宋体"/>
        </w:rPr>
      </w:pPr>
      <w:r>
        <w:rPr>
          <w:rFonts w:hint="eastAsia" w:cs="宋体"/>
        </w:rPr>
        <w:t>2．我方承诺在投标有效期内不修改、撤销投标文件。</w:t>
      </w:r>
    </w:p>
    <w:p w14:paraId="49FD1788">
      <w:pPr>
        <w:ind w:firstLine="420" w:firstLineChars="200"/>
        <w:rPr>
          <w:rFonts w:cs="宋体"/>
        </w:rPr>
      </w:pPr>
      <w:r>
        <w:rPr>
          <w:rFonts w:hint="eastAsia" w:cs="宋体"/>
        </w:rPr>
        <w:t>3．随同本投标函提交投标保证金一份。</w:t>
      </w:r>
    </w:p>
    <w:p w14:paraId="63CCCDD1">
      <w:pPr>
        <w:ind w:firstLine="420" w:firstLineChars="200"/>
        <w:rPr>
          <w:rFonts w:cs="宋体"/>
        </w:rPr>
      </w:pPr>
      <w:r>
        <w:rPr>
          <w:rFonts w:hint="eastAsia" w:cs="宋体"/>
        </w:rPr>
        <w:t>4．如我方中标：</w:t>
      </w:r>
    </w:p>
    <w:p w14:paraId="0AF3FFFD">
      <w:pPr>
        <w:ind w:firstLine="420" w:firstLineChars="200"/>
        <w:rPr>
          <w:rFonts w:cs="宋体"/>
        </w:rPr>
      </w:pPr>
      <w:r>
        <w:rPr>
          <w:rFonts w:hint="eastAsia" w:cs="宋体"/>
        </w:rPr>
        <w:t>（1）我方承诺在收到中标通知书后，在中标通知书规定的期限内与你方签订合同。</w:t>
      </w:r>
    </w:p>
    <w:p w14:paraId="767DE2FD">
      <w:pPr>
        <w:ind w:firstLine="420" w:firstLineChars="200"/>
        <w:rPr>
          <w:rFonts w:cs="宋体"/>
        </w:rPr>
      </w:pPr>
      <w:r>
        <w:rPr>
          <w:rFonts w:hint="eastAsia" w:cs="宋体"/>
        </w:rPr>
        <w:t>（2）我方承诺按照招标文件规定向你方递交履约担保。</w:t>
      </w:r>
    </w:p>
    <w:p w14:paraId="5077A780">
      <w:pPr>
        <w:ind w:firstLine="420" w:firstLineChars="200"/>
        <w:rPr>
          <w:rFonts w:cs="宋体"/>
        </w:rPr>
      </w:pPr>
      <w:r>
        <w:rPr>
          <w:rFonts w:hint="eastAsia" w:cs="宋体"/>
        </w:rPr>
        <w:t>（3）我方承诺在合同约定的期限内完成并移交全部合同工程。</w:t>
      </w:r>
    </w:p>
    <w:p w14:paraId="071F3AF5">
      <w:pPr>
        <w:ind w:firstLine="420" w:firstLineChars="200"/>
        <w:rPr>
          <w:rFonts w:cs="宋体"/>
        </w:rPr>
      </w:pPr>
      <w:r>
        <w:rPr>
          <w:rFonts w:hint="eastAsia" w:cs="宋体"/>
        </w:rPr>
        <w:t>5．我方在此声明，所递交的投标文件及有关资料内容完整、真实和准确，且不存在第二章“投标人须知”第1.4.3项规定的任何一种情形。</w:t>
      </w:r>
    </w:p>
    <w:p w14:paraId="582F375E">
      <w:pPr>
        <w:ind w:firstLine="420" w:firstLineChars="200"/>
        <w:rPr>
          <w:rFonts w:cs="宋体"/>
        </w:rPr>
      </w:pPr>
      <w:r>
        <w:rPr>
          <w:rFonts w:hint="eastAsia" w:cs="宋体"/>
        </w:rPr>
        <w:t>6．</w:t>
      </w:r>
      <w:r>
        <w:rPr>
          <w:rFonts w:hint="eastAsia" w:cs="宋体"/>
          <w:u w:val="single"/>
        </w:rPr>
        <w:t xml:space="preserve">      </w:t>
      </w:r>
      <w:r>
        <w:rPr>
          <w:rFonts w:hint="eastAsia" w:cs="宋体"/>
        </w:rPr>
        <w:t>（其他补充说明）。</w:t>
      </w:r>
    </w:p>
    <w:p w14:paraId="16DAD8EA">
      <w:pPr>
        <w:rPr>
          <w:rFonts w:cs="宋体"/>
        </w:rPr>
      </w:pPr>
    </w:p>
    <w:p w14:paraId="4ED3790C">
      <w:pPr>
        <w:rPr>
          <w:rFonts w:cs="宋体"/>
        </w:rPr>
      </w:pPr>
    </w:p>
    <w:p w14:paraId="4F769872">
      <w:pPr>
        <w:spacing w:line="440" w:lineRule="exact"/>
        <w:ind w:firstLine="2876" w:firstLineChars="1364"/>
        <w:rPr>
          <w:rFonts w:cs="宋体"/>
          <w:b/>
          <w:szCs w:val="21"/>
        </w:rPr>
      </w:pPr>
      <w:r>
        <w:rPr>
          <w:rFonts w:hint="eastAsia" w:cs="宋体"/>
          <w:b/>
          <w:szCs w:val="21"/>
        </w:rPr>
        <w:t>投 标 人：</w:t>
      </w:r>
      <w:r>
        <w:rPr>
          <w:rFonts w:hint="eastAsia" w:cs="宋体"/>
          <w:b/>
          <w:szCs w:val="21"/>
          <w:u w:val="single"/>
        </w:rPr>
        <w:t xml:space="preserve">                      </w:t>
      </w:r>
      <w:r>
        <w:rPr>
          <w:rFonts w:hint="eastAsia" w:cs="宋体"/>
          <w:b/>
          <w:szCs w:val="21"/>
        </w:rPr>
        <w:t>（盖单位章）</w:t>
      </w:r>
    </w:p>
    <w:p w14:paraId="00B1B14A">
      <w:pPr>
        <w:spacing w:line="440" w:lineRule="exact"/>
        <w:ind w:firstLine="2876" w:firstLineChars="1364"/>
        <w:rPr>
          <w:rFonts w:cs="宋体"/>
          <w:b/>
          <w:szCs w:val="21"/>
        </w:rPr>
      </w:pPr>
      <w:r>
        <w:rPr>
          <w:rFonts w:hint="eastAsia" w:cs="宋体"/>
          <w:b/>
          <w:szCs w:val="21"/>
        </w:rPr>
        <w:t>法定代表人或其委托代理人：</w:t>
      </w:r>
      <w:r>
        <w:rPr>
          <w:rFonts w:hint="eastAsia" w:cs="宋体"/>
          <w:b/>
          <w:szCs w:val="21"/>
          <w:u w:val="single"/>
        </w:rPr>
        <w:t xml:space="preserve">            </w:t>
      </w:r>
      <w:r>
        <w:rPr>
          <w:rFonts w:hint="eastAsia" w:cs="宋体"/>
          <w:b/>
          <w:szCs w:val="21"/>
        </w:rPr>
        <w:t>（签字或盖章）</w:t>
      </w:r>
    </w:p>
    <w:p w14:paraId="3138A527">
      <w:pPr>
        <w:spacing w:line="440" w:lineRule="exact"/>
        <w:ind w:firstLine="2864" w:firstLineChars="1364"/>
        <w:rPr>
          <w:rFonts w:cs="宋体"/>
          <w:szCs w:val="21"/>
        </w:rPr>
      </w:pPr>
      <w:r>
        <w:rPr>
          <w:rFonts w:hint="eastAsia" w:cs="宋体"/>
          <w:szCs w:val="21"/>
        </w:rPr>
        <w:t>地址：</w:t>
      </w:r>
      <w:r>
        <w:rPr>
          <w:rFonts w:hint="eastAsia" w:cs="宋体"/>
          <w:szCs w:val="21"/>
          <w:u w:val="single"/>
        </w:rPr>
        <w:t xml:space="preserve">                                     </w:t>
      </w:r>
    </w:p>
    <w:p w14:paraId="23ACDBA1">
      <w:pPr>
        <w:spacing w:line="440" w:lineRule="exact"/>
        <w:ind w:firstLine="2864" w:firstLineChars="1364"/>
        <w:rPr>
          <w:rFonts w:cs="宋体"/>
          <w:szCs w:val="21"/>
        </w:rPr>
      </w:pPr>
      <w:r>
        <w:rPr>
          <w:rFonts w:hint="eastAsia" w:cs="宋体"/>
          <w:szCs w:val="21"/>
        </w:rPr>
        <w:t>网址：</w:t>
      </w:r>
      <w:r>
        <w:rPr>
          <w:rFonts w:hint="eastAsia" w:cs="宋体"/>
          <w:szCs w:val="21"/>
          <w:u w:val="single"/>
        </w:rPr>
        <w:t xml:space="preserve">                                     </w:t>
      </w:r>
    </w:p>
    <w:p w14:paraId="77C33F37">
      <w:pPr>
        <w:spacing w:line="440" w:lineRule="exact"/>
        <w:ind w:firstLine="2864" w:firstLineChars="1364"/>
        <w:rPr>
          <w:rFonts w:cs="宋体"/>
          <w:szCs w:val="21"/>
        </w:rPr>
      </w:pPr>
      <w:r>
        <w:rPr>
          <w:rFonts w:hint="eastAsia" w:cs="宋体"/>
          <w:szCs w:val="21"/>
        </w:rPr>
        <w:t>电话：</w:t>
      </w:r>
      <w:r>
        <w:rPr>
          <w:rFonts w:hint="eastAsia" w:cs="宋体"/>
          <w:szCs w:val="21"/>
          <w:u w:val="single"/>
        </w:rPr>
        <w:t xml:space="preserve">                                     </w:t>
      </w:r>
    </w:p>
    <w:p w14:paraId="25CDEBFA">
      <w:pPr>
        <w:spacing w:line="440" w:lineRule="exact"/>
        <w:ind w:firstLine="2864" w:firstLineChars="1364"/>
        <w:rPr>
          <w:rFonts w:cs="宋体"/>
          <w:szCs w:val="21"/>
        </w:rPr>
      </w:pPr>
      <w:r>
        <w:rPr>
          <w:rFonts w:hint="eastAsia" w:cs="宋体"/>
          <w:szCs w:val="21"/>
        </w:rPr>
        <w:t>传真：</w:t>
      </w:r>
      <w:r>
        <w:rPr>
          <w:rFonts w:hint="eastAsia" w:cs="宋体"/>
          <w:szCs w:val="21"/>
          <w:u w:val="single"/>
        </w:rPr>
        <w:t xml:space="preserve">                                     </w:t>
      </w:r>
    </w:p>
    <w:p w14:paraId="71C1B211">
      <w:pPr>
        <w:spacing w:line="440" w:lineRule="exact"/>
        <w:ind w:firstLine="2864" w:firstLineChars="1364"/>
        <w:rPr>
          <w:rFonts w:cs="宋体"/>
          <w:szCs w:val="21"/>
        </w:rPr>
      </w:pPr>
      <w:r>
        <w:rPr>
          <w:rFonts w:hint="eastAsia" w:cs="宋体"/>
          <w:szCs w:val="21"/>
        </w:rPr>
        <w:t>邮政编码：</w:t>
      </w:r>
      <w:r>
        <w:rPr>
          <w:rFonts w:hint="eastAsia" w:cs="宋体"/>
          <w:szCs w:val="21"/>
          <w:u w:val="single"/>
        </w:rPr>
        <w:t xml:space="preserve">                                 </w:t>
      </w:r>
    </w:p>
    <w:p w14:paraId="6037A06B">
      <w:pPr>
        <w:spacing w:line="440" w:lineRule="exact"/>
        <w:ind w:firstLine="3675" w:firstLineChars="1750"/>
        <w:rPr>
          <w:rFonts w:cs="宋体"/>
          <w:szCs w:val="21"/>
        </w:rPr>
      </w:pPr>
      <w:r>
        <w:rPr>
          <w:rFonts w:hint="eastAsia" w:cs="宋体"/>
          <w:szCs w:val="21"/>
          <w:u w:val="single"/>
        </w:rPr>
        <w:t xml:space="preserve">        </w:t>
      </w:r>
      <w:r>
        <w:rPr>
          <w:rFonts w:hint="eastAsia" w:cs="宋体"/>
          <w:szCs w:val="21"/>
        </w:rPr>
        <w:t>年</w:t>
      </w:r>
      <w:r>
        <w:rPr>
          <w:rFonts w:hint="eastAsia" w:cs="宋体"/>
          <w:szCs w:val="21"/>
          <w:u w:val="single"/>
        </w:rPr>
        <w:t xml:space="preserve">        </w:t>
      </w:r>
      <w:r>
        <w:rPr>
          <w:rFonts w:hint="eastAsia" w:cs="宋体"/>
          <w:szCs w:val="21"/>
        </w:rPr>
        <w:t>月</w:t>
      </w:r>
      <w:r>
        <w:rPr>
          <w:rFonts w:hint="eastAsia" w:cs="宋体"/>
          <w:szCs w:val="21"/>
          <w:u w:val="single"/>
        </w:rPr>
        <w:t xml:space="preserve">        </w:t>
      </w:r>
      <w:r>
        <w:rPr>
          <w:rFonts w:hint="eastAsia" w:cs="宋体"/>
          <w:szCs w:val="21"/>
        </w:rPr>
        <w:t>日</w:t>
      </w:r>
    </w:p>
    <w:p w14:paraId="300FAC1D">
      <w:pPr>
        <w:rPr>
          <w:rFonts w:cs="宋体"/>
        </w:rPr>
      </w:pPr>
    </w:p>
    <w:p w14:paraId="52B42F6C">
      <w:pPr>
        <w:rPr>
          <w:rFonts w:cs="宋体"/>
        </w:rPr>
      </w:pPr>
    </w:p>
    <w:p w14:paraId="30E32CD4">
      <w:pPr>
        <w:rPr>
          <w:rFonts w:cs="宋体"/>
        </w:rPr>
      </w:pPr>
    </w:p>
    <w:p w14:paraId="73A53407">
      <w:pPr>
        <w:rPr>
          <w:rFonts w:cs="宋体"/>
        </w:rPr>
      </w:pPr>
    </w:p>
    <w:p w14:paraId="4312D68F">
      <w:pPr>
        <w:widowControl/>
        <w:snapToGrid w:val="0"/>
        <w:spacing w:line="360" w:lineRule="auto"/>
        <w:jc w:val="center"/>
        <w:rPr>
          <w:rFonts w:cs="宋体"/>
          <w:sz w:val="28"/>
          <w:szCs w:val="28"/>
        </w:rPr>
      </w:pPr>
      <w:r>
        <w:rPr>
          <w:rFonts w:hint="eastAsia" w:cs="宋体"/>
        </w:rPr>
        <w:br w:type="page"/>
      </w:r>
      <w:r>
        <w:rPr>
          <w:rFonts w:hint="eastAsia" w:cs="宋体"/>
          <w:sz w:val="28"/>
          <w:szCs w:val="28"/>
        </w:rPr>
        <w:t>2、法定代表人身份证明</w:t>
      </w:r>
    </w:p>
    <w:p w14:paraId="11524293">
      <w:pPr>
        <w:spacing w:line="440" w:lineRule="exact"/>
        <w:rPr>
          <w:rFonts w:cs="宋体"/>
          <w:sz w:val="20"/>
        </w:rPr>
      </w:pPr>
    </w:p>
    <w:p w14:paraId="33C4AD98">
      <w:pPr>
        <w:spacing w:line="440" w:lineRule="exact"/>
        <w:rPr>
          <w:rFonts w:cs="宋体"/>
          <w:szCs w:val="21"/>
        </w:rPr>
      </w:pPr>
    </w:p>
    <w:p w14:paraId="66F42C28">
      <w:pPr>
        <w:spacing w:line="440" w:lineRule="exact"/>
        <w:rPr>
          <w:rFonts w:cs="宋体"/>
          <w:szCs w:val="21"/>
        </w:rPr>
      </w:pPr>
      <w:r>
        <w:rPr>
          <w:rFonts w:hint="eastAsia" w:cs="宋体"/>
          <w:szCs w:val="21"/>
        </w:rPr>
        <w:t>投标人名称：</w:t>
      </w:r>
      <w:r>
        <w:rPr>
          <w:rFonts w:hint="eastAsia" w:cs="宋体"/>
          <w:szCs w:val="21"/>
          <w:u w:val="single"/>
        </w:rPr>
        <w:t xml:space="preserve">                            </w:t>
      </w:r>
      <w:r>
        <w:rPr>
          <w:rFonts w:hint="eastAsia" w:cs="宋体"/>
          <w:szCs w:val="21"/>
        </w:rPr>
        <w:t xml:space="preserve"> </w:t>
      </w:r>
    </w:p>
    <w:p w14:paraId="327FEBAF">
      <w:pPr>
        <w:spacing w:line="440" w:lineRule="exact"/>
        <w:rPr>
          <w:rFonts w:cs="宋体"/>
          <w:szCs w:val="21"/>
        </w:rPr>
      </w:pPr>
      <w:r>
        <w:rPr>
          <w:rFonts w:hint="eastAsia" w:cs="宋体"/>
          <w:szCs w:val="21"/>
        </w:rPr>
        <w:t>单位性质：</w:t>
      </w:r>
      <w:r>
        <w:rPr>
          <w:rFonts w:hint="eastAsia" w:cs="宋体"/>
          <w:szCs w:val="21"/>
          <w:u w:val="single"/>
        </w:rPr>
        <w:t xml:space="preserve">                               </w:t>
      </w:r>
      <w:r>
        <w:rPr>
          <w:rFonts w:hint="eastAsia" w:cs="宋体"/>
          <w:szCs w:val="21"/>
        </w:rPr>
        <w:t xml:space="preserve"> </w:t>
      </w:r>
    </w:p>
    <w:p w14:paraId="60C38F19">
      <w:pPr>
        <w:spacing w:line="440" w:lineRule="exact"/>
        <w:rPr>
          <w:rFonts w:cs="宋体"/>
          <w:szCs w:val="21"/>
        </w:rPr>
      </w:pPr>
      <w:r>
        <w:rPr>
          <w:rFonts w:hint="eastAsia" w:cs="宋体"/>
          <w:szCs w:val="21"/>
        </w:rPr>
        <w:t>地址：</w:t>
      </w:r>
      <w:r>
        <w:rPr>
          <w:rFonts w:hint="eastAsia" w:cs="宋体"/>
          <w:szCs w:val="21"/>
          <w:u w:val="single"/>
        </w:rPr>
        <w:t xml:space="preserve">                                   </w:t>
      </w:r>
    </w:p>
    <w:p w14:paraId="7A77CC21">
      <w:pPr>
        <w:spacing w:line="440" w:lineRule="exact"/>
        <w:rPr>
          <w:rFonts w:cs="宋体"/>
          <w:szCs w:val="21"/>
        </w:rPr>
      </w:pPr>
      <w:r>
        <w:rPr>
          <w:rFonts w:hint="eastAsia" w:cs="宋体"/>
          <w:szCs w:val="21"/>
        </w:rPr>
        <w:t>成立时间：</w:t>
      </w:r>
      <w:r>
        <w:rPr>
          <w:rFonts w:hint="eastAsia" w:cs="宋体"/>
          <w:szCs w:val="21"/>
          <w:u w:val="single"/>
        </w:rPr>
        <w:t xml:space="preserve">         </w:t>
      </w:r>
      <w:r>
        <w:rPr>
          <w:rFonts w:hint="eastAsia" w:cs="宋体"/>
          <w:szCs w:val="21"/>
        </w:rPr>
        <w:t xml:space="preserve"> 年</w:t>
      </w:r>
      <w:r>
        <w:rPr>
          <w:rFonts w:hint="eastAsia" w:cs="宋体"/>
          <w:szCs w:val="21"/>
          <w:u w:val="single"/>
        </w:rPr>
        <w:t xml:space="preserve">       </w:t>
      </w:r>
      <w:r>
        <w:rPr>
          <w:rFonts w:hint="eastAsia" w:cs="宋体"/>
          <w:szCs w:val="21"/>
        </w:rPr>
        <w:t xml:space="preserve"> 月</w:t>
      </w:r>
      <w:r>
        <w:rPr>
          <w:rFonts w:hint="eastAsia" w:cs="宋体"/>
          <w:szCs w:val="21"/>
          <w:u w:val="single"/>
        </w:rPr>
        <w:t xml:space="preserve">       </w:t>
      </w:r>
      <w:r>
        <w:rPr>
          <w:rFonts w:hint="eastAsia" w:cs="宋体"/>
          <w:szCs w:val="21"/>
        </w:rPr>
        <w:t xml:space="preserve"> 日</w:t>
      </w:r>
    </w:p>
    <w:p w14:paraId="4E392ABA">
      <w:pPr>
        <w:spacing w:line="440" w:lineRule="exact"/>
        <w:rPr>
          <w:rFonts w:cs="宋体"/>
          <w:szCs w:val="21"/>
        </w:rPr>
      </w:pPr>
      <w:r>
        <w:rPr>
          <w:rFonts w:hint="eastAsia" w:cs="宋体"/>
          <w:szCs w:val="21"/>
        </w:rPr>
        <w:t>经营期限：</w:t>
      </w:r>
      <w:r>
        <w:rPr>
          <w:rFonts w:hint="eastAsia" w:cs="宋体"/>
          <w:szCs w:val="21"/>
          <w:u w:val="single"/>
        </w:rPr>
        <w:t xml:space="preserve">                               </w:t>
      </w:r>
    </w:p>
    <w:p w14:paraId="3F308916">
      <w:pPr>
        <w:spacing w:line="440" w:lineRule="exact"/>
        <w:rPr>
          <w:rFonts w:cs="宋体"/>
          <w:szCs w:val="21"/>
        </w:rPr>
      </w:pPr>
      <w:r>
        <w:rPr>
          <w:rFonts w:hint="eastAsia" w:cs="宋体"/>
          <w:szCs w:val="21"/>
        </w:rPr>
        <w:t>姓名：</w:t>
      </w:r>
      <w:r>
        <w:rPr>
          <w:rFonts w:hint="eastAsia" w:cs="宋体"/>
          <w:szCs w:val="21"/>
          <w:u w:val="single"/>
        </w:rPr>
        <w:t xml:space="preserve">        </w:t>
      </w:r>
      <w:r>
        <w:rPr>
          <w:rFonts w:hint="eastAsia" w:cs="宋体"/>
          <w:szCs w:val="21"/>
        </w:rPr>
        <w:t xml:space="preserve"> 性别：</w:t>
      </w:r>
      <w:r>
        <w:rPr>
          <w:rFonts w:hint="eastAsia" w:cs="宋体"/>
          <w:szCs w:val="21"/>
          <w:u w:val="single"/>
        </w:rPr>
        <w:t xml:space="preserve">         </w:t>
      </w:r>
      <w:r>
        <w:rPr>
          <w:rFonts w:hint="eastAsia" w:cs="宋体"/>
          <w:szCs w:val="21"/>
        </w:rPr>
        <w:t xml:space="preserve"> 年龄：</w:t>
      </w:r>
      <w:r>
        <w:rPr>
          <w:rFonts w:hint="eastAsia" w:cs="宋体"/>
          <w:szCs w:val="21"/>
          <w:u w:val="single"/>
        </w:rPr>
        <w:t xml:space="preserve">        </w:t>
      </w:r>
      <w:r>
        <w:rPr>
          <w:rFonts w:hint="eastAsia" w:cs="宋体"/>
          <w:szCs w:val="21"/>
        </w:rPr>
        <w:t>职务：</w:t>
      </w:r>
      <w:r>
        <w:rPr>
          <w:rFonts w:hint="eastAsia" w:cs="宋体"/>
          <w:szCs w:val="21"/>
          <w:u w:val="single"/>
        </w:rPr>
        <w:t xml:space="preserve">        </w:t>
      </w:r>
    </w:p>
    <w:p w14:paraId="230EDFBF">
      <w:pPr>
        <w:spacing w:line="440" w:lineRule="exact"/>
        <w:rPr>
          <w:rFonts w:cs="宋体"/>
          <w:szCs w:val="21"/>
        </w:rPr>
      </w:pPr>
      <w:r>
        <w:rPr>
          <w:rFonts w:hint="eastAsia" w:cs="宋体"/>
          <w:szCs w:val="21"/>
        </w:rPr>
        <w:t>系</w:t>
      </w:r>
      <w:r>
        <w:rPr>
          <w:rFonts w:hint="eastAsia" w:cs="宋体"/>
          <w:szCs w:val="21"/>
          <w:u w:val="single"/>
        </w:rPr>
        <w:t xml:space="preserve">                             </w:t>
      </w:r>
      <w:r>
        <w:rPr>
          <w:rFonts w:hint="eastAsia" w:cs="宋体"/>
          <w:szCs w:val="21"/>
        </w:rPr>
        <w:t xml:space="preserve"> （投标人名称）的法定代表人。</w:t>
      </w:r>
    </w:p>
    <w:p w14:paraId="39FEAEF5">
      <w:pPr>
        <w:spacing w:line="440" w:lineRule="exact"/>
        <w:ind w:firstLine="420" w:firstLineChars="200"/>
        <w:rPr>
          <w:rFonts w:cs="宋体"/>
          <w:szCs w:val="21"/>
        </w:rPr>
      </w:pPr>
      <w:r>
        <w:rPr>
          <w:rFonts w:hint="eastAsia" w:cs="宋体"/>
          <w:szCs w:val="21"/>
        </w:rPr>
        <w:t>特此证明。</w:t>
      </w:r>
    </w:p>
    <w:p w14:paraId="534A9DF1">
      <w:pPr>
        <w:textAlignment w:val="center"/>
        <w:rPr>
          <w:rFonts w:cs="宋体"/>
        </w:rPr>
      </w:pPr>
    </w:p>
    <w:p w14:paraId="769B61CA">
      <w:pPr>
        <w:textAlignment w:val="center"/>
        <w:rPr>
          <w:rFonts w:cs="宋体"/>
        </w:rPr>
      </w:pPr>
    </w:p>
    <w:p w14:paraId="3F9F84D8">
      <w:pPr>
        <w:textAlignment w:val="center"/>
        <w:rPr>
          <w:rFonts w:cs="宋体"/>
        </w:rPr>
      </w:pPr>
      <w:r>
        <w:rPr>
          <w:rFonts w:hint="eastAsia" w:cs="宋体"/>
        </w:rPr>
        <w:t>附法定代表人身份证扫描件：</w:t>
      </w:r>
    </w:p>
    <w:p w14:paraId="4DA6582C">
      <w:pPr>
        <w:spacing w:line="440" w:lineRule="exact"/>
        <w:rPr>
          <w:rFonts w:cs="宋体"/>
          <w:szCs w:val="21"/>
        </w:rPr>
      </w:pPr>
    </w:p>
    <w:p w14:paraId="7706A458">
      <w:pPr>
        <w:spacing w:line="440" w:lineRule="exact"/>
        <w:rPr>
          <w:rFonts w:cs="宋体"/>
          <w:szCs w:val="21"/>
        </w:rPr>
      </w:pPr>
    </w:p>
    <w:p w14:paraId="69B57010">
      <w:pPr>
        <w:spacing w:line="440" w:lineRule="exact"/>
        <w:rPr>
          <w:rFonts w:cs="宋体"/>
          <w:szCs w:val="21"/>
        </w:rPr>
      </w:pPr>
    </w:p>
    <w:p w14:paraId="63274F86">
      <w:pPr>
        <w:spacing w:line="440" w:lineRule="exact"/>
        <w:rPr>
          <w:rFonts w:cs="宋体"/>
          <w:szCs w:val="21"/>
        </w:rPr>
      </w:pPr>
      <w:r>
        <w:rPr>
          <w:rFonts w:hint="eastAsia" w:cs="宋体"/>
          <w:szCs w:val="21"/>
        </w:rPr>
        <w:t xml:space="preserve">                          投标人：</w:t>
      </w:r>
      <w:r>
        <w:rPr>
          <w:rFonts w:hint="eastAsia" w:cs="宋体"/>
          <w:szCs w:val="21"/>
          <w:u w:val="single"/>
        </w:rPr>
        <w:t xml:space="preserve">                 </w:t>
      </w:r>
      <w:r>
        <w:rPr>
          <w:rFonts w:hint="eastAsia" w:cs="宋体"/>
          <w:szCs w:val="21"/>
        </w:rPr>
        <w:t>（盖单位章）</w:t>
      </w:r>
    </w:p>
    <w:p w14:paraId="6A5C12AD">
      <w:pPr>
        <w:spacing w:line="440" w:lineRule="exact"/>
        <w:rPr>
          <w:rFonts w:cs="宋体"/>
          <w:szCs w:val="21"/>
        </w:rPr>
      </w:pPr>
      <w:r>
        <w:rPr>
          <w:rFonts w:hint="eastAsia" w:cs="宋体"/>
          <w:szCs w:val="21"/>
        </w:rPr>
        <w:t xml:space="preserve">                                   </w:t>
      </w:r>
      <w:r>
        <w:rPr>
          <w:rFonts w:hint="eastAsia" w:cs="宋体"/>
          <w:szCs w:val="21"/>
          <w:u w:val="single"/>
        </w:rPr>
        <w:t xml:space="preserve">       </w:t>
      </w:r>
      <w:r>
        <w:rPr>
          <w:rFonts w:hint="eastAsia" w:cs="宋体"/>
          <w:szCs w:val="21"/>
        </w:rPr>
        <w:t>年</w:t>
      </w:r>
      <w:r>
        <w:rPr>
          <w:rFonts w:hint="eastAsia" w:cs="宋体"/>
          <w:szCs w:val="21"/>
          <w:u w:val="single"/>
        </w:rPr>
        <w:t xml:space="preserve">       </w:t>
      </w:r>
      <w:r>
        <w:rPr>
          <w:rFonts w:hint="eastAsia" w:cs="宋体"/>
          <w:szCs w:val="21"/>
        </w:rPr>
        <w:t>月</w:t>
      </w:r>
      <w:r>
        <w:rPr>
          <w:rFonts w:hint="eastAsia" w:cs="宋体"/>
          <w:szCs w:val="21"/>
          <w:u w:val="single"/>
        </w:rPr>
        <w:t xml:space="preserve">       </w:t>
      </w:r>
      <w:r>
        <w:rPr>
          <w:rFonts w:hint="eastAsia" w:cs="宋体"/>
          <w:szCs w:val="21"/>
        </w:rPr>
        <w:t xml:space="preserve">日           </w:t>
      </w:r>
    </w:p>
    <w:p w14:paraId="1FBB4FE2">
      <w:pPr>
        <w:rPr>
          <w:rFonts w:cs="宋体"/>
        </w:rPr>
      </w:pPr>
    </w:p>
    <w:p w14:paraId="0765CB08">
      <w:pPr>
        <w:rPr>
          <w:rFonts w:cs="宋体"/>
        </w:rPr>
      </w:pPr>
    </w:p>
    <w:p w14:paraId="7634D4A3">
      <w:pPr>
        <w:rPr>
          <w:rFonts w:cs="宋体"/>
        </w:rPr>
      </w:pPr>
    </w:p>
    <w:p w14:paraId="49054041">
      <w:pPr>
        <w:rPr>
          <w:rFonts w:cs="宋体"/>
        </w:rPr>
      </w:pPr>
    </w:p>
    <w:p w14:paraId="6A7D099B">
      <w:pPr>
        <w:rPr>
          <w:rFonts w:cs="宋体"/>
        </w:rPr>
      </w:pPr>
    </w:p>
    <w:p w14:paraId="6E59D28D">
      <w:pPr>
        <w:rPr>
          <w:rFonts w:cs="宋体"/>
        </w:rPr>
      </w:pPr>
    </w:p>
    <w:p w14:paraId="63B7CE76">
      <w:pPr>
        <w:rPr>
          <w:rFonts w:cs="宋体"/>
        </w:rPr>
      </w:pPr>
    </w:p>
    <w:p w14:paraId="7600EB8F">
      <w:pPr>
        <w:rPr>
          <w:rFonts w:cs="宋体"/>
        </w:rPr>
      </w:pPr>
    </w:p>
    <w:p w14:paraId="75537384">
      <w:pPr>
        <w:rPr>
          <w:rFonts w:cs="宋体"/>
        </w:rPr>
      </w:pPr>
    </w:p>
    <w:p w14:paraId="6838D976">
      <w:pPr>
        <w:rPr>
          <w:rFonts w:cs="宋体"/>
        </w:rPr>
      </w:pPr>
    </w:p>
    <w:p w14:paraId="2ACB24FF">
      <w:pPr>
        <w:rPr>
          <w:rFonts w:cs="宋体"/>
        </w:rPr>
      </w:pPr>
    </w:p>
    <w:p w14:paraId="475CE2D1">
      <w:pPr>
        <w:rPr>
          <w:rFonts w:cs="宋体"/>
        </w:rPr>
      </w:pPr>
    </w:p>
    <w:p w14:paraId="49EBCD08">
      <w:pPr>
        <w:rPr>
          <w:rFonts w:cs="宋体"/>
        </w:rPr>
      </w:pPr>
    </w:p>
    <w:p w14:paraId="137835C4">
      <w:pPr>
        <w:rPr>
          <w:rFonts w:cs="宋体"/>
        </w:rPr>
      </w:pPr>
    </w:p>
    <w:p w14:paraId="1F6CFC1C">
      <w:pPr>
        <w:rPr>
          <w:rFonts w:cs="宋体"/>
        </w:rPr>
      </w:pPr>
    </w:p>
    <w:p w14:paraId="0B8635C3">
      <w:pPr>
        <w:rPr>
          <w:rFonts w:cs="宋体"/>
        </w:rPr>
      </w:pPr>
      <w:r>
        <w:rPr>
          <w:rFonts w:hint="eastAsia" w:cs="宋体"/>
        </w:rPr>
        <w:br w:type="page"/>
      </w:r>
    </w:p>
    <w:p w14:paraId="4B38B620">
      <w:pPr>
        <w:widowControl/>
        <w:snapToGrid w:val="0"/>
        <w:spacing w:line="360" w:lineRule="auto"/>
        <w:jc w:val="center"/>
        <w:rPr>
          <w:rFonts w:cs="宋体"/>
          <w:b/>
          <w:sz w:val="30"/>
          <w:szCs w:val="30"/>
        </w:rPr>
      </w:pPr>
      <w:r>
        <w:rPr>
          <w:rFonts w:hint="eastAsia" w:cs="宋体"/>
          <w:sz w:val="28"/>
          <w:szCs w:val="28"/>
        </w:rPr>
        <w:t>授权委托书</w:t>
      </w:r>
    </w:p>
    <w:p w14:paraId="4C437F70">
      <w:pPr>
        <w:topLinePunct/>
        <w:spacing w:line="440" w:lineRule="exact"/>
        <w:ind w:firstLine="420" w:firstLineChars="200"/>
        <w:rPr>
          <w:rFonts w:cs="宋体"/>
          <w:szCs w:val="21"/>
        </w:rPr>
      </w:pPr>
    </w:p>
    <w:p w14:paraId="754FE97C">
      <w:pPr>
        <w:topLinePunct/>
        <w:spacing w:line="440" w:lineRule="exact"/>
        <w:ind w:firstLine="420" w:firstLineChars="200"/>
        <w:rPr>
          <w:rFonts w:cs="宋体"/>
          <w:szCs w:val="21"/>
        </w:rPr>
      </w:pPr>
      <w:r>
        <w:rPr>
          <w:rFonts w:hint="eastAsia" w:cs="宋体"/>
          <w:szCs w:val="21"/>
        </w:rPr>
        <w:t>本人</w:t>
      </w:r>
      <w:r>
        <w:rPr>
          <w:rFonts w:hint="eastAsia" w:cs="宋体"/>
          <w:szCs w:val="21"/>
          <w:u w:val="single"/>
        </w:rPr>
        <w:t xml:space="preserve">          </w:t>
      </w:r>
      <w:r>
        <w:rPr>
          <w:rFonts w:hint="eastAsia" w:cs="宋体"/>
          <w:szCs w:val="21"/>
        </w:rPr>
        <w:t>（姓名）系</w:t>
      </w:r>
      <w:r>
        <w:rPr>
          <w:rFonts w:hint="eastAsia" w:cs="宋体"/>
          <w:szCs w:val="21"/>
          <w:u w:val="single"/>
        </w:rPr>
        <w:t xml:space="preserve">                         </w:t>
      </w:r>
      <w:r>
        <w:rPr>
          <w:rFonts w:hint="eastAsia" w:cs="宋体"/>
          <w:szCs w:val="21"/>
        </w:rPr>
        <w:t>（投标人名称）的法定代表人，现委托</w:t>
      </w:r>
      <w:r>
        <w:rPr>
          <w:rFonts w:hint="eastAsia" w:cs="宋体"/>
          <w:szCs w:val="21"/>
          <w:u w:val="single"/>
        </w:rPr>
        <w:t xml:space="preserve">        </w:t>
      </w:r>
      <w:r>
        <w:rPr>
          <w:rFonts w:hint="eastAsia" w:cs="宋体"/>
          <w:szCs w:val="21"/>
        </w:rPr>
        <w:t>（姓名）为我方代理人。代理人根据授权，以我方名义签署、澄清、说明、补正、递交、撤回、修改</w:t>
      </w:r>
      <w:r>
        <w:rPr>
          <w:rFonts w:hint="eastAsia" w:cs="宋体"/>
          <w:szCs w:val="21"/>
          <w:u w:val="single"/>
        </w:rPr>
        <w:t xml:space="preserve">           </w:t>
      </w:r>
      <w:r>
        <w:rPr>
          <w:rFonts w:hint="eastAsia" w:cs="宋体"/>
          <w:szCs w:val="21"/>
        </w:rPr>
        <w:t>（项目名称）施工投标文件、签订合同和处理有关事宜，其法律后果由我方承担。</w:t>
      </w:r>
    </w:p>
    <w:p w14:paraId="7F9F0EAD">
      <w:pPr>
        <w:spacing w:line="440" w:lineRule="exact"/>
        <w:rPr>
          <w:rFonts w:cs="宋体"/>
          <w:szCs w:val="21"/>
        </w:rPr>
      </w:pPr>
      <w:r>
        <w:rPr>
          <w:rFonts w:hint="eastAsia" w:cs="宋体"/>
          <w:szCs w:val="21"/>
        </w:rPr>
        <w:t xml:space="preserve">    委托期限：</w:t>
      </w:r>
      <w:r>
        <w:rPr>
          <w:rFonts w:hint="eastAsia" w:cs="宋体"/>
          <w:szCs w:val="21"/>
          <w:u w:val="single"/>
        </w:rPr>
        <w:t xml:space="preserve">             </w:t>
      </w:r>
      <w:r>
        <w:rPr>
          <w:rFonts w:hint="eastAsia" w:cs="宋体"/>
          <w:szCs w:val="21"/>
        </w:rPr>
        <w:t>。</w:t>
      </w:r>
    </w:p>
    <w:p w14:paraId="1F0D75D6">
      <w:pPr>
        <w:spacing w:line="440" w:lineRule="exact"/>
        <w:ind w:firstLine="420" w:firstLineChars="200"/>
        <w:rPr>
          <w:rFonts w:cs="宋体"/>
          <w:szCs w:val="21"/>
        </w:rPr>
      </w:pPr>
      <w:r>
        <w:rPr>
          <w:rFonts w:hint="eastAsia" w:cs="宋体"/>
          <w:szCs w:val="21"/>
        </w:rPr>
        <w:t>代理人无转委托权。</w:t>
      </w:r>
    </w:p>
    <w:p w14:paraId="28EB60AD">
      <w:pPr>
        <w:spacing w:line="440" w:lineRule="exact"/>
        <w:rPr>
          <w:rFonts w:cs="宋体"/>
          <w:szCs w:val="21"/>
        </w:rPr>
      </w:pPr>
    </w:p>
    <w:p w14:paraId="55011F60">
      <w:pPr>
        <w:spacing w:line="440" w:lineRule="exact"/>
        <w:rPr>
          <w:rFonts w:cs="宋体"/>
          <w:szCs w:val="21"/>
        </w:rPr>
      </w:pPr>
    </w:p>
    <w:p w14:paraId="2C8A0C30">
      <w:pPr>
        <w:tabs>
          <w:tab w:val="left" w:pos="1985"/>
        </w:tabs>
        <w:spacing w:line="440" w:lineRule="exact"/>
        <w:ind w:firstLine="2490" w:firstLineChars="1181"/>
        <w:jc w:val="left"/>
        <w:rPr>
          <w:rFonts w:cs="宋体"/>
          <w:b/>
          <w:szCs w:val="21"/>
        </w:rPr>
      </w:pPr>
      <w:r>
        <w:rPr>
          <w:rFonts w:hint="eastAsia" w:cs="宋体"/>
          <w:b/>
          <w:szCs w:val="21"/>
        </w:rPr>
        <w:t>投标人：</w:t>
      </w:r>
      <w:r>
        <w:rPr>
          <w:rFonts w:hint="eastAsia" w:cs="宋体"/>
          <w:b/>
          <w:szCs w:val="21"/>
          <w:u w:val="single"/>
        </w:rPr>
        <w:t xml:space="preserve">                               </w:t>
      </w:r>
      <w:r>
        <w:rPr>
          <w:rFonts w:hint="eastAsia" w:cs="宋体"/>
          <w:b/>
          <w:szCs w:val="21"/>
        </w:rPr>
        <w:t>（盖单位章）</w:t>
      </w:r>
    </w:p>
    <w:p w14:paraId="49618AF7">
      <w:pPr>
        <w:tabs>
          <w:tab w:val="left" w:pos="1985"/>
        </w:tabs>
        <w:spacing w:line="440" w:lineRule="exact"/>
        <w:ind w:firstLine="2490" w:firstLineChars="1181"/>
        <w:jc w:val="left"/>
        <w:rPr>
          <w:rFonts w:cs="宋体"/>
          <w:b/>
          <w:szCs w:val="21"/>
        </w:rPr>
      </w:pPr>
      <w:r>
        <w:rPr>
          <w:rFonts w:hint="eastAsia" w:cs="宋体"/>
          <w:b/>
          <w:szCs w:val="21"/>
        </w:rPr>
        <w:t>法定代表人：</w:t>
      </w:r>
      <w:r>
        <w:rPr>
          <w:rFonts w:hint="eastAsia" w:cs="宋体"/>
          <w:b/>
          <w:szCs w:val="21"/>
          <w:u w:val="single"/>
        </w:rPr>
        <w:t xml:space="preserve">                               </w:t>
      </w:r>
      <w:r>
        <w:rPr>
          <w:rFonts w:hint="eastAsia" w:cs="宋体"/>
          <w:b/>
          <w:szCs w:val="21"/>
        </w:rPr>
        <w:t>（签字或盖章）</w:t>
      </w:r>
    </w:p>
    <w:p w14:paraId="5264CA40">
      <w:pPr>
        <w:tabs>
          <w:tab w:val="left" w:pos="1985"/>
        </w:tabs>
        <w:spacing w:line="440" w:lineRule="exact"/>
        <w:ind w:right="420" w:firstLine="2480" w:firstLineChars="1181"/>
        <w:jc w:val="left"/>
        <w:rPr>
          <w:rFonts w:cs="宋体"/>
          <w:szCs w:val="21"/>
        </w:rPr>
      </w:pPr>
      <w:r>
        <w:rPr>
          <w:rFonts w:hint="eastAsia" w:cs="宋体"/>
          <w:szCs w:val="21"/>
        </w:rPr>
        <w:t>身份证号码：</w:t>
      </w:r>
      <w:r>
        <w:rPr>
          <w:rFonts w:hint="eastAsia" w:cs="宋体"/>
          <w:szCs w:val="21"/>
          <w:u w:val="single"/>
        </w:rPr>
        <w:t xml:space="preserve">                                     </w:t>
      </w:r>
    </w:p>
    <w:p w14:paraId="03375B33">
      <w:pPr>
        <w:tabs>
          <w:tab w:val="left" w:pos="1985"/>
        </w:tabs>
        <w:wordWrap w:val="0"/>
        <w:spacing w:line="440" w:lineRule="exact"/>
        <w:ind w:firstLine="2490" w:firstLineChars="1181"/>
        <w:jc w:val="left"/>
        <w:rPr>
          <w:rFonts w:cs="宋体"/>
          <w:b/>
          <w:szCs w:val="21"/>
        </w:rPr>
      </w:pPr>
      <w:r>
        <w:rPr>
          <w:rFonts w:hint="eastAsia" w:cs="宋体"/>
          <w:b/>
          <w:szCs w:val="21"/>
        </w:rPr>
        <w:t>委托代理人：</w:t>
      </w:r>
      <w:r>
        <w:rPr>
          <w:rFonts w:hint="eastAsia" w:cs="宋体"/>
          <w:b/>
          <w:szCs w:val="21"/>
          <w:u w:val="single"/>
        </w:rPr>
        <w:t xml:space="preserve">                               </w:t>
      </w:r>
      <w:r>
        <w:rPr>
          <w:rFonts w:hint="eastAsia" w:cs="宋体"/>
          <w:b/>
          <w:szCs w:val="21"/>
        </w:rPr>
        <w:t xml:space="preserve">（签字或盖章） </w:t>
      </w:r>
    </w:p>
    <w:p w14:paraId="63174845">
      <w:pPr>
        <w:tabs>
          <w:tab w:val="left" w:pos="1985"/>
        </w:tabs>
        <w:spacing w:line="440" w:lineRule="exact"/>
        <w:ind w:right="420" w:firstLine="2480" w:firstLineChars="1181"/>
        <w:jc w:val="left"/>
        <w:rPr>
          <w:rFonts w:cs="宋体"/>
          <w:szCs w:val="21"/>
        </w:rPr>
      </w:pPr>
      <w:r>
        <w:rPr>
          <w:rFonts w:hint="eastAsia" w:cs="宋体"/>
          <w:szCs w:val="21"/>
        </w:rPr>
        <w:t>身份证号码：</w:t>
      </w:r>
      <w:r>
        <w:rPr>
          <w:rFonts w:hint="eastAsia" w:cs="宋体"/>
          <w:szCs w:val="21"/>
          <w:u w:val="single"/>
        </w:rPr>
        <w:t xml:space="preserve">                                      </w:t>
      </w:r>
    </w:p>
    <w:p w14:paraId="57C53BF3">
      <w:pPr>
        <w:tabs>
          <w:tab w:val="left" w:pos="1985"/>
        </w:tabs>
        <w:spacing w:line="440" w:lineRule="exact"/>
        <w:ind w:firstLine="2480" w:firstLineChars="1181"/>
        <w:jc w:val="left"/>
        <w:rPr>
          <w:rFonts w:cs="宋体"/>
          <w:szCs w:val="21"/>
        </w:rPr>
      </w:pPr>
    </w:p>
    <w:p w14:paraId="5CABE763">
      <w:pPr>
        <w:spacing w:line="440" w:lineRule="exact"/>
        <w:jc w:val="right"/>
        <w:rPr>
          <w:rFonts w:cs="宋体"/>
          <w:szCs w:val="21"/>
        </w:rPr>
      </w:pPr>
    </w:p>
    <w:p w14:paraId="2AC403D3">
      <w:pPr>
        <w:spacing w:line="440" w:lineRule="exact"/>
        <w:jc w:val="right"/>
        <w:rPr>
          <w:rFonts w:cs="宋体"/>
          <w:szCs w:val="21"/>
        </w:rPr>
      </w:pPr>
      <w:r>
        <w:rPr>
          <w:rFonts w:hint="eastAsia" w:cs="宋体"/>
          <w:szCs w:val="21"/>
          <w:u w:val="single"/>
        </w:rPr>
        <w:t xml:space="preserve">       </w:t>
      </w:r>
      <w:r>
        <w:rPr>
          <w:rFonts w:hint="eastAsia" w:cs="宋体"/>
          <w:szCs w:val="21"/>
        </w:rPr>
        <w:t>年</w:t>
      </w:r>
      <w:r>
        <w:rPr>
          <w:rFonts w:hint="eastAsia" w:cs="宋体"/>
          <w:szCs w:val="21"/>
          <w:u w:val="single"/>
        </w:rPr>
        <w:t xml:space="preserve">       </w:t>
      </w:r>
      <w:r>
        <w:rPr>
          <w:rFonts w:hint="eastAsia" w:cs="宋体"/>
          <w:szCs w:val="21"/>
        </w:rPr>
        <w:t>月</w:t>
      </w:r>
      <w:r>
        <w:rPr>
          <w:rFonts w:hint="eastAsia" w:cs="宋体"/>
          <w:szCs w:val="21"/>
          <w:u w:val="single"/>
        </w:rPr>
        <w:t xml:space="preserve">       </w:t>
      </w:r>
      <w:r>
        <w:rPr>
          <w:rFonts w:hint="eastAsia" w:cs="宋体"/>
          <w:szCs w:val="21"/>
        </w:rPr>
        <w:t>日</w:t>
      </w:r>
    </w:p>
    <w:p w14:paraId="12E4D572">
      <w:pPr>
        <w:spacing w:line="440" w:lineRule="exact"/>
        <w:jc w:val="left"/>
        <w:textAlignment w:val="center"/>
        <w:rPr>
          <w:rFonts w:cs="宋体"/>
          <w:szCs w:val="21"/>
        </w:rPr>
      </w:pPr>
      <w:r>
        <w:rPr>
          <w:rFonts w:hint="eastAsia" w:cs="宋体"/>
          <w:szCs w:val="21"/>
        </w:rPr>
        <w:t>附法定代表人身份证</w:t>
      </w:r>
      <w:bookmarkStart w:id="127" w:name="_Hlk189924450"/>
      <w:r>
        <w:rPr>
          <w:rFonts w:hint="eastAsia" w:cs="宋体"/>
          <w:szCs w:val="21"/>
        </w:rPr>
        <w:t>扫描</w:t>
      </w:r>
      <w:bookmarkEnd w:id="127"/>
      <w:r>
        <w:rPr>
          <w:rFonts w:hint="eastAsia" w:cs="宋体"/>
          <w:szCs w:val="21"/>
        </w:rPr>
        <w:t>件、委托代理人身份证扫描件：</w:t>
      </w:r>
    </w:p>
    <w:p w14:paraId="4067A00C">
      <w:pPr>
        <w:spacing w:line="440" w:lineRule="exact"/>
        <w:jc w:val="right"/>
        <w:rPr>
          <w:rFonts w:cs="宋体"/>
          <w:szCs w:val="21"/>
        </w:rPr>
      </w:pPr>
    </w:p>
    <w:p w14:paraId="02DFC52C">
      <w:pPr>
        <w:spacing w:line="440" w:lineRule="exact"/>
        <w:jc w:val="right"/>
        <w:rPr>
          <w:rFonts w:cs="宋体"/>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3"/>
      </w:tblGrid>
      <w:tr w14:paraId="678E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jc w:val="center"/>
        </w:trPr>
        <w:tc>
          <w:tcPr>
            <w:tcW w:w="7303" w:type="dxa"/>
            <w:vAlign w:val="center"/>
          </w:tcPr>
          <w:p w14:paraId="6A02AC3B">
            <w:pPr>
              <w:spacing w:line="380" w:lineRule="exact"/>
              <w:jc w:val="center"/>
              <w:rPr>
                <w:rFonts w:cs="宋体"/>
                <w:b/>
                <w:sz w:val="28"/>
                <w:szCs w:val="28"/>
              </w:rPr>
            </w:pPr>
            <w:r>
              <w:rPr>
                <w:rFonts w:hint="eastAsia" w:cs="宋体"/>
                <w:b/>
                <w:sz w:val="28"/>
                <w:szCs w:val="28"/>
              </w:rPr>
              <w:t>法定代表人/委托代理人身份证扫描件</w:t>
            </w:r>
          </w:p>
          <w:p w14:paraId="57E7F605">
            <w:pPr>
              <w:spacing w:line="380" w:lineRule="exact"/>
              <w:jc w:val="center"/>
              <w:rPr>
                <w:rFonts w:cs="宋体"/>
                <w:b/>
                <w:bCs/>
                <w:sz w:val="28"/>
              </w:rPr>
            </w:pPr>
          </w:p>
        </w:tc>
      </w:tr>
    </w:tbl>
    <w:p w14:paraId="3AA693E9">
      <w:pPr>
        <w:rPr>
          <w:rFonts w:cs="宋体"/>
        </w:rPr>
      </w:pPr>
    </w:p>
    <w:p w14:paraId="55676F9F">
      <w:pPr>
        <w:rPr>
          <w:rFonts w:cs="宋体"/>
        </w:rPr>
      </w:pPr>
    </w:p>
    <w:p w14:paraId="54CEBAD3">
      <w:pPr>
        <w:rPr>
          <w:rFonts w:cs="宋体"/>
        </w:rPr>
      </w:pPr>
    </w:p>
    <w:p w14:paraId="4BA71AEB">
      <w:pPr>
        <w:pStyle w:val="11"/>
        <w:ind w:firstLine="210"/>
        <w:rPr>
          <w:rFonts w:cs="宋体"/>
        </w:rPr>
      </w:pPr>
      <w:r>
        <w:rPr>
          <w:rFonts w:hint="eastAsia" w:cs="宋体"/>
        </w:rPr>
        <w:br w:type="page"/>
      </w:r>
    </w:p>
    <w:p w14:paraId="5486B673">
      <w:pPr>
        <w:rPr>
          <w:rFonts w:cs="宋体"/>
          <w:b/>
          <w:sz w:val="30"/>
          <w:szCs w:val="30"/>
        </w:rPr>
      </w:pPr>
      <w:r>
        <w:rPr>
          <w:rFonts w:hint="eastAsia" w:cs="宋体"/>
          <w:b/>
          <w:sz w:val="30"/>
          <w:szCs w:val="30"/>
        </w:rPr>
        <w:t>二、资格审查资料</w:t>
      </w:r>
    </w:p>
    <w:p w14:paraId="648C2D02">
      <w:pPr>
        <w:pStyle w:val="7"/>
        <w:jc w:val="center"/>
        <w:rPr>
          <w:rFonts w:ascii="宋体" w:hAnsi="宋体" w:eastAsia="宋体" w:cs="宋体"/>
        </w:rPr>
      </w:pPr>
      <w:r>
        <w:rPr>
          <w:rFonts w:hint="eastAsia" w:ascii="宋体" w:hAnsi="宋体" w:eastAsia="宋体" w:cs="宋体"/>
        </w:rPr>
        <w:t>（一）投标人基本情况表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1063"/>
        <w:gridCol w:w="1771"/>
        <w:gridCol w:w="707"/>
        <w:gridCol w:w="527"/>
        <w:gridCol w:w="1075"/>
        <w:gridCol w:w="172"/>
        <w:gridCol w:w="716"/>
        <w:gridCol w:w="1406"/>
      </w:tblGrid>
      <w:tr w14:paraId="1E52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948" w:type="dxa"/>
            <w:noWrap/>
          </w:tcPr>
          <w:p w14:paraId="54AF96E5">
            <w:pPr>
              <w:rPr>
                <w:rFonts w:cs="宋体"/>
              </w:rPr>
            </w:pPr>
            <w:r>
              <w:rPr>
                <w:rFonts w:hint="eastAsia" w:cs="宋体"/>
              </w:rPr>
              <w:t>投标人名称</w:t>
            </w:r>
          </w:p>
        </w:tc>
        <w:tc>
          <w:tcPr>
            <w:tcW w:w="7437" w:type="dxa"/>
            <w:gridSpan w:val="8"/>
            <w:noWrap/>
          </w:tcPr>
          <w:p w14:paraId="118CBE47">
            <w:pPr>
              <w:rPr>
                <w:rFonts w:cs="宋体"/>
              </w:rPr>
            </w:pPr>
          </w:p>
        </w:tc>
      </w:tr>
      <w:tr w14:paraId="5F1F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948" w:type="dxa"/>
            <w:noWrap/>
          </w:tcPr>
          <w:p w14:paraId="0FFB0110">
            <w:pPr>
              <w:rPr>
                <w:rFonts w:cs="宋体"/>
              </w:rPr>
            </w:pPr>
            <w:r>
              <w:rPr>
                <w:rFonts w:hint="eastAsia" w:cs="宋体"/>
              </w:rPr>
              <w:t>注册地址</w:t>
            </w:r>
          </w:p>
        </w:tc>
        <w:tc>
          <w:tcPr>
            <w:tcW w:w="4068" w:type="dxa"/>
            <w:gridSpan w:val="4"/>
            <w:noWrap/>
          </w:tcPr>
          <w:p w14:paraId="265C72D8">
            <w:pPr>
              <w:rPr>
                <w:rFonts w:cs="宋体"/>
              </w:rPr>
            </w:pPr>
          </w:p>
        </w:tc>
        <w:tc>
          <w:tcPr>
            <w:tcW w:w="1075" w:type="dxa"/>
            <w:noWrap/>
          </w:tcPr>
          <w:p w14:paraId="1267623A">
            <w:pPr>
              <w:rPr>
                <w:rFonts w:cs="宋体"/>
              </w:rPr>
            </w:pPr>
            <w:r>
              <w:rPr>
                <w:rFonts w:hint="eastAsia" w:cs="宋体"/>
              </w:rPr>
              <w:t>邮政编码</w:t>
            </w:r>
          </w:p>
        </w:tc>
        <w:tc>
          <w:tcPr>
            <w:tcW w:w="2294" w:type="dxa"/>
            <w:gridSpan w:val="3"/>
            <w:noWrap/>
          </w:tcPr>
          <w:p w14:paraId="4362B7B8">
            <w:pPr>
              <w:rPr>
                <w:rFonts w:cs="宋体"/>
              </w:rPr>
            </w:pPr>
          </w:p>
        </w:tc>
      </w:tr>
      <w:tr w14:paraId="087D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948" w:type="dxa"/>
            <w:vMerge w:val="restart"/>
            <w:noWrap/>
            <w:vAlign w:val="center"/>
          </w:tcPr>
          <w:p w14:paraId="529249CB">
            <w:pPr>
              <w:rPr>
                <w:rFonts w:cs="宋体"/>
              </w:rPr>
            </w:pPr>
            <w:r>
              <w:rPr>
                <w:rFonts w:hint="eastAsia" w:cs="宋体"/>
              </w:rPr>
              <w:t>联系方式</w:t>
            </w:r>
          </w:p>
        </w:tc>
        <w:tc>
          <w:tcPr>
            <w:tcW w:w="1063" w:type="dxa"/>
            <w:noWrap/>
          </w:tcPr>
          <w:p w14:paraId="3F8936B5">
            <w:pPr>
              <w:rPr>
                <w:rFonts w:cs="宋体"/>
              </w:rPr>
            </w:pPr>
            <w:r>
              <w:rPr>
                <w:rFonts w:hint="eastAsia" w:cs="宋体"/>
              </w:rPr>
              <w:t>联系人</w:t>
            </w:r>
          </w:p>
        </w:tc>
        <w:tc>
          <w:tcPr>
            <w:tcW w:w="3005" w:type="dxa"/>
            <w:gridSpan w:val="3"/>
            <w:noWrap/>
          </w:tcPr>
          <w:p w14:paraId="61694810">
            <w:pPr>
              <w:rPr>
                <w:rFonts w:cs="宋体"/>
              </w:rPr>
            </w:pPr>
          </w:p>
        </w:tc>
        <w:tc>
          <w:tcPr>
            <w:tcW w:w="1075" w:type="dxa"/>
            <w:noWrap/>
          </w:tcPr>
          <w:p w14:paraId="0E02314D">
            <w:pPr>
              <w:rPr>
                <w:rFonts w:cs="宋体"/>
              </w:rPr>
            </w:pPr>
            <w:r>
              <w:rPr>
                <w:rFonts w:hint="eastAsia" w:cs="宋体"/>
              </w:rPr>
              <w:t>电话</w:t>
            </w:r>
          </w:p>
        </w:tc>
        <w:tc>
          <w:tcPr>
            <w:tcW w:w="2294" w:type="dxa"/>
            <w:gridSpan w:val="3"/>
            <w:noWrap/>
          </w:tcPr>
          <w:p w14:paraId="3319B91D">
            <w:pPr>
              <w:rPr>
                <w:rFonts w:cs="宋体"/>
              </w:rPr>
            </w:pPr>
          </w:p>
        </w:tc>
      </w:tr>
      <w:tr w14:paraId="0FF4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948" w:type="dxa"/>
            <w:vMerge w:val="continue"/>
            <w:noWrap/>
          </w:tcPr>
          <w:p w14:paraId="65719C73">
            <w:pPr>
              <w:rPr>
                <w:rFonts w:cs="宋体"/>
              </w:rPr>
            </w:pPr>
          </w:p>
        </w:tc>
        <w:tc>
          <w:tcPr>
            <w:tcW w:w="1063" w:type="dxa"/>
            <w:noWrap/>
          </w:tcPr>
          <w:p w14:paraId="2BBB29BC">
            <w:pPr>
              <w:rPr>
                <w:rFonts w:cs="宋体"/>
              </w:rPr>
            </w:pPr>
            <w:r>
              <w:rPr>
                <w:rFonts w:hint="eastAsia" w:cs="宋体"/>
              </w:rPr>
              <w:t>传真</w:t>
            </w:r>
          </w:p>
        </w:tc>
        <w:tc>
          <w:tcPr>
            <w:tcW w:w="3005" w:type="dxa"/>
            <w:gridSpan w:val="3"/>
            <w:noWrap/>
          </w:tcPr>
          <w:p w14:paraId="18394A81">
            <w:pPr>
              <w:rPr>
                <w:rFonts w:cs="宋体"/>
              </w:rPr>
            </w:pPr>
          </w:p>
        </w:tc>
        <w:tc>
          <w:tcPr>
            <w:tcW w:w="1075" w:type="dxa"/>
            <w:noWrap/>
          </w:tcPr>
          <w:p w14:paraId="4A0DB5B3">
            <w:pPr>
              <w:rPr>
                <w:rFonts w:cs="宋体"/>
              </w:rPr>
            </w:pPr>
            <w:r>
              <w:rPr>
                <w:rFonts w:hint="eastAsia" w:cs="宋体"/>
              </w:rPr>
              <w:t>网址</w:t>
            </w:r>
          </w:p>
        </w:tc>
        <w:tc>
          <w:tcPr>
            <w:tcW w:w="2294" w:type="dxa"/>
            <w:gridSpan w:val="3"/>
            <w:noWrap/>
          </w:tcPr>
          <w:p w14:paraId="6393D7A0">
            <w:pPr>
              <w:rPr>
                <w:rFonts w:cs="宋体"/>
              </w:rPr>
            </w:pPr>
          </w:p>
        </w:tc>
      </w:tr>
      <w:tr w14:paraId="57A2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48" w:type="dxa"/>
            <w:noWrap/>
          </w:tcPr>
          <w:p w14:paraId="683A06EB">
            <w:pPr>
              <w:rPr>
                <w:rFonts w:cs="宋体"/>
              </w:rPr>
            </w:pPr>
            <w:r>
              <w:rPr>
                <w:rFonts w:hint="eastAsia" w:cs="宋体"/>
              </w:rPr>
              <w:t>组织结构</w:t>
            </w:r>
          </w:p>
        </w:tc>
        <w:tc>
          <w:tcPr>
            <w:tcW w:w="7437" w:type="dxa"/>
            <w:gridSpan w:val="8"/>
            <w:noWrap/>
          </w:tcPr>
          <w:p w14:paraId="73FD7030">
            <w:pPr>
              <w:rPr>
                <w:rFonts w:cs="宋体"/>
              </w:rPr>
            </w:pPr>
          </w:p>
        </w:tc>
      </w:tr>
      <w:tr w14:paraId="33FD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48" w:type="dxa"/>
            <w:noWrap/>
          </w:tcPr>
          <w:p w14:paraId="62DC2DF1">
            <w:pPr>
              <w:rPr>
                <w:rFonts w:cs="宋体"/>
              </w:rPr>
            </w:pPr>
            <w:r>
              <w:rPr>
                <w:rFonts w:hint="eastAsia" w:cs="宋体"/>
              </w:rPr>
              <w:t>法定代表人</w:t>
            </w:r>
          </w:p>
        </w:tc>
        <w:tc>
          <w:tcPr>
            <w:tcW w:w="1063" w:type="dxa"/>
            <w:noWrap/>
          </w:tcPr>
          <w:p w14:paraId="231BEDBE">
            <w:pPr>
              <w:rPr>
                <w:rFonts w:cs="宋体"/>
              </w:rPr>
            </w:pPr>
            <w:r>
              <w:rPr>
                <w:rFonts w:hint="eastAsia" w:cs="宋体"/>
              </w:rPr>
              <w:t>姓名</w:t>
            </w:r>
          </w:p>
        </w:tc>
        <w:tc>
          <w:tcPr>
            <w:tcW w:w="1771" w:type="dxa"/>
            <w:noWrap/>
          </w:tcPr>
          <w:p w14:paraId="6A7D1C15">
            <w:pPr>
              <w:rPr>
                <w:rFonts w:cs="宋体"/>
              </w:rPr>
            </w:pPr>
          </w:p>
        </w:tc>
        <w:tc>
          <w:tcPr>
            <w:tcW w:w="1234" w:type="dxa"/>
            <w:gridSpan w:val="2"/>
            <w:noWrap/>
          </w:tcPr>
          <w:p w14:paraId="6A80A19D">
            <w:pPr>
              <w:rPr>
                <w:rFonts w:cs="宋体"/>
              </w:rPr>
            </w:pPr>
            <w:r>
              <w:rPr>
                <w:rFonts w:hint="eastAsia" w:cs="宋体"/>
              </w:rPr>
              <w:t>技术职称</w:t>
            </w:r>
          </w:p>
        </w:tc>
        <w:tc>
          <w:tcPr>
            <w:tcW w:w="1247" w:type="dxa"/>
            <w:gridSpan w:val="2"/>
            <w:noWrap/>
          </w:tcPr>
          <w:p w14:paraId="4188A6EA">
            <w:pPr>
              <w:rPr>
                <w:rFonts w:cs="宋体"/>
              </w:rPr>
            </w:pPr>
          </w:p>
        </w:tc>
        <w:tc>
          <w:tcPr>
            <w:tcW w:w="716" w:type="dxa"/>
            <w:noWrap/>
          </w:tcPr>
          <w:p w14:paraId="563FEB34">
            <w:pPr>
              <w:rPr>
                <w:rFonts w:cs="宋体"/>
              </w:rPr>
            </w:pPr>
            <w:r>
              <w:rPr>
                <w:rFonts w:hint="eastAsia" w:cs="宋体"/>
              </w:rPr>
              <w:t>电话</w:t>
            </w:r>
          </w:p>
        </w:tc>
        <w:tc>
          <w:tcPr>
            <w:tcW w:w="1406" w:type="dxa"/>
            <w:noWrap/>
          </w:tcPr>
          <w:p w14:paraId="39F1F052">
            <w:pPr>
              <w:rPr>
                <w:rFonts w:cs="宋体"/>
              </w:rPr>
            </w:pPr>
          </w:p>
        </w:tc>
      </w:tr>
      <w:tr w14:paraId="1774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48" w:type="dxa"/>
            <w:noWrap/>
          </w:tcPr>
          <w:p w14:paraId="01D46A94">
            <w:pPr>
              <w:rPr>
                <w:rFonts w:cs="宋体"/>
              </w:rPr>
            </w:pPr>
            <w:r>
              <w:rPr>
                <w:rFonts w:hint="eastAsia" w:cs="宋体"/>
              </w:rPr>
              <w:t>技术负责人</w:t>
            </w:r>
          </w:p>
        </w:tc>
        <w:tc>
          <w:tcPr>
            <w:tcW w:w="1063" w:type="dxa"/>
            <w:noWrap/>
          </w:tcPr>
          <w:p w14:paraId="3B813FAB">
            <w:pPr>
              <w:rPr>
                <w:rFonts w:cs="宋体"/>
              </w:rPr>
            </w:pPr>
            <w:r>
              <w:rPr>
                <w:rFonts w:hint="eastAsia" w:cs="宋体"/>
              </w:rPr>
              <w:t>姓名</w:t>
            </w:r>
          </w:p>
        </w:tc>
        <w:tc>
          <w:tcPr>
            <w:tcW w:w="1771" w:type="dxa"/>
            <w:noWrap/>
          </w:tcPr>
          <w:p w14:paraId="762F6A05">
            <w:pPr>
              <w:rPr>
                <w:rFonts w:cs="宋体"/>
              </w:rPr>
            </w:pPr>
          </w:p>
        </w:tc>
        <w:tc>
          <w:tcPr>
            <w:tcW w:w="1234" w:type="dxa"/>
            <w:gridSpan w:val="2"/>
            <w:noWrap/>
          </w:tcPr>
          <w:p w14:paraId="1F96E4A7">
            <w:pPr>
              <w:rPr>
                <w:rFonts w:cs="宋体"/>
              </w:rPr>
            </w:pPr>
            <w:r>
              <w:rPr>
                <w:rFonts w:hint="eastAsia" w:cs="宋体"/>
              </w:rPr>
              <w:t>技术职称</w:t>
            </w:r>
          </w:p>
        </w:tc>
        <w:tc>
          <w:tcPr>
            <w:tcW w:w="1247" w:type="dxa"/>
            <w:gridSpan w:val="2"/>
            <w:noWrap/>
          </w:tcPr>
          <w:p w14:paraId="18CA3CC9">
            <w:pPr>
              <w:rPr>
                <w:rFonts w:cs="宋体"/>
              </w:rPr>
            </w:pPr>
          </w:p>
        </w:tc>
        <w:tc>
          <w:tcPr>
            <w:tcW w:w="716" w:type="dxa"/>
            <w:noWrap/>
          </w:tcPr>
          <w:p w14:paraId="7C626CF2">
            <w:pPr>
              <w:rPr>
                <w:rFonts w:cs="宋体"/>
              </w:rPr>
            </w:pPr>
            <w:r>
              <w:rPr>
                <w:rFonts w:hint="eastAsia" w:cs="宋体"/>
              </w:rPr>
              <w:t>电话</w:t>
            </w:r>
          </w:p>
        </w:tc>
        <w:tc>
          <w:tcPr>
            <w:tcW w:w="1406" w:type="dxa"/>
            <w:noWrap/>
          </w:tcPr>
          <w:p w14:paraId="70355564">
            <w:pPr>
              <w:rPr>
                <w:rFonts w:cs="宋体"/>
              </w:rPr>
            </w:pPr>
          </w:p>
        </w:tc>
      </w:tr>
      <w:tr w14:paraId="2A1A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48" w:type="dxa"/>
            <w:noWrap/>
          </w:tcPr>
          <w:p w14:paraId="667E5122">
            <w:pPr>
              <w:rPr>
                <w:rFonts w:cs="宋体"/>
              </w:rPr>
            </w:pPr>
            <w:r>
              <w:rPr>
                <w:rFonts w:hint="eastAsia" w:cs="宋体"/>
              </w:rPr>
              <w:t>成立时间</w:t>
            </w:r>
          </w:p>
        </w:tc>
        <w:tc>
          <w:tcPr>
            <w:tcW w:w="2834" w:type="dxa"/>
            <w:gridSpan w:val="2"/>
            <w:noWrap/>
          </w:tcPr>
          <w:p w14:paraId="60CAC044">
            <w:pPr>
              <w:rPr>
                <w:rFonts w:cs="宋体"/>
              </w:rPr>
            </w:pPr>
          </w:p>
        </w:tc>
        <w:tc>
          <w:tcPr>
            <w:tcW w:w="4603" w:type="dxa"/>
            <w:gridSpan w:val="6"/>
            <w:noWrap/>
          </w:tcPr>
          <w:p w14:paraId="4FBFF34B">
            <w:pPr>
              <w:rPr>
                <w:rFonts w:cs="宋体"/>
              </w:rPr>
            </w:pPr>
            <w:r>
              <w:rPr>
                <w:rFonts w:hint="eastAsia" w:cs="宋体"/>
              </w:rPr>
              <w:t>员工总人数：</w:t>
            </w:r>
          </w:p>
        </w:tc>
      </w:tr>
      <w:tr w14:paraId="013E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48" w:type="dxa"/>
            <w:noWrap/>
          </w:tcPr>
          <w:p w14:paraId="0BC93D0C">
            <w:pPr>
              <w:rPr>
                <w:rFonts w:cs="宋体"/>
              </w:rPr>
            </w:pPr>
            <w:r>
              <w:rPr>
                <w:rFonts w:hint="eastAsia" w:cs="宋体"/>
              </w:rPr>
              <w:t>企业资质等级</w:t>
            </w:r>
          </w:p>
        </w:tc>
        <w:tc>
          <w:tcPr>
            <w:tcW w:w="2834" w:type="dxa"/>
            <w:gridSpan w:val="2"/>
            <w:noWrap/>
          </w:tcPr>
          <w:p w14:paraId="322D9075">
            <w:pPr>
              <w:rPr>
                <w:rFonts w:cs="宋体"/>
              </w:rPr>
            </w:pPr>
          </w:p>
        </w:tc>
        <w:tc>
          <w:tcPr>
            <w:tcW w:w="707" w:type="dxa"/>
            <w:vMerge w:val="restart"/>
            <w:noWrap/>
            <w:vAlign w:val="center"/>
          </w:tcPr>
          <w:p w14:paraId="300755F0">
            <w:pPr>
              <w:rPr>
                <w:rFonts w:cs="宋体"/>
              </w:rPr>
            </w:pPr>
            <w:r>
              <w:rPr>
                <w:rFonts w:hint="eastAsia" w:cs="宋体"/>
              </w:rPr>
              <w:t>其中</w:t>
            </w:r>
          </w:p>
        </w:tc>
        <w:tc>
          <w:tcPr>
            <w:tcW w:w="1774" w:type="dxa"/>
            <w:gridSpan w:val="3"/>
            <w:noWrap/>
          </w:tcPr>
          <w:p w14:paraId="3055BE0E">
            <w:pPr>
              <w:rPr>
                <w:rFonts w:cs="宋体"/>
              </w:rPr>
            </w:pPr>
            <w:r>
              <w:rPr>
                <w:rFonts w:hint="eastAsia" w:cs="宋体"/>
              </w:rPr>
              <w:t>项目经理</w:t>
            </w:r>
          </w:p>
        </w:tc>
        <w:tc>
          <w:tcPr>
            <w:tcW w:w="2122" w:type="dxa"/>
            <w:gridSpan w:val="2"/>
            <w:noWrap/>
          </w:tcPr>
          <w:p w14:paraId="34FCC1BB">
            <w:pPr>
              <w:rPr>
                <w:rFonts w:cs="宋体"/>
              </w:rPr>
            </w:pPr>
          </w:p>
        </w:tc>
      </w:tr>
      <w:tr w14:paraId="6DE0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48" w:type="dxa"/>
            <w:noWrap/>
          </w:tcPr>
          <w:p w14:paraId="134E2005">
            <w:pPr>
              <w:rPr>
                <w:rFonts w:cs="宋体"/>
              </w:rPr>
            </w:pPr>
            <w:r>
              <w:rPr>
                <w:rFonts w:hint="eastAsia" w:cs="宋体"/>
              </w:rPr>
              <w:t>营业执照号</w:t>
            </w:r>
          </w:p>
        </w:tc>
        <w:tc>
          <w:tcPr>
            <w:tcW w:w="2834" w:type="dxa"/>
            <w:gridSpan w:val="2"/>
            <w:noWrap/>
          </w:tcPr>
          <w:p w14:paraId="37357C8E">
            <w:pPr>
              <w:rPr>
                <w:rFonts w:cs="宋体"/>
              </w:rPr>
            </w:pPr>
          </w:p>
        </w:tc>
        <w:tc>
          <w:tcPr>
            <w:tcW w:w="707" w:type="dxa"/>
            <w:vMerge w:val="continue"/>
            <w:noWrap/>
          </w:tcPr>
          <w:p w14:paraId="2CCA4E9A">
            <w:pPr>
              <w:rPr>
                <w:rFonts w:cs="宋体"/>
              </w:rPr>
            </w:pPr>
          </w:p>
        </w:tc>
        <w:tc>
          <w:tcPr>
            <w:tcW w:w="1774" w:type="dxa"/>
            <w:gridSpan w:val="3"/>
            <w:noWrap/>
          </w:tcPr>
          <w:p w14:paraId="5FB60F8F">
            <w:pPr>
              <w:rPr>
                <w:rFonts w:cs="宋体"/>
              </w:rPr>
            </w:pPr>
            <w:r>
              <w:rPr>
                <w:rFonts w:hint="eastAsia" w:cs="宋体"/>
              </w:rPr>
              <w:t>高级职称人员</w:t>
            </w:r>
          </w:p>
        </w:tc>
        <w:tc>
          <w:tcPr>
            <w:tcW w:w="2122" w:type="dxa"/>
            <w:gridSpan w:val="2"/>
            <w:noWrap/>
          </w:tcPr>
          <w:p w14:paraId="4AB33FC2">
            <w:pPr>
              <w:rPr>
                <w:rFonts w:cs="宋体"/>
              </w:rPr>
            </w:pPr>
          </w:p>
        </w:tc>
      </w:tr>
      <w:tr w14:paraId="6F16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48" w:type="dxa"/>
            <w:noWrap/>
          </w:tcPr>
          <w:p w14:paraId="7F6375DB">
            <w:pPr>
              <w:rPr>
                <w:rFonts w:cs="宋体"/>
              </w:rPr>
            </w:pPr>
            <w:r>
              <w:rPr>
                <w:rFonts w:hint="eastAsia" w:cs="宋体"/>
              </w:rPr>
              <w:t>注册资金</w:t>
            </w:r>
          </w:p>
        </w:tc>
        <w:tc>
          <w:tcPr>
            <w:tcW w:w="2834" w:type="dxa"/>
            <w:gridSpan w:val="2"/>
            <w:noWrap/>
          </w:tcPr>
          <w:p w14:paraId="17364287">
            <w:pPr>
              <w:rPr>
                <w:rFonts w:cs="宋体"/>
              </w:rPr>
            </w:pPr>
          </w:p>
        </w:tc>
        <w:tc>
          <w:tcPr>
            <w:tcW w:w="707" w:type="dxa"/>
            <w:vMerge w:val="continue"/>
            <w:noWrap/>
          </w:tcPr>
          <w:p w14:paraId="5AF09346">
            <w:pPr>
              <w:rPr>
                <w:rFonts w:cs="宋体"/>
              </w:rPr>
            </w:pPr>
          </w:p>
        </w:tc>
        <w:tc>
          <w:tcPr>
            <w:tcW w:w="1774" w:type="dxa"/>
            <w:gridSpan w:val="3"/>
            <w:noWrap/>
          </w:tcPr>
          <w:p w14:paraId="6AA8C3D5">
            <w:pPr>
              <w:rPr>
                <w:rFonts w:cs="宋体"/>
              </w:rPr>
            </w:pPr>
            <w:r>
              <w:rPr>
                <w:rFonts w:hint="eastAsia" w:cs="宋体"/>
              </w:rPr>
              <w:t>中级职称人员</w:t>
            </w:r>
          </w:p>
        </w:tc>
        <w:tc>
          <w:tcPr>
            <w:tcW w:w="2122" w:type="dxa"/>
            <w:gridSpan w:val="2"/>
            <w:noWrap/>
          </w:tcPr>
          <w:p w14:paraId="1A4E1234">
            <w:pPr>
              <w:rPr>
                <w:rFonts w:cs="宋体"/>
              </w:rPr>
            </w:pPr>
          </w:p>
        </w:tc>
      </w:tr>
      <w:tr w14:paraId="502B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48" w:type="dxa"/>
            <w:noWrap/>
          </w:tcPr>
          <w:p w14:paraId="7103A39B">
            <w:pPr>
              <w:rPr>
                <w:rFonts w:cs="宋体"/>
              </w:rPr>
            </w:pPr>
            <w:r>
              <w:rPr>
                <w:rFonts w:hint="eastAsia" w:cs="宋体"/>
              </w:rPr>
              <w:t>开户银行</w:t>
            </w:r>
          </w:p>
        </w:tc>
        <w:tc>
          <w:tcPr>
            <w:tcW w:w="2834" w:type="dxa"/>
            <w:gridSpan w:val="2"/>
            <w:noWrap/>
          </w:tcPr>
          <w:p w14:paraId="1EC80855">
            <w:pPr>
              <w:rPr>
                <w:rFonts w:cs="宋体"/>
              </w:rPr>
            </w:pPr>
          </w:p>
        </w:tc>
        <w:tc>
          <w:tcPr>
            <w:tcW w:w="707" w:type="dxa"/>
            <w:vMerge w:val="continue"/>
            <w:noWrap/>
          </w:tcPr>
          <w:p w14:paraId="399FE73B">
            <w:pPr>
              <w:rPr>
                <w:rFonts w:cs="宋体"/>
              </w:rPr>
            </w:pPr>
          </w:p>
        </w:tc>
        <w:tc>
          <w:tcPr>
            <w:tcW w:w="1774" w:type="dxa"/>
            <w:gridSpan w:val="3"/>
            <w:noWrap/>
          </w:tcPr>
          <w:p w14:paraId="14320DF3">
            <w:pPr>
              <w:rPr>
                <w:rFonts w:cs="宋体"/>
              </w:rPr>
            </w:pPr>
            <w:r>
              <w:rPr>
                <w:rFonts w:hint="eastAsia" w:cs="宋体"/>
              </w:rPr>
              <w:t>初级职称人员</w:t>
            </w:r>
          </w:p>
        </w:tc>
        <w:tc>
          <w:tcPr>
            <w:tcW w:w="2122" w:type="dxa"/>
            <w:gridSpan w:val="2"/>
            <w:noWrap/>
          </w:tcPr>
          <w:p w14:paraId="514E0EF0">
            <w:pPr>
              <w:rPr>
                <w:rFonts w:cs="宋体"/>
              </w:rPr>
            </w:pPr>
          </w:p>
        </w:tc>
      </w:tr>
      <w:tr w14:paraId="617B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948" w:type="dxa"/>
            <w:noWrap/>
          </w:tcPr>
          <w:p w14:paraId="34ADDBA1">
            <w:pPr>
              <w:rPr>
                <w:rFonts w:cs="宋体"/>
              </w:rPr>
            </w:pPr>
            <w:r>
              <w:rPr>
                <w:rFonts w:hint="eastAsia" w:cs="宋体"/>
              </w:rPr>
              <w:t>账号</w:t>
            </w:r>
          </w:p>
        </w:tc>
        <w:tc>
          <w:tcPr>
            <w:tcW w:w="2834" w:type="dxa"/>
            <w:gridSpan w:val="2"/>
            <w:noWrap/>
          </w:tcPr>
          <w:p w14:paraId="0972711D">
            <w:pPr>
              <w:rPr>
                <w:rFonts w:cs="宋体"/>
              </w:rPr>
            </w:pPr>
          </w:p>
        </w:tc>
        <w:tc>
          <w:tcPr>
            <w:tcW w:w="707" w:type="dxa"/>
            <w:vMerge w:val="continue"/>
            <w:noWrap/>
          </w:tcPr>
          <w:p w14:paraId="7CE4127B">
            <w:pPr>
              <w:rPr>
                <w:rFonts w:cs="宋体"/>
              </w:rPr>
            </w:pPr>
          </w:p>
        </w:tc>
        <w:tc>
          <w:tcPr>
            <w:tcW w:w="1774" w:type="dxa"/>
            <w:gridSpan w:val="3"/>
            <w:noWrap/>
          </w:tcPr>
          <w:p w14:paraId="24AE2512">
            <w:pPr>
              <w:rPr>
                <w:rFonts w:cs="宋体"/>
              </w:rPr>
            </w:pPr>
            <w:r>
              <w:rPr>
                <w:rFonts w:hint="eastAsia" w:cs="宋体"/>
              </w:rPr>
              <w:t>技工</w:t>
            </w:r>
          </w:p>
        </w:tc>
        <w:tc>
          <w:tcPr>
            <w:tcW w:w="2122" w:type="dxa"/>
            <w:gridSpan w:val="2"/>
            <w:noWrap/>
          </w:tcPr>
          <w:p w14:paraId="39140C27">
            <w:pPr>
              <w:rPr>
                <w:rFonts w:cs="宋体"/>
              </w:rPr>
            </w:pPr>
          </w:p>
        </w:tc>
      </w:tr>
      <w:tr w14:paraId="3F04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jc w:val="center"/>
        </w:trPr>
        <w:tc>
          <w:tcPr>
            <w:tcW w:w="1948" w:type="dxa"/>
            <w:noWrap/>
          </w:tcPr>
          <w:p w14:paraId="78DF62CA">
            <w:pPr>
              <w:rPr>
                <w:rFonts w:cs="宋体"/>
              </w:rPr>
            </w:pPr>
            <w:r>
              <w:rPr>
                <w:rFonts w:hint="eastAsia" w:cs="宋体"/>
              </w:rPr>
              <w:t>经营范围备注</w:t>
            </w:r>
          </w:p>
        </w:tc>
        <w:tc>
          <w:tcPr>
            <w:tcW w:w="7437" w:type="dxa"/>
            <w:gridSpan w:val="8"/>
            <w:noWrap/>
          </w:tcPr>
          <w:p w14:paraId="0062C13E">
            <w:pPr>
              <w:rPr>
                <w:rFonts w:cs="宋体"/>
              </w:rPr>
            </w:pPr>
          </w:p>
        </w:tc>
      </w:tr>
    </w:tbl>
    <w:p w14:paraId="754393E8">
      <w:pPr>
        <w:rPr>
          <w:rFonts w:cs="宋体"/>
        </w:rPr>
      </w:pPr>
      <w:r>
        <w:rPr>
          <w:rFonts w:hint="eastAsia" w:cs="宋体"/>
        </w:rPr>
        <w:br w:type="page"/>
      </w:r>
    </w:p>
    <w:p w14:paraId="602B3E63">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r>
        <w:rPr>
          <w:rFonts w:hint="eastAsia" w:cs="宋体"/>
          <w:b/>
          <w:bCs/>
          <w:sz w:val="28"/>
          <w:szCs w:val="28"/>
        </w:rPr>
        <w:t>（二）项目管理机构一览表(附相关证书)</w:t>
      </w:r>
    </w:p>
    <w:tbl>
      <w:tblPr>
        <w:tblStyle w:val="18"/>
        <w:tblW w:w="0" w:type="auto"/>
        <w:jc w:val="center"/>
        <w:tblLayout w:type="fixed"/>
        <w:tblCellMar>
          <w:top w:w="0" w:type="dxa"/>
          <w:left w:w="108" w:type="dxa"/>
          <w:bottom w:w="0" w:type="dxa"/>
          <w:right w:w="108" w:type="dxa"/>
        </w:tblCellMar>
      </w:tblPr>
      <w:tblGrid>
        <w:gridCol w:w="820"/>
        <w:gridCol w:w="1436"/>
        <w:gridCol w:w="979"/>
        <w:gridCol w:w="867"/>
        <w:gridCol w:w="1126"/>
        <w:gridCol w:w="1103"/>
        <w:gridCol w:w="642"/>
        <w:gridCol w:w="1026"/>
        <w:gridCol w:w="1436"/>
      </w:tblGrid>
      <w:tr w14:paraId="51C599F0">
        <w:tblPrEx>
          <w:tblCellMar>
            <w:top w:w="0" w:type="dxa"/>
            <w:left w:w="108" w:type="dxa"/>
            <w:bottom w:w="0" w:type="dxa"/>
            <w:right w:w="108" w:type="dxa"/>
          </w:tblCellMar>
        </w:tblPrEx>
        <w:trPr>
          <w:trHeight w:val="1453" w:hRule="atLeast"/>
          <w:jc w:val="center"/>
        </w:trPr>
        <w:tc>
          <w:tcPr>
            <w:tcW w:w="820" w:type="dxa"/>
            <w:tcBorders>
              <w:top w:val="single" w:color="auto" w:sz="6" w:space="0"/>
              <w:left w:val="single" w:color="auto" w:sz="6" w:space="0"/>
              <w:bottom w:val="single" w:color="auto" w:sz="6" w:space="0"/>
              <w:right w:val="single" w:color="auto" w:sz="6" w:space="0"/>
            </w:tcBorders>
            <w:noWrap/>
            <w:vAlign w:val="center"/>
          </w:tcPr>
          <w:p w14:paraId="6BD7FD15">
            <w:pPr>
              <w:jc w:val="center"/>
              <w:rPr>
                <w:rFonts w:cs="宋体"/>
              </w:rPr>
            </w:pPr>
            <w:r>
              <w:rPr>
                <w:rFonts w:hint="eastAsia" w:cs="宋体"/>
              </w:rPr>
              <w:t>姓名</w:t>
            </w:r>
          </w:p>
        </w:tc>
        <w:tc>
          <w:tcPr>
            <w:tcW w:w="1436" w:type="dxa"/>
            <w:tcBorders>
              <w:top w:val="single" w:color="auto" w:sz="6" w:space="0"/>
              <w:left w:val="single" w:color="auto" w:sz="6" w:space="0"/>
              <w:bottom w:val="single" w:color="auto" w:sz="6" w:space="0"/>
              <w:right w:val="single" w:color="auto" w:sz="6" w:space="0"/>
            </w:tcBorders>
            <w:noWrap/>
            <w:vAlign w:val="center"/>
          </w:tcPr>
          <w:p w14:paraId="61CEFCDB">
            <w:pPr>
              <w:jc w:val="center"/>
              <w:rPr>
                <w:rFonts w:cs="宋体"/>
              </w:rPr>
            </w:pPr>
            <w:r>
              <w:rPr>
                <w:rFonts w:hint="eastAsia" w:cs="宋体"/>
              </w:rPr>
              <w:t>本工程</w:t>
            </w:r>
          </w:p>
          <w:p w14:paraId="485A4355">
            <w:pPr>
              <w:jc w:val="center"/>
              <w:rPr>
                <w:rFonts w:cs="宋体"/>
              </w:rPr>
            </w:pPr>
            <w:r>
              <w:rPr>
                <w:rFonts w:hint="eastAsia" w:cs="宋体"/>
              </w:rPr>
              <w:t>拟任岗位</w:t>
            </w:r>
          </w:p>
        </w:tc>
        <w:tc>
          <w:tcPr>
            <w:tcW w:w="979" w:type="dxa"/>
            <w:tcBorders>
              <w:top w:val="single" w:color="auto" w:sz="6" w:space="0"/>
              <w:left w:val="single" w:color="auto" w:sz="6" w:space="0"/>
              <w:bottom w:val="single" w:color="auto" w:sz="6" w:space="0"/>
              <w:right w:val="single" w:color="auto" w:sz="6" w:space="0"/>
            </w:tcBorders>
            <w:noWrap/>
            <w:vAlign w:val="center"/>
          </w:tcPr>
          <w:p w14:paraId="686F9298">
            <w:pPr>
              <w:jc w:val="center"/>
              <w:rPr>
                <w:rFonts w:cs="宋体"/>
              </w:rPr>
            </w:pPr>
            <w:r>
              <w:rPr>
                <w:rFonts w:hint="eastAsia" w:cs="宋体"/>
              </w:rPr>
              <w:t>年龄</w:t>
            </w:r>
          </w:p>
        </w:tc>
        <w:tc>
          <w:tcPr>
            <w:tcW w:w="867" w:type="dxa"/>
            <w:tcBorders>
              <w:top w:val="single" w:color="auto" w:sz="6" w:space="0"/>
              <w:left w:val="single" w:color="auto" w:sz="6" w:space="0"/>
              <w:bottom w:val="single" w:color="auto" w:sz="6" w:space="0"/>
              <w:right w:val="single" w:color="auto" w:sz="6" w:space="0"/>
            </w:tcBorders>
            <w:noWrap/>
            <w:vAlign w:val="center"/>
          </w:tcPr>
          <w:p w14:paraId="0879C4D5">
            <w:pPr>
              <w:jc w:val="center"/>
              <w:rPr>
                <w:rFonts w:cs="宋体"/>
              </w:rPr>
            </w:pPr>
            <w:r>
              <w:rPr>
                <w:rFonts w:hint="eastAsia" w:cs="宋体"/>
              </w:rPr>
              <w:t>性别</w:t>
            </w:r>
          </w:p>
        </w:tc>
        <w:tc>
          <w:tcPr>
            <w:tcW w:w="1126" w:type="dxa"/>
            <w:tcBorders>
              <w:top w:val="single" w:color="auto" w:sz="6" w:space="0"/>
              <w:left w:val="single" w:color="auto" w:sz="6" w:space="0"/>
              <w:bottom w:val="single" w:color="auto" w:sz="6" w:space="0"/>
              <w:right w:val="single" w:color="auto" w:sz="6" w:space="0"/>
            </w:tcBorders>
            <w:noWrap/>
            <w:vAlign w:val="center"/>
          </w:tcPr>
          <w:p w14:paraId="6B996A4C">
            <w:pPr>
              <w:jc w:val="center"/>
              <w:rPr>
                <w:rFonts w:cs="宋体"/>
              </w:rPr>
            </w:pPr>
            <w:r>
              <w:rPr>
                <w:rFonts w:hint="eastAsia" w:cs="宋体"/>
              </w:rPr>
              <w:t>专业学历</w:t>
            </w:r>
          </w:p>
        </w:tc>
        <w:tc>
          <w:tcPr>
            <w:tcW w:w="1103" w:type="dxa"/>
            <w:tcBorders>
              <w:top w:val="single" w:color="auto" w:sz="6" w:space="0"/>
              <w:left w:val="single" w:color="auto" w:sz="6" w:space="0"/>
              <w:bottom w:val="single" w:color="auto" w:sz="6" w:space="0"/>
              <w:right w:val="single" w:color="auto" w:sz="6" w:space="0"/>
            </w:tcBorders>
            <w:noWrap/>
            <w:vAlign w:val="center"/>
          </w:tcPr>
          <w:p w14:paraId="0CC6FBA2">
            <w:pPr>
              <w:jc w:val="center"/>
              <w:rPr>
                <w:rFonts w:cs="宋体"/>
              </w:rPr>
            </w:pPr>
            <w:r>
              <w:rPr>
                <w:rFonts w:hint="eastAsia" w:cs="宋体"/>
              </w:rPr>
              <w:t>专业年限</w:t>
            </w:r>
          </w:p>
        </w:tc>
        <w:tc>
          <w:tcPr>
            <w:tcW w:w="642" w:type="dxa"/>
            <w:tcBorders>
              <w:top w:val="single" w:color="auto" w:sz="6" w:space="0"/>
              <w:left w:val="single" w:color="auto" w:sz="6" w:space="0"/>
              <w:bottom w:val="single" w:color="auto" w:sz="6" w:space="0"/>
              <w:right w:val="single" w:color="auto" w:sz="6" w:space="0"/>
            </w:tcBorders>
            <w:noWrap/>
            <w:vAlign w:val="center"/>
          </w:tcPr>
          <w:p w14:paraId="669DED9B">
            <w:pPr>
              <w:jc w:val="center"/>
              <w:rPr>
                <w:rFonts w:cs="宋体"/>
              </w:rPr>
            </w:pPr>
            <w:r>
              <w:rPr>
                <w:rFonts w:hint="eastAsia" w:cs="宋体"/>
              </w:rPr>
              <w:t>职称</w:t>
            </w:r>
          </w:p>
        </w:tc>
        <w:tc>
          <w:tcPr>
            <w:tcW w:w="1026" w:type="dxa"/>
            <w:tcBorders>
              <w:top w:val="single" w:color="auto" w:sz="6" w:space="0"/>
              <w:left w:val="single" w:color="auto" w:sz="6" w:space="0"/>
              <w:bottom w:val="single" w:color="auto" w:sz="6" w:space="0"/>
              <w:right w:val="single" w:color="auto" w:sz="6" w:space="0"/>
            </w:tcBorders>
            <w:noWrap/>
            <w:vAlign w:val="center"/>
          </w:tcPr>
          <w:p w14:paraId="3CF925E1">
            <w:pPr>
              <w:jc w:val="center"/>
              <w:rPr>
                <w:rFonts w:cs="宋体"/>
              </w:rPr>
            </w:pPr>
            <w:r>
              <w:rPr>
                <w:rFonts w:hint="eastAsia" w:cs="宋体"/>
              </w:rPr>
              <w:t>安排上岗的起止时间</w:t>
            </w:r>
          </w:p>
        </w:tc>
        <w:tc>
          <w:tcPr>
            <w:tcW w:w="1436" w:type="dxa"/>
            <w:tcBorders>
              <w:top w:val="single" w:color="auto" w:sz="6" w:space="0"/>
              <w:left w:val="single" w:color="auto" w:sz="6" w:space="0"/>
              <w:bottom w:val="single" w:color="auto" w:sz="6" w:space="0"/>
              <w:right w:val="single" w:color="auto" w:sz="6" w:space="0"/>
            </w:tcBorders>
            <w:noWrap/>
            <w:vAlign w:val="center"/>
          </w:tcPr>
          <w:p w14:paraId="3B629761">
            <w:pPr>
              <w:jc w:val="center"/>
              <w:rPr>
                <w:rFonts w:cs="宋体"/>
              </w:rPr>
            </w:pPr>
            <w:r>
              <w:rPr>
                <w:rFonts w:hint="eastAsia" w:cs="宋体"/>
              </w:rPr>
              <w:t>类似工程经历、业绩情况（或另附简历）</w:t>
            </w:r>
          </w:p>
        </w:tc>
      </w:tr>
      <w:tr w14:paraId="6DC5C399">
        <w:tblPrEx>
          <w:tblCellMar>
            <w:top w:w="0" w:type="dxa"/>
            <w:left w:w="108" w:type="dxa"/>
            <w:bottom w:w="0" w:type="dxa"/>
            <w:right w:w="108" w:type="dxa"/>
          </w:tblCellMar>
        </w:tblPrEx>
        <w:trPr>
          <w:trHeight w:val="798" w:hRule="atLeast"/>
          <w:jc w:val="center"/>
        </w:trPr>
        <w:tc>
          <w:tcPr>
            <w:tcW w:w="820" w:type="dxa"/>
            <w:tcBorders>
              <w:top w:val="single" w:color="auto" w:sz="6" w:space="0"/>
              <w:left w:val="single" w:color="auto" w:sz="6" w:space="0"/>
              <w:bottom w:val="single" w:color="auto" w:sz="6" w:space="0"/>
              <w:right w:val="single" w:color="auto" w:sz="6" w:space="0"/>
            </w:tcBorders>
            <w:noWrap/>
          </w:tcPr>
          <w:p w14:paraId="5C00FF19">
            <w:pPr>
              <w:rPr>
                <w:rFonts w:cs="宋体"/>
                <w:lang w:val="zh-CN"/>
              </w:rPr>
            </w:pPr>
          </w:p>
        </w:tc>
        <w:tc>
          <w:tcPr>
            <w:tcW w:w="1436" w:type="dxa"/>
            <w:tcBorders>
              <w:top w:val="single" w:color="auto" w:sz="6" w:space="0"/>
              <w:left w:val="single" w:color="auto" w:sz="6" w:space="0"/>
              <w:bottom w:val="single" w:color="auto" w:sz="6" w:space="0"/>
              <w:right w:val="single" w:color="auto" w:sz="6" w:space="0"/>
            </w:tcBorders>
            <w:noWrap/>
          </w:tcPr>
          <w:p w14:paraId="69EEBD09">
            <w:pPr>
              <w:rPr>
                <w:rFonts w:cs="宋体"/>
                <w:lang w:val="zh-CN"/>
              </w:rPr>
            </w:pPr>
          </w:p>
        </w:tc>
        <w:tc>
          <w:tcPr>
            <w:tcW w:w="979" w:type="dxa"/>
            <w:tcBorders>
              <w:top w:val="single" w:color="auto" w:sz="6" w:space="0"/>
              <w:left w:val="single" w:color="auto" w:sz="6" w:space="0"/>
              <w:bottom w:val="single" w:color="auto" w:sz="6" w:space="0"/>
              <w:right w:val="single" w:color="auto" w:sz="6" w:space="0"/>
            </w:tcBorders>
            <w:noWrap/>
          </w:tcPr>
          <w:p w14:paraId="2D61AC36">
            <w:pPr>
              <w:rPr>
                <w:rFonts w:cs="宋体"/>
                <w:lang w:val="zh-CN"/>
              </w:rPr>
            </w:pPr>
          </w:p>
        </w:tc>
        <w:tc>
          <w:tcPr>
            <w:tcW w:w="867" w:type="dxa"/>
            <w:tcBorders>
              <w:top w:val="single" w:color="auto" w:sz="6" w:space="0"/>
              <w:left w:val="single" w:color="auto" w:sz="6" w:space="0"/>
              <w:bottom w:val="single" w:color="auto" w:sz="6" w:space="0"/>
              <w:right w:val="single" w:color="auto" w:sz="6" w:space="0"/>
            </w:tcBorders>
            <w:noWrap/>
          </w:tcPr>
          <w:p w14:paraId="1A7D4130">
            <w:pPr>
              <w:rPr>
                <w:rFonts w:cs="宋体"/>
                <w:lang w:val="zh-CN"/>
              </w:rPr>
            </w:pPr>
          </w:p>
        </w:tc>
        <w:tc>
          <w:tcPr>
            <w:tcW w:w="1126" w:type="dxa"/>
            <w:tcBorders>
              <w:top w:val="single" w:color="auto" w:sz="6" w:space="0"/>
              <w:left w:val="single" w:color="auto" w:sz="6" w:space="0"/>
              <w:bottom w:val="single" w:color="auto" w:sz="6" w:space="0"/>
              <w:right w:val="single" w:color="auto" w:sz="6" w:space="0"/>
            </w:tcBorders>
            <w:noWrap/>
          </w:tcPr>
          <w:p w14:paraId="3682AED5">
            <w:pPr>
              <w:rPr>
                <w:rFonts w:cs="宋体"/>
                <w:lang w:val="zh-CN"/>
              </w:rPr>
            </w:pPr>
          </w:p>
        </w:tc>
        <w:tc>
          <w:tcPr>
            <w:tcW w:w="1103" w:type="dxa"/>
            <w:tcBorders>
              <w:top w:val="single" w:color="auto" w:sz="6" w:space="0"/>
              <w:left w:val="single" w:color="auto" w:sz="6" w:space="0"/>
              <w:bottom w:val="single" w:color="auto" w:sz="6" w:space="0"/>
              <w:right w:val="single" w:color="auto" w:sz="6" w:space="0"/>
            </w:tcBorders>
            <w:noWrap/>
          </w:tcPr>
          <w:p w14:paraId="2B699C49">
            <w:pPr>
              <w:rPr>
                <w:rFonts w:cs="宋体"/>
                <w:lang w:val="zh-CN"/>
              </w:rPr>
            </w:pPr>
          </w:p>
        </w:tc>
        <w:tc>
          <w:tcPr>
            <w:tcW w:w="642" w:type="dxa"/>
            <w:tcBorders>
              <w:top w:val="single" w:color="auto" w:sz="6" w:space="0"/>
              <w:left w:val="single" w:color="auto" w:sz="6" w:space="0"/>
              <w:bottom w:val="single" w:color="auto" w:sz="6" w:space="0"/>
              <w:right w:val="single" w:color="auto" w:sz="6" w:space="0"/>
            </w:tcBorders>
            <w:noWrap/>
          </w:tcPr>
          <w:p w14:paraId="52D409CE">
            <w:pPr>
              <w:rPr>
                <w:rFonts w:cs="宋体"/>
                <w:lang w:val="zh-CN"/>
              </w:rPr>
            </w:pPr>
          </w:p>
        </w:tc>
        <w:tc>
          <w:tcPr>
            <w:tcW w:w="1026" w:type="dxa"/>
            <w:tcBorders>
              <w:top w:val="single" w:color="auto" w:sz="6" w:space="0"/>
              <w:left w:val="single" w:color="auto" w:sz="6" w:space="0"/>
              <w:bottom w:val="single" w:color="auto" w:sz="6" w:space="0"/>
              <w:right w:val="single" w:color="auto" w:sz="6" w:space="0"/>
            </w:tcBorders>
            <w:noWrap/>
          </w:tcPr>
          <w:p w14:paraId="0E952563">
            <w:pPr>
              <w:rPr>
                <w:rFonts w:cs="宋体"/>
                <w:lang w:val="zh-CN"/>
              </w:rPr>
            </w:pPr>
          </w:p>
        </w:tc>
        <w:tc>
          <w:tcPr>
            <w:tcW w:w="1436" w:type="dxa"/>
            <w:tcBorders>
              <w:top w:val="single" w:color="auto" w:sz="6" w:space="0"/>
              <w:left w:val="single" w:color="auto" w:sz="6" w:space="0"/>
              <w:bottom w:val="single" w:color="auto" w:sz="6" w:space="0"/>
              <w:right w:val="single" w:color="auto" w:sz="6" w:space="0"/>
            </w:tcBorders>
            <w:noWrap/>
          </w:tcPr>
          <w:p w14:paraId="00852225">
            <w:pPr>
              <w:rPr>
                <w:rFonts w:cs="宋体"/>
                <w:lang w:val="zh-CN"/>
              </w:rPr>
            </w:pPr>
          </w:p>
        </w:tc>
      </w:tr>
      <w:tr w14:paraId="4DE5978A">
        <w:tblPrEx>
          <w:tblCellMar>
            <w:top w:w="0" w:type="dxa"/>
            <w:left w:w="108" w:type="dxa"/>
            <w:bottom w:w="0" w:type="dxa"/>
            <w:right w:w="108" w:type="dxa"/>
          </w:tblCellMar>
        </w:tblPrEx>
        <w:trPr>
          <w:trHeight w:val="836" w:hRule="atLeast"/>
          <w:jc w:val="center"/>
        </w:trPr>
        <w:tc>
          <w:tcPr>
            <w:tcW w:w="820" w:type="dxa"/>
            <w:tcBorders>
              <w:top w:val="single" w:color="auto" w:sz="6" w:space="0"/>
              <w:left w:val="single" w:color="auto" w:sz="6" w:space="0"/>
              <w:bottom w:val="single" w:color="auto" w:sz="6" w:space="0"/>
              <w:right w:val="single" w:color="auto" w:sz="6" w:space="0"/>
            </w:tcBorders>
            <w:noWrap/>
          </w:tcPr>
          <w:p w14:paraId="6CE436AE">
            <w:pPr>
              <w:rPr>
                <w:rFonts w:cs="宋体"/>
              </w:rPr>
            </w:pPr>
          </w:p>
        </w:tc>
        <w:tc>
          <w:tcPr>
            <w:tcW w:w="1436" w:type="dxa"/>
            <w:tcBorders>
              <w:top w:val="single" w:color="auto" w:sz="6" w:space="0"/>
              <w:left w:val="single" w:color="auto" w:sz="6" w:space="0"/>
              <w:bottom w:val="single" w:color="auto" w:sz="6" w:space="0"/>
              <w:right w:val="single" w:color="auto" w:sz="6" w:space="0"/>
            </w:tcBorders>
            <w:noWrap/>
          </w:tcPr>
          <w:p w14:paraId="73329C5D">
            <w:pPr>
              <w:rPr>
                <w:rFonts w:cs="宋体"/>
              </w:rPr>
            </w:pPr>
          </w:p>
        </w:tc>
        <w:tc>
          <w:tcPr>
            <w:tcW w:w="979" w:type="dxa"/>
            <w:tcBorders>
              <w:top w:val="single" w:color="auto" w:sz="6" w:space="0"/>
              <w:left w:val="single" w:color="auto" w:sz="6" w:space="0"/>
              <w:bottom w:val="single" w:color="auto" w:sz="6" w:space="0"/>
              <w:right w:val="single" w:color="auto" w:sz="6" w:space="0"/>
            </w:tcBorders>
            <w:noWrap/>
          </w:tcPr>
          <w:p w14:paraId="711D16D7">
            <w:pPr>
              <w:rPr>
                <w:rFonts w:cs="宋体"/>
              </w:rPr>
            </w:pPr>
          </w:p>
        </w:tc>
        <w:tc>
          <w:tcPr>
            <w:tcW w:w="867" w:type="dxa"/>
            <w:tcBorders>
              <w:top w:val="single" w:color="auto" w:sz="6" w:space="0"/>
              <w:left w:val="single" w:color="auto" w:sz="6" w:space="0"/>
              <w:bottom w:val="single" w:color="auto" w:sz="6" w:space="0"/>
              <w:right w:val="single" w:color="auto" w:sz="6" w:space="0"/>
            </w:tcBorders>
            <w:noWrap/>
          </w:tcPr>
          <w:p w14:paraId="3787DFEF">
            <w:pPr>
              <w:rPr>
                <w:rFonts w:cs="宋体"/>
              </w:rPr>
            </w:pPr>
          </w:p>
        </w:tc>
        <w:tc>
          <w:tcPr>
            <w:tcW w:w="1126" w:type="dxa"/>
            <w:tcBorders>
              <w:top w:val="single" w:color="auto" w:sz="6" w:space="0"/>
              <w:left w:val="single" w:color="auto" w:sz="6" w:space="0"/>
              <w:bottom w:val="single" w:color="auto" w:sz="6" w:space="0"/>
              <w:right w:val="single" w:color="auto" w:sz="6" w:space="0"/>
            </w:tcBorders>
            <w:noWrap/>
          </w:tcPr>
          <w:p w14:paraId="11540351">
            <w:pPr>
              <w:rPr>
                <w:rFonts w:cs="宋体"/>
              </w:rPr>
            </w:pPr>
          </w:p>
        </w:tc>
        <w:tc>
          <w:tcPr>
            <w:tcW w:w="1103" w:type="dxa"/>
            <w:tcBorders>
              <w:top w:val="single" w:color="auto" w:sz="6" w:space="0"/>
              <w:left w:val="single" w:color="auto" w:sz="6" w:space="0"/>
              <w:bottom w:val="single" w:color="auto" w:sz="6" w:space="0"/>
              <w:right w:val="single" w:color="auto" w:sz="6" w:space="0"/>
            </w:tcBorders>
            <w:noWrap/>
          </w:tcPr>
          <w:p w14:paraId="4E85B8D3">
            <w:pPr>
              <w:rPr>
                <w:rFonts w:cs="宋体"/>
              </w:rPr>
            </w:pPr>
          </w:p>
        </w:tc>
        <w:tc>
          <w:tcPr>
            <w:tcW w:w="642" w:type="dxa"/>
            <w:tcBorders>
              <w:top w:val="single" w:color="auto" w:sz="6" w:space="0"/>
              <w:left w:val="single" w:color="auto" w:sz="6" w:space="0"/>
              <w:bottom w:val="single" w:color="auto" w:sz="6" w:space="0"/>
              <w:right w:val="single" w:color="auto" w:sz="6" w:space="0"/>
            </w:tcBorders>
            <w:noWrap/>
          </w:tcPr>
          <w:p w14:paraId="642DC099">
            <w:pPr>
              <w:rPr>
                <w:rFonts w:cs="宋体"/>
              </w:rPr>
            </w:pPr>
          </w:p>
        </w:tc>
        <w:tc>
          <w:tcPr>
            <w:tcW w:w="1026" w:type="dxa"/>
            <w:tcBorders>
              <w:top w:val="single" w:color="auto" w:sz="6" w:space="0"/>
              <w:left w:val="single" w:color="auto" w:sz="6" w:space="0"/>
              <w:bottom w:val="single" w:color="auto" w:sz="6" w:space="0"/>
              <w:right w:val="single" w:color="auto" w:sz="6" w:space="0"/>
            </w:tcBorders>
            <w:noWrap/>
          </w:tcPr>
          <w:p w14:paraId="09766C90">
            <w:pPr>
              <w:rPr>
                <w:rFonts w:cs="宋体"/>
              </w:rPr>
            </w:pPr>
          </w:p>
        </w:tc>
        <w:tc>
          <w:tcPr>
            <w:tcW w:w="1436" w:type="dxa"/>
            <w:tcBorders>
              <w:top w:val="single" w:color="auto" w:sz="6" w:space="0"/>
              <w:left w:val="single" w:color="auto" w:sz="6" w:space="0"/>
              <w:bottom w:val="single" w:color="auto" w:sz="6" w:space="0"/>
              <w:right w:val="single" w:color="auto" w:sz="6" w:space="0"/>
            </w:tcBorders>
            <w:noWrap/>
          </w:tcPr>
          <w:p w14:paraId="4EC12B2C">
            <w:pPr>
              <w:rPr>
                <w:rFonts w:cs="宋体"/>
              </w:rPr>
            </w:pPr>
          </w:p>
        </w:tc>
      </w:tr>
      <w:tr w14:paraId="0883A392">
        <w:tblPrEx>
          <w:tblCellMar>
            <w:top w:w="0" w:type="dxa"/>
            <w:left w:w="108" w:type="dxa"/>
            <w:bottom w:w="0" w:type="dxa"/>
            <w:right w:w="108" w:type="dxa"/>
          </w:tblCellMar>
        </w:tblPrEx>
        <w:trPr>
          <w:trHeight w:val="798" w:hRule="atLeast"/>
          <w:jc w:val="center"/>
        </w:trPr>
        <w:tc>
          <w:tcPr>
            <w:tcW w:w="820" w:type="dxa"/>
            <w:tcBorders>
              <w:top w:val="single" w:color="auto" w:sz="6" w:space="0"/>
              <w:left w:val="single" w:color="auto" w:sz="6" w:space="0"/>
              <w:bottom w:val="single" w:color="auto" w:sz="6" w:space="0"/>
              <w:right w:val="single" w:color="auto" w:sz="6" w:space="0"/>
            </w:tcBorders>
            <w:noWrap/>
          </w:tcPr>
          <w:p w14:paraId="3DD2CCEC">
            <w:pPr>
              <w:rPr>
                <w:rFonts w:cs="宋体"/>
              </w:rPr>
            </w:pPr>
          </w:p>
        </w:tc>
        <w:tc>
          <w:tcPr>
            <w:tcW w:w="1436" w:type="dxa"/>
            <w:tcBorders>
              <w:top w:val="single" w:color="auto" w:sz="6" w:space="0"/>
              <w:left w:val="single" w:color="auto" w:sz="6" w:space="0"/>
              <w:bottom w:val="single" w:color="auto" w:sz="6" w:space="0"/>
              <w:right w:val="single" w:color="auto" w:sz="6" w:space="0"/>
            </w:tcBorders>
            <w:noWrap/>
          </w:tcPr>
          <w:p w14:paraId="0C139F59">
            <w:pPr>
              <w:rPr>
                <w:rFonts w:cs="宋体"/>
              </w:rPr>
            </w:pPr>
          </w:p>
        </w:tc>
        <w:tc>
          <w:tcPr>
            <w:tcW w:w="979" w:type="dxa"/>
            <w:tcBorders>
              <w:top w:val="single" w:color="auto" w:sz="6" w:space="0"/>
              <w:left w:val="single" w:color="auto" w:sz="6" w:space="0"/>
              <w:bottom w:val="single" w:color="auto" w:sz="6" w:space="0"/>
              <w:right w:val="single" w:color="auto" w:sz="6" w:space="0"/>
            </w:tcBorders>
            <w:noWrap/>
          </w:tcPr>
          <w:p w14:paraId="7A24C881">
            <w:pPr>
              <w:rPr>
                <w:rFonts w:cs="宋体"/>
              </w:rPr>
            </w:pPr>
          </w:p>
        </w:tc>
        <w:tc>
          <w:tcPr>
            <w:tcW w:w="867" w:type="dxa"/>
            <w:tcBorders>
              <w:top w:val="single" w:color="auto" w:sz="6" w:space="0"/>
              <w:left w:val="single" w:color="auto" w:sz="6" w:space="0"/>
              <w:bottom w:val="single" w:color="auto" w:sz="6" w:space="0"/>
              <w:right w:val="single" w:color="auto" w:sz="6" w:space="0"/>
            </w:tcBorders>
            <w:noWrap/>
          </w:tcPr>
          <w:p w14:paraId="320206A0">
            <w:pPr>
              <w:rPr>
                <w:rFonts w:cs="宋体"/>
              </w:rPr>
            </w:pPr>
          </w:p>
        </w:tc>
        <w:tc>
          <w:tcPr>
            <w:tcW w:w="1126" w:type="dxa"/>
            <w:tcBorders>
              <w:top w:val="single" w:color="auto" w:sz="6" w:space="0"/>
              <w:left w:val="single" w:color="auto" w:sz="6" w:space="0"/>
              <w:bottom w:val="single" w:color="auto" w:sz="6" w:space="0"/>
              <w:right w:val="single" w:color="auto" w:sz="6" w:space="0"/>
            </w:tcBorders>
            <w:noWrap/>
          </w:tcPr>
          <w:p w14:paraId="76D1DFBA">
            <w:pPr>
              <w:rPr>
                <w:rFonts w:cs="宋体"/>
              </w:rPr>
            </w:pPr>
          </w:p>
        </w:tc>
        <w:tc>
          <w:tcPr>
            <w:tcW w:w="1103" w:type="dxa"/>
            <w:tcBorders>
              <w:top w:val="single" w:color="auto" w:sz="6" w:space="0"/>
              <w:left w:val="single" w:color="auto" w:sz="6" w:space="0"/>
              <w:bottom w:val="single" w:color="auto" w:sz="6" w:space="0"/>
              <w:right w:val="single" w:color="auto" w:sz="6" w:space="0"/>
            </w:tcBorders>
            <w:noWrap/>
          </w:tcPr>
          <w:p w14:paraId="64DC003E">
            <w:pPr>
              <w:rPr>
                <w:rFonts w:cs="宋体"/>
              </w:rPr>
            </w:pPr>
          </w:p>
        </w:tc>
        <w:tc>
          <w:tcPr>
            <w:tcW w:w="642" w:type="dxa"/>
            <w:tcBorders>
              <w:top w:val="single" w:color="auto" w:sz="6" w:space="0"/>
              <w:left w:val="single" w:color="auto" w:sz="6" w:space="0"/>
              <w:bottom w:val="single" w:color="auto" w:sz="6" w:space="0"/>
              <w:right w:val="single" w:color="auto" w:sz="6" w:space="0"/>
            </w:tcBorders>
            <w:noWrap/>
          </w:tcPr>
          <w:p w14:paraId="420A3EDF">
            <w:pPr>
              <w:rPr>
                <w:rFonts w:cs="宋体"/>
              </w:rPr>
            </w:pPr>
          </w:p>
        </w:tc>
        <w:tc>
          <w:tcPr>
            <w:tcW w:w="1026" w:type="dxa"/>
            <w:tcBorders>
              <w:top w:val="single" w:color="auto" w:sz="6" w:space="0"/>
              <w:left w:val="single" w:color="auto" w:sz="6" w:space="0"/>
              <w:bottom w:val="single" w:color="auto" w:sz="6" w:space="0"/>
              <w:right w:val="single" w:color="auto" w:sz="6" w:space="0"/>
            </w:tcBorders>
            <w:noWrap/>
          </w:tcPr>
          <w:p w14:paraId="51AB0F69">
            <w:pPr>
              <w:rPr>
                <w:rFonts w:cs="宋体"/>
              </w:rPr>
            </w:pPr>
          </w:p>
        </w:tc>
        <w:tc>
          <w:tcPr>
            <w:tcW w:w="1436" w:type="dxa"/>
            <w:tcBorders>
              <w:top w:val="single" w:color="auto" w:sz="6" w:space="0"/>
              <w:left w:val="single" w:color="auto" w:sz="6" w:space="0"/>
              <w:bottom w:val="single" w:color="auto" w:sz="6" w:space="0"/>
              <w:right w:val="single" w:color="auto" w:sz="6" w:space="0"/>
            </w:tcBorders>
            <w:noWrap/>
          </w:tcPr>
          <w:p w14:paraId="68656E7C">
            <w:pPr>
              <w:rPr>
                <w:rFonts w:cs="宋体"/>
              </w:rPr>
            </w:pPr>
          </w:p>
        </w:tc>
      </w:tr>
      <w:tr w14:paraId="2E1EF2B1">
        <w:tblPrEx>
          <w:tblCellMar>
            <w:top w:w="0" w:type="dxa"/>
            <w:left w:w="108" w:type="dxa"/>
            <w:bottom w:w="0" w:type="dxa"/>
            <w:right w:w="108" w:type="dxa"/>
          </w:tblCellMar>
        </w:tblPrEx>
        <w:trPr>
          <w:trHeight w:val="798" w:hRule="atLeast"/>
          <w:jc w:val="center"/>
        </w:trPr>
        <w:tc>
          <w:tcPr>
            <w:tcW w:w="820" w:type="dxa"/>
            <w:tcBorders>
              <w:top w:val="single" w:color="auto" w:sz="6" w:space="0"/>
              <w:left w:val="single" w:color="auto" w:sz="6" w:space="0"/>
              <w:bottom w:val="single" w:color="auto" w:sz="6" w:space="0"/>
              <w:right w:val="single" w:color="auto" w:sz="6" w:space="0"/>
            </w:tcBorders>
            <w:noWrap/>
          </w:tcPr>
          <w:p w14:paraId="28DB44EB">
            <w:pPr>
              <w:rPr>
                <w:rFonts w:cs="宋体"/>
              </w:rPr>
            </w:pPr>
          </w:p>
        </w:tc>
        <w:tc>
          <w:tcPr>
            <w:tcW w:w="1436" w:type="dxa"/>
            <w:tcBorders>
              <w:top w:val="single" w:color="auto" w:sz="6" w:space="0"/>
              <w:left w:val="single" w:color="auto" w:sz="6" w:space="0"/>
              <w:bottom w:val="single" w:color="auto" w:sz="6" w:space="0"/>
              <w:right w:val="single" w:color="auto" w:sz="6" w:space="0"/>
            </w:tcBorders>
            <w:noWrap/>
          </w:tcPr>
          <w:p w14:paraId="57F2A535">
            <w:pPr>
              <w:rPr>
                <w:rFonts w:cs="宋体"/>
              </w:rPr>
            </w:pPr>
          </w:p>
        </w:tc>
        <w:tc>
          <w:tcPr>
            <w:tcW w:w="979" w:type="dxa"/>
            <w:tcBorders>
              <w:top w:val="single" w:color="auto" w:sz="6" w:space="0"/>
              <w:left w:val="single" w:color="auto" w:sz="6" w:space="0"/>
              <w:bottom w:val="single" w:color="auto" w:sz="6" w:space="0"/>
              <w:right w:val="single" w:color="auto" w:sz="6" w:space="0"/>
            </w:tcBorders>
            <w:noWrap/>
          </w:tcPr>
          <w:p w14:paraId="45B83B6F">
            <w:pPr>
              <w:rPr>
                <w:rFonts w:cs="宋体"/>
              </w:rPr>
            </w:pPr>
          </w:p>
        </w:tc>
        <w:tc>
          <w:tcPr>
            <w:tcW w:w="867" w:type="dxa"/>
            <w:tcBorders>
              <w:top w:val="single" w:color="auto" w:sz="6" w:space="0"/>
              <w:left w:val="single" w:color="auto" w:sz="6" w:space="0"/>
              <w:bottom w:val="single" w:color="auto" w:sz="6" w:space="0"/>
              <w:right w:val="single" w:color="auto" w:sz="6" w:space="0"/>
            </w:tcBorders>
            <w:noWrap/>
          </w:tcPr>
          <w:p w14:paraId="2BACD233">
            <w:pPr>
              <w:rPr>
                <w:rFonts w:cs="宋体"/>
              </w:rPr>
            </w:pPr>
          </w:p>
        </w:tc>
        <w:tc>
          <w:tcPr>
            <w:tcW w:w="1126" w:type="dxa"/>
            <w:tcBorders>
              <w:top w:val="single" w:color="auto" w:sz="6" w:space="0"/>
              <w:left w:val="single" w:color="auto" w:sz="6" w:space="0"/>
              <w:bottom w:val="single" w:color="auto" w:sz="6" w:space="0"/>
              <w:right w:val="single" w:color="auto" w:sz="6" w:space="0"/>
            </w:tcBorders>
            <w:noWrap/>
          </w:tcPr>
          <w:p w14:paraId="0E836A64">
            <w:pPr>
              <w:rPr>
                <w:rFonts w:cs="宋体"/>
              </w:rPr>
            </w:pPr>
          </w:p>
        </w:tc>
        <w:tc>
          <w:tcPr>
            <w:tcW w:w="1103" w:type="dxa"/>
            <w:tcBorders>
              <w:top w:val="single" w:color="auto" w:sz="6" w:space="0"/>
              <w:left w:val="single" w:color="auto" w:sz="6" w:space="0"/>
              <w:bottom w:val="single" w:color="auto" w:sz="6" w:space="0"/>
              <w:right w:val="single" w:color="auto" w:sz="6" w:space="0"/>
            </w:tcBorders>
            <w:noWrap/>
          </w:tcPr>
          <w:p w14:paraId="3E4863B6">
            <w:pPr>
              <w:rPr>
                <w:rFonts w:cs="宋体"/>
              </w:rPr>
            </w:pPr>
          </w:p>
        </w:tc>
        <w:tc>
          <w:tcPr>
            <w:tcW w:w="642" w:type="dxa"/>
            <w:tcBorders>
              <w:top w:val="single" w:color="auto" w:sz="6" w:space="0"/>
              <w:left w:val="single" w:color="auto" w:sz="6" w:space="0"/>
              <w:bottom w:val="single" w:color="auto" w:sz="6" w:space="0"/>
              <w:right w:val="single" w:color="auto" w:sz="6" w:space="0"/>
            </w:tcBorders>
            <w:noWrap/>
          </w:tcPr>
          <w:p w14:paraId="07C54A79">
            <w:pPr>
              <w:rPr>
                <w:rFonts w:cs="宋体"/>
              </w:rPr>
            </w:pPr>
          </w:p>
        </w:tc>
        <w:tc>
          <w:tcPr>
            <w:tcW w:w="1026" w:type="dxa"/>
            <w:tcBorders>
              <w:top w:val="single" w:color="auto" w:sz="6" w:space="0"/>
              <w:left w:val="single" w:color="auto" w:sz="6" w:space="0"/>
              <w:bottom w:val="single" w:color="auto" w:sz="6" w:space="0"/>
              <w:right w:val="single" w:color="auto" w:sz="6" w:space="0"/>
            </w:tcBorders>
            <w:noWrap/>
          </w:tcPr>
          <w:p w14:paraId="35DEFF88">
            <w:pPr>
              <w:rPr>
                <w:rFonts w:cs="宋体"/>
              </w:rPr>
            </w:pPr>
          </w:p>
        </w:tc>
        <w:tc>
          <w:tcPr>
            <w:tcW w:w="1436" w:type="dxa"/>
            <w:tcBorders>
              <w:top w:val="single" w:color="auto" w:sz="6" w:space="0"/>
              <w:left w:val="single" w:color="auto" w:sz="6" w:space="0"/>
              <w:bottom w:val="single" w:color="auto" w:sz="6" w:space="0"/>
              <w:right w:val="single" w:color="auto" w:sz="6" w:space="0"/>
            </w:tcBorders>
            <w:noWrap/>
          </w:tcPr>
          <w:p w14:paraId="055AF78F">
            <w:pPr>
              <w:rPr>
                <w:rFonts w:cs="宋体"/>
              </w:rPr>
            </w:pPr>
          </w:p>
        </w:tc>
      </w:tr>
      <w:tr w14:paraId="0918EE92">
        <w:tblPrEx>
          <w:tblCellMar>
            <w:top w:w="0" w:type="dxa"/>
            <w:left w:w="108" w:type="dxa"/>
            <w:bottom w:w="0" w:type="dxa"/>
            <w:right w:w="108" w:type="dxa"/>
          </w:tblCellMar>
        </w:tblPrEx>
        <w:trPr>
          <w:trHeight w:val="836" w:hRule="atLeast"/>
          <w:jc w:val="center"/>
        </w:trPr>
        <w:tc>
          <w:tcPr>
            <w:tcW w:w="820" w:type="dxa"/>
            <w:tcBorders>
              <w:top w:val="single" w:color="auto" w:sz="6" w:space="0"/>
              <w:left w:val="single" w:color="auto" w:sz="6" w:space="0"/>
              <w:bottom w:val="single" w:color="auto" w:sz="6" w:space="0"/>
              <w:right w:val="single" w:color="auto" w:sz="6" w:space="0"/>
            </w:tcBorders>
            <w:noWrap/>
          </w:tcPr>
          <w:p w14:paraId="0E7B673F">
            <w:pPr>
              <w:rPr>
                <w:rFonts w:cs="宋体"/>
              </w:rPr>
            </w:pPr>
          </w:p>
        </w:tc>
        <w:tc>
          <w:tcPr>
            <w:tcW w:w="1436" w:type="dxa"/>
            <w:tcBorders>
              <w:top w:val="single" w:color="auto" w:sz="6" w:space="0"/>
              <w:left w:val="single" w:color="auto" w:sz="6" w:space="0"/>
              <w:bottom w:val="single" w:color="auto" w:sz="6" w:space="0"/>
              <w:right w:val="single" w:color="auto" w:sz="6" w:space="0"/>
            </w:tcBorders>
            <w:noWrap/>
          </w:tcPr>
          <w:p w14:paraId="6C2663E4">
            <w:pPr>
              <w:rPr>
                <w:rFonts w:cs="宋体"/>
              </w:rPr>
            </w:pPr>
          </w:p>
        </w:tc>
        <w:tc>
          <w:tcPr>
            <w:tcW w:w="979" w:type="dxa"/>
            <w:tcBorders>
              <w:top w:val="single" w:color="auto" w:sz="6" w:space="0"/>
              <w:left w:val="single" w:color="auto" w:sz="6" w:space="0"/>
              <w:bottom w:val="single" w:color="auto" w:sz="6" w:space="0"/>
              <w:right w:val="single" w:color="auto" w:sz="6" w:space="0"/>
            </w:tcBorders>
            <w:noWrap/>
          </w:tcPr>
          <w:p w14:paraId="4811980E">
            <w:pPr>
              <w:rPr>
                <w:rFonts w:cs="宋体"/>
              </w:rPr>
            </w:pPr>
          </w:p>
        </w:tc>
        <w:tc>
          <w:tcPr>
            <w:tcW w:w="867" w:type="dxa"/>
            <w:tcBorders>
              <w:top w:val="single" w:color="auto" w:sz="6" w:space="0"/>
              <w:left w:val="single" w:color="auto" w:sz="6" w:space="0"/>
              <w:bottom w:val="single" w:color="auto" w:sz="6" w:space="0"/>
              <w:right w:val="single" w:color="auto" w:sz="6" w:space="0"/>
            </w:tcBorders>
            <w:noWrap/>
          </w:tcPr>
          <w:p w14:paraId="5650F811">
            <w:pPr>
              <w:rPr>
                <w:rFonts w:cs="宋体"/>
              </w:rPr>
            </w:pPr>
          </w:p>
        </w:tc>
        <w:tc>
          <w:tcPr>
            <w:tcW w:w="1126" w:type="dxa"/>
            <w:tcBorders>
              <w:top w:val="single" w:color="auto" w:sz="6" w:space="0"/>
              <w:left w:val="single" w:color="auto" w:sz="6" w:space="0"/>
              <w:bottom w:val="single" w:color="auto" w:sz="6" w:space="0"/>
              <w:right w:val="single" w:color="auto" w:sz="6" w:space="0"/>
            </w:tcBorders>
            <w:noWrap/>
          </w:tcPr>
          <w:p w14:paraId="2972BC73">
            <w:pPr>
              <w:rPr>
                <w:rFonts w:cs="宋体"/>
              </w:rPr>
            </w:pPr>
          </w:p>
        </w:tc>
        <w:tc>
          <w:tcPr>
            <w:tcW w:w="1103" w:type="dxa"/>
            <w:tcBorders>
              <w:top w:val="single" w:color="auto" w:sz="6" w:space="0"/>
              <w:left w:val="single" w:color="auto" w:sz="6" w:space="0"/>
              <w:bottom w:val="single" w:color="auto" w:sz="6" w:space="0"/>
              <w:right w:val="single" w:color="auto" w:sz="6" w:space="0"/>
            </w:tcBorders>
            <w:noWrap/>
          </w:tcPr>
          <w:p w14:paraId="1DA5645B">
            <w:pPr>
              <w:rPr>
                <w:rFonts w:cs="宋体"/>
              </w:rPr>
            </w:pPr>
          </w:p>
        </w:tc>
        <w:tc>
          <w:tcPr>
            <w:tcW w:w="642" w:type="dxa"/>
            <w:tcBorders>
              <w:top w:val="single" w:color="auto" w:sz="6" w:space="0"/>
              <w:left w:val="single" w:color="auto" w:sz="6" w:space="0"/>
              <w:bottom w:val="single" w:color="auto" w:sz="6" w:space="0"/>
              <w:right w:val="single" w:color="auto" w:sz="6" w:space="0"/>
            </w:tcBorders>
            <w:noWrap/>
          </w:tcPr>
          <w:p w14:paraId="08DA3399">
            <w:pPr>
              <w:rPr>
                <w:rFonts w:cs="宋体"/>
              </w:rPr>
            </w:pPr>
          </w:p>
        </w:tc>
        <w:tc>
          <w:tcPr>
            <w:tcW w:w="1026" w:type="dxa"/>
            <w:tcBorders>
              <w:top w:val="single" w:color="auto" w:sz="6" w:space="0"/>
              <w:left w:val="single" w:color="auto" w:sz="6" w:space="0"/>
              <w:bottom w:val="single" w:color="auto" w:sz="6" w:space="0"/>
              <w:right w:val="single" w:color="auto" w:sz="6" w:space="0"/>
            </w:tcBorders>
            <w:noWrap/>
          </w:tcPr>
          <w:p w14:paraId="1C05CD15">
            <w:pPr>
              <w:rPr>
                <w:rFonts w:cs="宋体"/>
              </w:rPr>
            </w:pPr>
          </w:p>
        </w:tc>
        <w:tc>
          <w:tcPr>
            <w:tcW w:w="1436" w:type="dxa"/>
            <w:tcBorders>
              <w:top w:val="single" w:color="auto" w:sz="6" w:space="0"/>
              <w:left w:val="single" w:color="auto" w:sz="6" w:space="0"/>
              <w:bottom w:val="single" w:color="auto" w:sz="6" w:space="0"/>
              <w:right w:val="single" w:color="auto" w:sz="6" w:space="0"/>
            </w:tcBorders>
            <w:noWrap/>
          </w:tcPr>
          <w:p w14:paraId="6B8CC0DD">
            <w:pPr>
              <w:rPr>
                <w:rFonts w:cs="宋体"/>
              </w:rPr>
            </w:pPr>
          </w:p>
        </w:tc>
      </w:tr>
      <w:tr w14:paraId="4760CF3F">
        <w:tblPrEx>
          <w:tblCellMar>
            <w:top w:w="0" w:type="dxa"/>
            <w:left w:w="108" w:type="dxa"/>
            <w:bottom w:w="0" w:type="dxa"/>
            <w:right w:w="108" w:type="dxa"/>
          </w:tblCellMar>
        </w:tblPrEx>
        <w:trPr>
          <w:trHeight w:val="798" w:hRule="atLeast"/>
          <w:jc w:val="center"/>
        </w:trPr>
        <w:tc>
          <w:tcPr>
            <w:tcW w:w="820" w:type="dxa"/>
            <w:tcBorders>
              <w:top w:val="single" w:color="auto" w:sz="6" w:space="0"/>
              <w:left w:val="single" w:color="auto" w:sz="6" w:space="0"/>
              <w:bottom w:val="single" w:color="auto" w:sz="6" w:space="0"/>
              <w:right w:val="single" w:color="auto" w:sz="6" w:space="0"/>
            </w:tcBorders>
            <w:noWrap/>
          </w:tcPr>
          <w:p w14:paraId="0D425398">
            <w:pPr>
              <w:rPr>
                <w:rFonts w:cs="宋体"/>
              </w:rPr>
            </w:pPr>
          </w:p>
        </w:tc>
        <w:tc>
          <w:tcPr>
            <w:tcW w:w="1436" w:type="dxa"/>
            <w:tcBorders>
              <w:top w:val="single" w:color="auto" w:sz="6" w:space="0"/>
              <w:left w:val="single" w:color="auto" w:sz="6" w:space="0"/>
              <w:bottom w:val="single" w:color="auto" w:sz="6" w:space="0"/>
              <w:right w:val="single" w:color="auto" w:sz="6" w:space="0"/>
            </w:tcBorders>
            <w:noWrap/>
          </w:tcPr>
          <w:p w14:paraId="183980DF">
            <w:pPr>
              <w:rPr>
                <w:rFonts w:cs="宋体"/>
              </w:rPr>
            </w:pPr>
          </w:p>
        </w:tc>
        <w:tc>
          <w:tcPr>
            <w:tcW w:w="979" w:type="dxa"/>
            <w:tcBorders>
              <w:top w:val="single" w:color="auto" w:sz="6" w:space="0"/>
              <w:left w:val="single" w:color="auto" w:sz="6" w:space="0"/>
              <w:bottom w:val="single" w:color="auto" w:sz="6" w:space="0"/>
              <w:right w:val="single" w:color="auto" w:sz="6" w:space="0"/>
            </w:tcBorders>
            <w:noWrap/>
          </w:tcPr>
          <w:p w14:paraId="3E621DA0">
            <w:pPr>
              <w:rPr>
                <w:rFonts w:cs="宋体"/>
              </w:rPr>
            </w:pPr>
          </w:p>
        </w:tc>
        <w:tc>
          <w:tcPr>
            <w:tcW w:w="867" w:type="dxa"/>
            <w:tcBorders>
              <w:top w:val="single" w:color="auto" w:sz="6" w:space="0"/>
              <w:left w:val="single" w:color="auto" w:sz="6" w:space="0"/>
              <w:bottom w:val="single" w:color="auto" w:sz="6" w:space="0"/>
              <w:right w:val="single" w:color="auto" w:sz="6" w:space="0"/>
            </w:tcBorders>
            <w:noWrap/>
          </w:tcPr>
          <w:p w14:paraId="59071E87">
            <w:pPr>
              <w:rPr>
                <w:rFonts w:cs="宋体"/>
              </w:rPr>
            </w:pPr>
          </w:p>
        </w:tc>
        <w:tc>
          <w:tcPr>
            <w:tcW w:w="1126" w:type="dxa"/>
            <w:tcBorders>
              <w:top w:val="single" w:color="auto" w:sz="6" w:space="0"/>
              <w:left w:val="single" w:color="auto" w:sz="6" w:space="0"/>
              <w:bottom w:val="single" w:color="auto" w:sz="6" w:space="0"/>
              <w:right w:val="single" w:color="auto" w:sz="6" w:space="0"/>
            </w:tcBorders>
            <w:noWrap/>
          </w:tcPr>
          <w:p w14:paraId="4C32F654">
            <w:pPr>
              <w:rPr>
                <w:rFonts w:cs="宋体"/>
              </w:rPr>
            </w:pPr>
          </w:p>
        </w:tc>
        <w:tc>
          <w:tcPr>
            <w:tcW w:w="1103" w:type="dxa"/>
            <w:tcBorders>
              <w:top w:val="single" w:color="auto" w:sz="6" w:space="0"/>
              <w:left w:val="single" w:color="auto" w:sz="6" w:space="0"/>
              <w:bottom w:val="single" w:color="auto" w:sz="6" w:space="0"/>
              <w:right w:val="single" w:color="auto" w:sz="6" w:space="0"/>
            </w:tcBorders>
            <w:noWrap/>
          </w:tcPr>
          <w:p w14:paraId="0BBACDC5">
            <w:pPr>
              <w:rPr>
                <w:rFonts w:cs="宋体"/>
              </w:rPr>
            </w:pPr>
          </w:p>
        </w:tc>
        <w:tc>
          <w:tcPr>
            <w:tcW w:w="642" w:type="dxa"/>
            <w:tcBorders>
              <w:top w:val="single" w:color="auto" w:sz="6" w:space="0"/>
              <w:left w:val="single" w:color="auto" w:sz="6" w:space="0"/>
              <w:bottom w:val="single" w:color="auto" w:sz="6" w:space="0"/>
              <w:right w:val="single" w:color="auto" w:sz="6" w:space="0"/>
            </w:tcBorders>
            <w:noWrap/>
          </w:tcPr>
          <w:p w14:paraId="77086D42">
            <w:pPr>
              <w:rPr>
                <w:rFonts w:cs="宋体"/>
              </w:rPr>
            </w:pPr>
          </w:p>
        </w:tc>
        <w:tc>
          <w:tcPr>
            <w:tcW w:w="1026" w:type="dxa"/>
            <w:tcBorders>
              <w:top w:val="single" w:color="auto" w:sz="6" w:space="0"/>
              <w:left w:val="single" w:color="auto" w:sz="6" w:space="0"/>
              <w:bottom w:val="single" w:color="auto" w:sz="6" w:space="0"/>
              <w:right w:val="single" w:color="auto" w:sz="6" w:space="0"/>
            </w:tcBorders>
            <w:noWrap/>
          </w:tcPr>
          <w:p w14:paraId="0A277811">
            <w:pPr>
              <w:rPr>
                <w:rFonts w:cs="宋体"/>
              </w:rPr>
            </w:pPr>
          </w:p>
        </w:tc>
        <w:tc>
          <w:tcPr>
            <w:tcW w:w="1436" w:type="dxa"/>
            <w:tcBorders>
              <w:top w:val="single" w:color="auto" w:sz="6" w:space="0"/>
              <w:left w:val="single" w:color="auto" w:sz="6" w:space="0"/>
              <w:bottom w:val="single" w:color="auto" w:sz="6" w:space="0"/>
              <w:right w:val="single" w:color="auto" w:sz="6" w:space="0"/>
            </w:tcBorders>
            <w:noWrap/>
          </w:tcPr>
          <w:p w14:paraId="379346F8">
            <w:pPr>
              <w:rPr>
                <w:rFonts w:cs="宋体"/>
              </w:rPr>
            </w:pPr>
          </w:p>
        </w:tc>
      </w:tr>
      <w:tr w14:paraId="030D404D">
        <w:tblPrEx>
          <w:tblCellMar>
            <w:top w:w="0" w:type="dxa"/>
            <w:left w:w="108" w:type="dxa"/>
            <w:bottom w:w="0" w:type="dxa"/>
            <w:right w:w="108" w:type="dxa"/>
          </w:tblCellMar>
        </w:tblPrEx>
        <w:trPr>
          <w:trHeight w:val="836" w:hRule="atLeast"/>
          <w:jc w:val="center"/>
        </w:trPr>
        <w:tc>
          <w:tcPr>
            <w:tcW w:w="820" w:type="dxa"/>
            <w:tcBorders>
              <w:top w:val="single" w:color="auto" w:sz="6" w:space="0"/>
              <w:left w:val="single" w:color="auto" w:sz="6" w:space="0"/>
              <w:bottom w:val="single" w:color="auto" w:sz="6" w:space="0"/>
              <w:right w:val="single" w:color="auto" w:sz="6" w:space="0"/>
            </w:tcBorders>
            <w:noWrap/>
          </w:tcPr>
          <w:p w14:paraId="3CB2A0A0">
            <w:pPr>
              <w:rPr>
                <w:rFonts w:cs="宋体"/>
              </w:rPr>
            </w:pPr>
          </w:p>
        </w:tc>
        <w:tc>
          <w:tcPr>
            <w:tcW w:w="1436" w:type="dxa"/>
            <w:tcBorders>
              <w:top w:val="single" w:color="auto" w:sz="6" w:space="0"/>
              <w:left w:val="single" w:color="auto" w:sz="6" w:space="0"/>
              <w:bottom w:val="single" w:color="auto" w:sz="6" w:space="0"/>
              <w:right w:val="single" w:color="auto" w:sz="6" w:space="0"/>
            </w:tcBorders>
            <w:noWrap/>
          </w:tcPr>
          <w:p w14:paraId="0831D715">
            <w:pPr>
              <w:rPr>
                <w:rFonts w:cs="宋体"/>
              </w:rPr>
            </w:pPr>
          </w:p>
        </w:tc>
        <w:tc>
          <w:tcPr>
            <w:tcW w:w="979" w:type="dxa"/>
            <w:tcBorders>
              <w:top w:val="single" w:color="auto" w:sz="6" w:space="0"/>
              <w:left w:val="single" w:color="auto" w:sz="6" w:space="0"/>
              <w:bottom w:val="single" w:color="auto" w:sz="6" w:space="0"/>
              <w:right w:val="single" w:color="auto" w:sz="6" w:space="0"/>
            </w:tcBorders>
            <w:noWrap/>
          </w:tcPr>
          <w:p w14:paraId="03FF708E">
            <w:pPr>
              <w:rPr>
                <w:rFonts w:cs="宋体"/>
              </w:rPr>
            </w:pPr>
          </w:p>
        </w:tc>
        <w:tc>
          <w:tcPr>
            <w:tcW w:w="867" w:type="dxa"/>
            <w:tcBorders>
              <w:top w:val="single" w:color="auto" w:sz="6" w:space="0"/>
              <w:left w:val="single" w:color="auto" w:sz="6" w:space="0"/>
              <w:bottom w:val="single" w:color="auto" w:sz="6" w:space="0"/>
              <w:right w:val="single" w:color="auto" w:sz="6" w:space="0"/>
            </w:tcBorders>
            <w:noWrap/>
          </w:tcPr>
          <w:p w14:paraId="67EB943E">
            <w:pPr>
              <w:rPr>
                <w:rFonts w:cs="宋体"/>
              </w:rPr>
            </w:pPr>
          </w:p>
        </w:tc>
        <w:tc>
          <w:tcPr>
            <w:tcW w:w="1126" w:type="dxa"/>
            <w:tcBorders>
              <w:top w:val="single" w:color="auto" w:sz="6" w:space="0"/>
              <w:left w:val="single" w:color="auto" w:sz="6" w:space="0"/>
              <w:bottom w:val="single" w:color="auto" w:sz="6" w:space="0"/>
              <w:right w:val="single" w:color="auto" w:sz="6" w:space="0"/>
            </w:tcBorders>
            <w:noWrap/>
          </w:tcPr>
          <w:p w14:paraId="68F3024A">
            <w:pPr>
              <w:rPr>
                <w:rFonts w:cs="宋体"/>
              </w:rPr>
            </w:pPr>
          </w:p>
        </w:tc>
        <w:tc>
          <w:tcPr>
            <w:tcW w:w="1103" w:type="dxa"/>
            <w:tcBorders>
              <w:top w:val="single" w:color="auto" w:sz="6" w:space="0"/>
              <w:left w:val="single" w:color="auto" w:sz="6" w:space="0"/>
              <w:bottom w:val="single" w:color="auto" w:sz="6" w:space="0"/>
              <w:right w:val="single" w:color="auto" w:sz="6" w:space="0"/>
            </w:tcBorders>
            <w:noWrap/>
          </w:tcPr>
          <w:p w14:paraId="395D421D">
            <w:pPr>
              <w:rPr>
                <w:rFonts w:cs="宋体"/>
              </w:rPr>
            </w:pPr>
          </w:p>
        </w:tc>
        <w:tc>
          <w:tcPr>
            <w:tcW w:w="642" w:type="dxa"/>
            <w:tcBorders>
              <w:top w:val="single" w:color="auto" w:sz="6" w:space="0"/>
              <w:left w:val="single" w:color="auto" w:sz="6" w:space="0"/>
              <w:bottom w:val="single" w:color="auto" w:sz="6" w:space="0"/>
              <w:right w:val="single" w:color="auto" w:sz="6" w:space="0"/>
            </w:tcBorders>
            <w:noWrap/>
          </w:tcPr>
          <w:p w14:paraId="7F848BA5">
            <w:pPr>
              <w:rPr>
                <w:rFonts w:cs="宋体"/>
              </w:rPr>
            </w:pPr>
          </w:p>
        </w:tc>
        <w:tc>
          <w:tcPr>
            <w:tcW w:w="1026" w:type="dxa"/>
            <w:tcBorders>
              <w:top w:val="single" w:color="auto" w:sz="6" w:space="0"/>
              <w:left w:val="single" w:color="auto" w:sz="6" w:space="0"/>
              <w:bottom w:val="single" w:color="auto" w:sz="6" w:space="0"/>
              <w:right w:val="single" w:color="auto" w:sz="6" w:space="0"/>
            </w:tcBorders>
            <w:noWrap/>
          </w:tcPr>
          <w:p w14:paraId="219C11BE">
            <w:pPr>
              <w:rPr>
                <w:rFonts w:cs="宋体"/>
              </w:rPr>
            </w:pPr>
          </w:p>
        </w:tc>
        <w:tc>
          <w:tcPr>
            <w:tcW w:w="1436" w:type="dxa"/>
            <w:tcBorders>
              <w:top w:val="single" w:color="auto" w:sz="6" w:space="0"/>
              <w:left w:val="single" w:color="auto" w:sz="6" w:space="0"/>
              <w:bottom w:val="single" w:color="auto" w:sz="6" w:space="0"/>
              <w:right w:val="single" w:color="auto" w:sz="6" w:space="0"/>
            </w:tcBorders>
            <w:noWrap/>
          </w:tcPr>
          <w:p w14:paraId="42814A53">
            <w:pPr>
              <w:rPr>
                <w:rFonts w:cs="宋体"/>
              </w:rPr>
            </w:pPr>
          </w:p>
        </w:tc>
      </w:tr>
      <w:tr w14:paraId="76B15F0B">
        <w:tblPrEx>
          <w:tblCellMar>
            <w:top w:w="0" w:type="dxa"/>
            <w:left w:w="108" w:type="dxa"/>
            <w:bottom w:w="0" w:type="dxa"/>
            <w:right w:w="108" w:type="dxa"/>
          </w:tblCellMar>
        </w:tblPrEx>
        <w:trPr>
          <w:trHeight w:val="798" w:hRule="atLeast"/>
          <w:jc w:val="center"/>
        </w:trPr>
        <w:tc>
          <w:tcPr>
            <w:tcW w:w="820" w:type="dxa"/>
            <w:tcBorders>
              <w:top w:val="single" w:color="auto" w:sz="6" w:space="0"/>
              <w:left w:val="single" w:color="auto" w:sz="6" w:space="0"/>
              <w:bottom w:val="single" w:color="auto" w:sz="6" w:space="0"/>
              <w:right w:val="single" w:color="auto" w:sz="6" w:space="0"/>
            </w:tcBorders>
            <w:noWrap/>
          </w:tcPr>
          <w:p w14:paraId="033B3C6A">
            <w:pPr>
              <w:rPr>
                <w:rFonts w:cs="宋体"/>
              </w:rPr>
            </w:pPr>
          </w:p>
        </w:tc>
        <w:tc>
          <w:tcPr>
            <w:tcW w:w="1436" w:type="dxa"/>
            <w:tcBorders>
              <w:top w:val="single" w:color="auto" w:sz="6" w:space="0"/>
              <w:left w:val="single" w:color="auto" w:sz="6" w:space="0"/>
              <w:bottom w:val="single" w:color="auto" w:sz="6" w:space="0"/>
              <w:right w:val="single" w:color="auto" w:sz="6" w:space="0"/>
            </w:tcBorders>
            <w:noWrap/>
          </w:tcPr>
          <w:p w14:paraId="5F9BEC04">
            <w:pPr>
              <w:rPr>
                <w:rFonts w:cs="宋体"/>
              </w:rPr>
            </w:pPr>
          </w:p>
        </w:tc>
        <w:tc>
          <w:tcPr>
            <w:tcW w:w="979" w:type="dxa"/>
            <w:tcBorders>
              <w:top w:val="single" w:color="auto" w:sz="6" w:space="0"/>
              <w:left w:val="single" w:color="auto" w:sz="6" w:space="0"/>
              <w:bottom w:val="single" w:color="auto" w:sz="6" w:space="0"/>
              <w:right w:val="single" w:color="auto" w:sz="6" w:space="0"/>
            </w:tcBorders>
            <w:noWrap/>
          </w:tcPr>
          <w:p w14:paraId="62137BD9">
            <w:pPr>
              <w:rPr>
                <w:rFonts w:cs="宋体"/>
              </w:rPr>
            </w:pPr>
          </w:p>
        </w:tc>
        <w:tc>
          <w:tcPr>
            <w:tcW w:w="867" w:type="dxa"/>
            <w:tcBorders>
              <w:top w:val="single" w:color="auto" w:sz="6" w:space="0"/>
              <w:left w:val="single" w:color="auto" w:sz="6" w:space="0"/>
              <w:bottom w:val="single" w:color="auto" w:sz="6" w:space="0"/>
              <w:right w:val="single" w:color="auto" w:sz="6" w:space="0"/>
            </w:tcBorders>
            <w:noWrap/>
          </w:tcPr>
          <w:p w14:paraId="478FE4F9">
            <w:pPr>
              <w:rPr>
                <w:rFonts w:cs="宋体"/>
              </w:rPr>
            </w:pPr>
          </w:p>
        </w:tc>
        <w:tc>
          <w:tcPr>
            <w:tcW w:w="1126" w:type="dxa"/>
            <w:tcBorders>
              <w:top w:val="single" w:color="auto" w:sz="6" w:space="0"/>
              <w:left w:val="single" w:color="auto" w:sz="6" w:space="0"/>
              <w:bottom w:val="single" w:color="auto" w:sz="6" w:space="0"/>
              <w:right w:val="single" w:color="auto" w:sz="6" w:space="0"/>
            </w:tcBorders>
            <w:noWrap/>
          </w:tcPr>
          <w:p w14:paraId="1CE91E4D">
            <w:pPr>
              <w:rPr>
                <w:rFonts w:cs="宋体"/>
              </w:rPr>
            </w:pPr>
          </w:p>
        </w:tc>
        <w:tc>
          <w:tcPr>
            <w:tcW w:w="1103" w:type="dxa"/>
            <w:tcBorders>
              <w:top w:val="single" w:color="auto" w:sz="6" w:space="0"/>
              <w:left w:val="single" w:color="auto" w:sz="6" w:space="0"/>
              <w:bottom w:val="single" w:color="auto" w:sz="6" w:space="0"/>
              <w:right w:val="single" w:color="auto" w:sz="6" w:space="0"/>
            </w:tcBorders>
            <w:noWrap/>
          </w:tcPr>
          <w:p w14:paraId="35726DCF">
            <w:pPr>
              <w:rPr>
                <w:rFonts w:cs="宋体"/>
              </w:rPr>
            </w:pPr>
          </w:p>
        </w:tc>
        <w:tc>
          <w:tcPr>
            <w:tcW w:w="642" w:type="dxa"/>
            <w:tcBorders>
              <w:top w:val="single" w:color="auto" w:sz="6" w:space="0"/>
              <w:left w:val="single" w:color="auto" w:sz="6" w:space="0"/>
              <w:bottom w:val="single" w:color="auto" w:sz="6" w:space="0"/>
              <w:right w:val="single" w:color="auto" w:sz="6" w:space="0"/>
            </w:tcBorders>
            <w:noWrap/>
          </w:tcPr>
          <w:p w14:paraId="3EDEF5AB">
            <w:pPr>
              <w:rPr>
                <w:rFonts w:cs="宋体"/>
              </w:rPr>
            </w:pPr>
          </w:p>
        </w:tc>
        <w:tc>
          <w:tcPr>
            <w:tcW w:w="1026" w:type="dxa"/>
            <w:tcBorders>
              <w:top w:val="single" w:color="auto" w:sz="6" w:space="0"/>
              <w:left w:val="single" w:color="auto" w:sz="6" w:space="0"/>
              <w:bottom w:val="single" w:color="auto" w:sz="6" w:space="0"/>
              <w:right w:val="single" w:color="auto" w:sz="6" w:space="0"/>
            </w:tcBorders>
            <w:noWrap/>
          </w:tcPr>
          <w:p w14:paraId="785CFCC9">
            <w:pPr>
              <w:rPr>
                <w:rFonts w:cs="宋体"/>
              </w:rPr>
            </w:pPr>
          </w:p>
        </w:tc>
        <w:tc>
          <w:tcPr>
            <w:tcW w:w="1436" w:type="dxa"/>
            <w:tcBorders>
              <w:top w:val="single" w:color="auto" w:sz="6" w:space="0"/>
              <w:left w:val="single" w:color="auto" w:sz="6" w:space="0"/>
              <w:bottom w:val="single" w:color="auto" w:sz="6" w:space="0"/>
              <w:right w:val="single" w:color="auto" w:sz="6" w:space="0"/>
            </w:tcBorders>
            <w:noWrap/>
          </w:tcPr>
          <w:p w14:paraId="3D768EAE">
            <w:pPr>
              <w:rPr>
                <w:rFonts w:cs="宋体"/>
              </w:rPr>
            </w:pPr>
          </w:p>
        </w:tc>
      </w:tr>
      <w:tr w14:paraId="181976F0">
        <w:tblPrEx>
          <w:tblCellMar>
            <w:top w:w="0" w:type="dxa"/>
            <w:left w:w="108" w:type="dxa"/>
            <w:bottom w:w="0" w:type="dxa"/>
            <w:right w:w="108" w:type="dxa"/>
          </w:tblCellMar>
        </w:tblPrEx>
        <w:trPr>
          <w:trHeight w:val="836" w:hRule="atLeast"/>
          <w:jc w:val="center"/>
        </w:trPr>
        <w:tc>
          <w:tcPr>
            <w:tcW w:w="820" w:type="dxa"/>
            <w:tcBorders>
              <w:top w:val="single" w:color="auto" w:sz="6" w:space="0"/>
              <w:left w:val="single" w:color="auto" w:sz="6" w:space="0"/>
              <w:bottom w:val="single" w:color="auto" w:sz="6" w:space="0"/>
              <w:right w:val="single" w:color="auto" w:sz="6" w:space="0"/>
            </w:tcBorders>
            <w:noWrap/>
          </w:tcPr>
          <w:p w14:paraId="60CE1825">
            <w:pPr>
              <w:rPr>
                <w:rFonts w:cs="宋体"/>
              </w:rPr>
            </w:pPr>
          </w:p>
        </w:tc>
        <w:tc>
          <w:tcPr>
            <w:tcW w:w="1436" w:type="dxa"/>
            <w:tcBorders>
              <w:top w:val="single" w:color="auto" w:sz="6" w:space="0"/>
              <w:left w:val="single" w:color="auto" w:sz="6" w:space="0"/>
              <w:bottom w:val="single" w:color="auto" w:sz="6" w:space="0"/>
              <w:right w:val="single" w:color="auto" w:sz="6" w:space="0"/>
            </w:tcBorders>
            <w:noWrap/>
          </w:tcPr>
          <w:p w14:paraId="2677567D">
            <w:pPr>
              <w:rPr>
                <w:rFonts w:cs="宋体"/>
              </w:rPr>
            </w:pPr>
          </w:p>
        </w:tc>
        <w:tc>
          <w:tcPr>
            <w:tcW w:w="979" w:type="dxa"/>
            <w:tcBorders>
              <w:top w:val="single" w:color="auto" w:sz="6" w:space="0"/>
              <w:left w:val="single" w:color="auto" w:sz="6" w:space="0"/>
              <w:bottom w:val="single" w:color="auto" w:sz="6" w:space="0"/>
              <w:right w:val="single" w:color="auto" w:sz="6" w:space="0"/>
            </w:tcBorders>
            <w:noWrap/>
          </w:tcPr>
          <w:p w14:paraId="0DCC2D77">
            <w:pPr>
              <w:rPr>
                <w:rFonts w:cs="宋体"/>
              </w:rPr>
            </w:pPr>
          </w:p>
        </w:tc>
        <w:tc>
          <w:tcPr>
            <w:tcW w:w="867" w:type="dxa"/>
            <w:tcBorders>
              <w:top w:val="single" w:color="auto" w:sz="6" w:space="0"/>
              <w:left w:val="single" w:color="auto" w:sz="6" w:space="0"/>
              <w:bottom w:val="single" w:color="auto" w:sz="6" w:space="0"/>
              <w:right w:val="single" w:color="auto" w:sz="6" w:space="0"/>
            </w:tcBorders>
            <w:noWrap/>
          </w:tcPr>
          <w:p w14:paraId="2F1012D6">
            <w:pPr>
              <w:rPr>
                <w:rFonts w:cs="宋体"/>
              </w:rPr>
            </w:pPr>
          </w:p>
        </w:tc>
        <w:tc>
          <w:tcPr>
            <w:tcW w:w="1126" w:type="dxa"/>
            <w:tcBorders>
              <w:top w:val="single" w:color="auto" w:sz="6" w:space="0"/>
              <w:left w:val="single" w:color="auto" w:sz="6" w:space="0"/>
              <w:bottom w:val="single" w:color="auto" w:sz="6" w:space="0"/>
              <w:right w:val="single" w:color="auto" w:sz="6" w:space="0"/>
            </w:tcBorders>
            <w:noWrap/>
          </w:tcPr>
          <w:p w14:paraId="379DE92A">
            <w:pPr>
              <w:rPr>
                <w:rFonts w:cs="宋体"/>
              </w:rPr>
            </w:pPr>
          </w:p>
        </w:tc>
        <w:tc>
          <w:tcPr>
            <w:tcW w:w="1103" w:type="dxa"/>
            <w:tcBorders>
              <w:top w:val="single" w:color="auto" w:sz="6" w:space="0"/>
              <w:left w:val="single" w:color="auto" w:sz="6" w:space="0"/>
              <w:bottom w:val="single" w:color="auto" w:sz="6" w:space="0"/>
              <w:right w:val="single" w:color="auto" w:sz="6" w:space="0"/>
            </w:tcBorders>
            <w:noWrap/>
          </w:tcPr>
          <w:p w14:paraId="7B677854">
            <w:pPr>
              <w:rPr>
                <w:rFonts w:cs="宋体"/>
              </w:rPr>
            </w:pPr>
          </w:p>
        </w:tc>
        <w:tc>
          <w:tcPr>
            <w:tcW w:w="642" w:type="dxa"/>
            <w:tcBorders>
              <w:top w:val="single" w:color="auto" w:sz="6" w:space="0"/>
              <w:left w:val="single" w:color="auto" w:sz="6" w:space="0"/>
              <w:bottom w:val="single" w:color="auto" w:sz="6" w:space="0"/>
              <w:right w:val="single" w:color="auto" w:sz="6" w:space="0"/>
            </w:tcBorders>
            <w:noWrap/>
          </w:tcPr>
          <w:p w14:paraId="47247B30">
            <w:pPr>
              <w:rPr>
                <w:rFonts w:cs="宋体"/>
              </w:rPr>
            </w:pPr>
          </w:p>
        </w:tc>
        <w:tc>
          <w:tcPr>
            <w:tcW w:w="1026" w:type="dxa"/>
            <w:tcBorders>
              <w:top w:val="single" w:color="auto" w:sz="6" w:space="0"/>
              <w:left w:val="single" w:color="auto" w:sz="6" w:space="0"/>
              <w:bottom w:val="single" w:color="auto" w:sz="6" w:space="0"/>
              <w:right w:val="single" w:color="auto" w:sz="6" w:space="0"/>
            </w:tcBorders>
            <w:noWrap/>
          </w:tcPr>
          <w:p w14:paraId="2736A327">
            <w:pPr>
              <w:rPr>
                <w:rFonts w:cs="宋体"/>
              </w:rPr>
            </w:pPr>
          </w:p>
        </w:tc>
        <w:tc>
          <w:tcPr>
            <w:tcW w:w="1436" w:type="dxa"/>
            <w:tcBorders>
              <w:top w:val="single" w:color="auto" w:sz="6" w:space="0"/>
              <w:left w:val="single" w:color="auto" w:sz="6" w:space="0"/>
              <w:bottom w:val="single" w:color="auto" w:sz="6" w:space="0"/>
              <w:right w:val="single" w:color="auto" w:sz="6" w:space="0"/>
            </w:tcBorders>
            <w:noWrap/>
          </w:tcPr>
          <w:p w14:paraId="5D6BEE2D">
            <w:pPr>
              <w:rPr>
                <w:rFonts w:cs="宋体"/>
              </w:rPr>
            </w:pPr>
          </w:p>
        </w:tc>
      </w:tr>
      <w:tr w14:paraId="4DB4BEBD">
        <w:tblPrEx>
          <w:tblCellMar>
            <w:top w:w="0" w:type="dxa"/>
            <w:left w:w="108" w:type="dxa"/>
            <w:bottom w:w="0" w:type="dxa"/>
            <w:right w:w="108" w:type="dxa"/>
          </w:tblCellMar>
        </w:tblPrEx>
        <w:trPr>
          <w:trHeight w:val="980" w:hRule="atLeast"/>
          <w:jc w:val="center"/>
        </w:trPr>
        <w:tc>
          <w:tcPr>
            <w:tcW w:w="820" w:type="dxa"/>
            <w:tcBorders>
              <w:top w:val="single" w:color="auto" w:sz="6" w:space="0"/>
              <w:left w:val="single" w:color="auto" w:sz="6" w:space="0"/>
              <w:bottom w:val="single" w:color="auto" w:sz="6" w:space="0"/>
              <w:right w:val="single" w:color="auto" w:sz="6" w:space="0"/>
            </w:tcBorders>
            <w:noWrap/>
          </w:tcPr>
          <w:p w14:paraId="525767A6">
            <w:pPr>
              <w:rPr>
                <w:rFonts w:cs="宋体"/>
              </w:rPr>
            </w:pPr>
          </w:p>
        </w:tc>
        <w:tc>
          <w:tcPr>
            <w:tcW w:w="1436" w:type="dxa"/>
            <w:tcBorders>
              <w:top w:val="single" w:color="auto" w:sz="6" w:space="0"/>
              <w:left w:val="single" w:color="auto" w:sz="6" w:space="0"/>
              <w:bottom w:val="single" w:color="auto" w:sz="6" w:space="0"/>
              <w:right w:val="single" w:color="auto" w:sz="6" w:space="0"/>
            </w:tcBorders>
            <w:noWrap/>
          </w:tcPr>
          <w:p w14:paraId="3C246CA4">
            <w:pPr>
              <w:rPr>
                <w:rFonts w:cs="宋体"/>
              </w:rPr>
            </w:pPr>
          </w:p>
        </w:tc>
        <w:tc>
          <w:tcPr>
            <w:tcW w:w="979" w:type="dxa"/>
            <w:tcBorders>
              <w:top w:val="single" w:color="auto" w:sz="6" w:space="0"/>
              <w:left w:val="single" w:color="auto" w:sz="6" w:space="0"/>
              <w:bottom w:val="single" w:color="auto" w:sz="6" w:space="0"/>
              <w:right w:val="single" w:color="auto" w:sz="6" w:space="0"/>
            </w:tcBorders>
            <w:noWrap/>
          </w:tcPr>
          <w:p w14:paraId="4F565131">
            <w:pPr>
              <w:rPr>
                <w:rFonts w:cs="宋体"/>
              </w:rPr>
            </w:pPr>
          </w:p>
        </w:tc>
        <w:tc>
          <w:tcPr>
            <w:tcW w:w="867" w:type="dxa"/>
            <w:tcBorders>
              <w:top w:val="single" w:color="auto" w:sz="6" w:space="0"/>
              <w:left w:val="single" w:color="auto" w:sz="6" w:space="0"/>
              <w:bottom w:val="single" w:color="auto" w:sz="6" w:space="0"/>
              <w:right w:val="single" w:color="auto" w:sz="6" w:space="0"/>
            </w:tcBorders>
            <w:noWrap/>
          </w:tcPr>
          <w:p w14:paraId="5B146401">
            <w:pPr>
              <w:rPr>
                <w:rFonts w:cs="宋体"/>
              </w:rPr>
            </w:pPr>
          </w:p>
        </w:tc>
        <w:tc>
          <w:tcPr>
            <w:tcW w:w="1126" w:type="dxa"/>
            <w:tcBorders>
              <w:top w:val="single" w:color="auto" w:sz="6" w:space="0"/>
              <w:left w:val="single" w:color="auto" w:sz="6" w:space="0"/>
              <w:bottom w:val="single" w:color="auto" w:sz="6" w:space="0"/>
              <w:right w:val="single" w:color="auto" w:sz="6" w:space="0"/>
            </w:tcBorders>
            <w:noWrap/>
          </w:tcPr>
          <w:p w14:paraId="36DE24E5">
            <w:pPr>
              <w:rPr>
                <w:rFonts w:cs="宋体"/>
              </w:rPr>
            </w:pPr>
          </w:p>
        </w:tc>
        <w:tc>
          <w:tcPr>
            <w:tcW w:w="1103" w:type="dxa"/>
            <w:tcBorders>
              <w:top w:val="single" w:color="auto" w:sz="6" w:space="0"/>
              <w:left w:val="single" w:color="auto" w:sz="6" w:space="0"/>
              <w:bottom w:val="single" w:color="auto" w:sz="6" w:space="0"/>
              <w:right w:val="single" w:color="auto" w:sz="6" w:space="0"/>
            </w:tcBorders>
            <w:noWrap/>
          </w:tcPr>
          <w:p w14:paraId="2E4B0EF5">
            <w:pPr>
              <w:rPr>
                <w:rFonts w:cs="宋体"/>
              </w:rPr>
            </w:pPr>
          </w:p>
        </w:tc>
        <w:tc>
          <w:tcPr>
            <w:tcW w:w="642" w:type="dxa"/>
            <w:tcBorders>
              <w:top w:val="single" w:color="auto" w:sz="6" w:space="0"/>
              <w:left w:val="single" w:color="auto" w:sz="6" w:space="0"/>
              <w:bottom w:val="single" w:color="auto" w:sz="6" w:space="0"/>
              <w:right w:val="single" w:color="auto" w:sz="6" w:space="0"/>
            </w:tcBorders>
            <w:noWrap/>
          </w:tcPr>
          <w:p w14:paraId="5144C6C9">
            <w:pPr>
              <w:rPr>
                <w:rFonts w:cs="宋体"/>
              </w:rPr>
            </w:pPr>
          </w:p>
        </w:tc>
        <w:tc>
          <w:tcPr>
            <w:tcW w:w="1026" w:type="dxa"/>
            <w:tcBorders>
              <w:top w:val="single" w:color="auto" w:sz="6" w:space="0"/>
              <w:left w:val="single" w:color="auto" w:sz="6" w:space="0"/>
              <w:bottom w:val="single" w:color="auto" w:sz="6" w:space="0"/>
              <w:right w:val="single" w:color="auto" w:sz="6" w:space="0"/>
            </w:tcBorders>
            <w:noWrap/>
          </w:tcPr>
          <w:p w14:paraId="734A49F6">
            <w:pPr>
              <w:rPr>
                <w:rFonts w:cs="宋体"/>
              </w:rPr>
            </w:pPr>
          </w:p>
        </w:tc>
        <w:tc>
          <w:tcPr>
            <w:tcW w:w="1436" w:type="dxa"/>
            <w:tcBorders>
              <w:top w:val="single" w:color="auto" w:sz="6" w:space="0"/>
              <w:left w:val="single" w:color="auto" w:sz="6" w:space="0"/>
              <w:bottom w:val="single" w:color="auto" w:sz="6" w:space="0"/>
              <w:right w:val="single" w:color="auto" w:sz="6" w:space="0"/>
            </w:tcBorders>
            <w:noWrap/>
          </w:tcPr>
          <w:p w14:paraId="5D99308B">
            <w:pPr>
              <w:rPr>
                <w:rFonts w:cs="宋体"/>
              </w:rPr>
            </w:pPr>
          </w:p>
        </w:tc>
      </w:tr>
    </w:tbl>
    <w:p w14:paraId="4802CD84">
      <w:pPr>
        <w:rPr>
          <w:rFonts w:cs="宋体"/>
        </w:rPr>
      </w:pPr>
    </w:p>
    <w:p w14:paraId="33125199">
      <w:pPr>
        <w:rPr>
          <w:rFonts w:cs="宋体"/>
        </w:rPr>
      </w:pPr>
    </w:p>
    <w:p w14:paraId="02488E1C">
      <w:pPr>
        <w:rPr>
          <w:rFonts w:cs="宋体"/>
        </w:rPr>
      </w:pPr>
    </w:p>
    <w:p w14:paraId="0954C238">
      <w:pPr>
        <w:rPr>
          <w:rFonts w:cs="宋体"/>
        </w:rPr>
      </w:pPr>
    </w:p>
    <w:p w14:paraId="1656B59F">
      <w:pPr>
        <w:rPr>
          <w:rFonts w:cs="宋体"/>
          <w:bCs/>
        </w:rPr>
      </w:pPr>
      <w:r>
        <w:rPr>
          <w:rFonts w:hint="eastAsia" w:cs="宋体"/>
          <w:bCs/>
        </w:rPr>
        <w:br w:type="page"/>
      </w:r>
    </w:p>
    <w:p w14:paraId="5FD5BA76">
      <w:pPr>
        <w:numPr>
          <w:ilvl w:val="0"/>
          <w:numId w:val="7"/>
        </w:numPr>
        <w:tabs>
          <w:tab w:val="left" w:pos="482"/>
          <w:tab w:val="left" w:pos="2183"/>
          <w:tab w:val="left" w:pos="3884"/>
          <w:tab w:val="left" w:pos="5585"/>
        </w:tabs>
        <w:autoSpaceDE w:val="0"/>
        <w:autoSpaceDN w:val="0"/>
        <w:spacing w:line="240" w:lineRule="auto"/>
        <w:jc w:val="center"/>
        <w:textAlignment w:val="auto"/>
        <w:rPr>
          <w:rFonts w:cs="宋体"/>
          <w:sz w:val="36"/>
          <w:szCs w:val="36"/>
        </w:rPr>
      </w:pPr>
      <w:r>
        <w:rPr>
          <w:rFonts w:hint="eastAsia" w:cs="宋体"/>
          <w:b/>
          <w:bCs/>
          <w:sz w:val="28"/>
          <w:szCs w:val="28"/>
        </w:rPr>
        <w:t>未被列入失信被执行人名单、重大税收违法案件当事人名单、未列入建筑市场主体“黑名单”、未被列入安全生产严重失信主体名单的承诺函</w:t>
      </w:r>
    </w:p>
    <w:p w14:paraId="30479E8C">
      <w:pPr>
        <w:spacing w:line="360" w:lineRule="auto"/>
        <w:rPr>
          <w:rFonts w:cs="宋体"/>
        </w:rPr>
      </w:pPr>
      <w:r>
        <w:rPr>
          <w:rFonts w:hint="eastAsia" w:cs="宋体"/>
        </w:rPr>
        <w:t>温州港口服务有限公司：</w:t>
      </w:r>
    </w:p>
    <w:p w14:paraId="6206F64F">
      <w:pPr>
        <w:spacing w:line="360" w:lineRule="auto"/>
        <w:ind w:firstLine="420" w:firstLineChars="200"/>
        <w:rPr>
          <w:rFonts w:cs="宋体"/>
        </w:rPr>
      </w:pPr>
      <w:r>
        <w:rPr>
          <w:rFonts w:hint="eastAsia" w:cs="宋体"/>
        </w:rPr>
        <w:t>我方</w:t>
      </w:r>
      <w:r>
        <w:rPr>
          <w:rFonts w:hint="eastAsia" w:cs="宋体"/>
          <w:u w:val="single"/>
        </w:rPr>
        <w:t xml:space="preserve">            （投标人名称）</w:t>
      </w:r>
      <w:r>
        <w:rPr>
          <w:rFonts w:hint="eastAsia" w:cs="宋体"/>
        </w:rPr>
        <w:t>具有良好的商业信誉，依法缴纳税收和社会保障资金，未被列入失信被执行人名单【具体以“信用中国”网站（www.creditchina.gov.cn）查询为准】、重大税收违法案件当事人名单、严重违法失信行为记录名单，未列入建筑市场主体“黑名单”。</w:t>
      </w:r>
    </w:p>
    <w:p w14:paraId="044DCA55">
      <w:pPr>
        <w:spacing w:line="360" w:lineRule="auto"/>
        <w:ind w:firstLine="420" w:firstLineChars="200"/>
        <w:rPr>
          <w:rFonts w:cs="宋体"/>
        </w:rPr>
      </w:pPr>
      <w:r>
        <w:rPr>
          <w:rFonts w:hint="eastAsia" w:cs="宋体"/>
        </w:rPr>
        <w:t>我方承诺近3年公司所承担范围内无1人死亡及以上安全生产责任事故（含劳务外包人员），未被“应急管理部”“信用中国”列入安全生产严重失信主体名单。</w:t>
      </w:r>
    </w:p>
    <w:p w14:paraId="02768D22">
      <w:pPr>
        <w:spacing w:line="360" w:lineRule="auto"/>
        <w:ind w:firstLine="420" w:firstLineChars="200"/>
        <w:rPr>
          <w:rFonts w:cs="宋体"/>
        </w:rPr>
      </w:pPr>
      <w:r>
        <w:rPr>
          <w:rFonts w:hint="eastAsia" w:cs="宋体"/>
        </w:rPr>
        <w:t>我方承诺招标人或招标代理人开评标时现场查询，如有发现虚假承诺，招标人可取消我方任何资格（投标/中标/签订合同），我方对此无任何异议。</w:t>
      </w:r>
    </w:p>
    <w:p w14:paraId="0183E7C9">
      <w:pPr>
        <w:rPr>
          <w:rFonts w:cs="宋体"/>
        </w:rPr>
      </w:pPr>
    </w:p>
    <w:p w14:paraId="20FC65E3">
      <w:pPr>
        <w:rPr>
          <w:rFonts w:cs="宋体"/>
        </w:rPr>
      </w:pPr>
    </w:p>
    <w:p w14:paraId="7975697D">
      <w:pPr>
        <w:rPr>
          <w:rFonts w:cs="宋体"/>
        </w:rPr>
      </w:pPr>
    </w:p>
    <w:p w14:paraId="110E3828">
      <w:pPr>
        <w:rPr>
          <w:rFonts w:cs="宋体"/>
        </w:rPr>
      </w:pPr>
      <w:r>
        <w:rPr>
          <w:rFonts w:hint="eastAsia" w:cs="宋体"/>
        </w:rPr>
        <w:t>投标人全称（盖章）：</w:t>
      </w:r>
    </w:p>
    <w:p w14:paraId="6CB4C27D">
      <w:pPr>
        <w:rPr>
          <w:rFonts w:cs="宋体"/>
        </w:rPr>
      </w:pPr>
      <w:r>
        <w:rPr>
          <w:rFonts w:hint="eastAsia" w:cs="宋体"/>
        </w:rPr>
        <w:t>法定代表人或其委托代理人（签字或盖章）：</w:t>
      </w:r>
    </w:p>
    <w:p w14:paraId="14C821D8">
      <w:pPr>
        <w:rPr>
          <w:rFonts w:cs="宋体"/>
        </w:rPr>
      </w:pPr>
      <w:r>
        <w:rPr>
          <w:rFonts w:hint="eastAsia" w:cs="宋体"/>
        </w:rPr>
        <w:t>日期：     年   月  日</w:t>
      </w:r>
    </w:p>
    <w:p w14:paraId="03D50A63">
      <w:pPr>
        <w:pStyle w:val="11"/>
        <w:ind w:firstLine="210"/>
        <w:rPr>
          <w:rFonts w:cs="宋体"/>
        </w:rPr>
      </w:pPr>
    </w:p>
    <w:p w14:paraId="74DC654D">
      <w:pPr>
        <w:pStyle w:val="16"/>
        <w:rPr>
          <w:rFonts w:ascii="宋体" w:hAnsi="宋体" w:cs="宋体"/>
        </w:rPr>
      </w:pPr>
    </w:p>
    <w:p w14:paraId="08DBC8F5">
      <w:pPr>
        <w:rPr>
          <w:rFonts w:cs="宋体"/>
        </w:rPr>
      </w:pPr>
    </w:p>
    <w:p w14:paraId="18FB43E6">
      <w:pPr>
        <w:rPr>
          <w:rFonts w:cs="宋体"/>
        </w:rPr>
      </w:pPr>
    </w:p>
    <w:p w14:paraId="2D692EE6">
      <w:pPr>
        <w:rPr>
          <w:rFonts w:cs="宋体"/>
        </w:rPr>
      </w:pPr>
    </w:p>
    <w:p w14:paraId="5C23FD1A">
      <w:pPr>
        <w:rPr>
          <w:rFonts w:cs="宋体"/>
        </w:rPr>
      </w:pPr>
    </w:p>
    <w:p w14:paraId="6248BA6F">
      <w:pPr>
        <w:rPr>
          <w:rFonts w:cs="宋体"/>
        </w:rPr>
      </w:pPr>
    </w:p>
    <w:p w14:paraId="67C90735">
      <w:pPr>
        <w:rPr>
          <w:rFonts w:cs="宋体"/>
        </w:rPr>
      </w:pPr>
    </w:p>
    <w:p w14:paraId="2C4D542F">
      <w:pPr>
        <w:rPr>
          <w:rFonts w:cs="宋体"/>
        </w:rPr>
      </w:pPr>
    </w:p>
    <w:p w14:paraId="7060B6B5">
      <w:pPr>
        <w:rPr>
          <w:rFonts w:cs="宋体"/>
        </w:rPr>
      </w:pPr>
    </w:p>
    <w:p w14:paraId="779D7CE1">
      <w:pPr>
        <w:rPr>
          <w:rFonts w:cs="宋体"/>
        </w:rPr>
      </w:pPr>
    </w:p>
    <w:p w14:paraId="1AA16874">
      <w:pPr>
        <w:rPr>
          <w:rFonts w:cs="宋体"/>
        </w:rPr>
      </w:pPr>
    </w:p>
    <w:p w14:paraId="18C22C05">
      <w:pPr>
        <w:rPr>
          <w:rFonts w:cs="宋体"/>
        </w:rPr>
      </w:pPr>
    </w:p>
    <w:p w14:paraId="00CD6AFC">
      <w:pPr>
        <w:rPr>
          <w:rFonts w:cs="宋体"/>
        </w:rPr>
      </w:pPr>
    </w:p>
    <w:p w14:paraId="2D80D287">
      <w:pPr>
        <w:rPr>
          <w:rFonts w:cs="宋体"/>
        </w:rPr>
      </w:pPr>
    </w:p>
    <w:p w14:paraId="785B152A">
      <w:pPr>
        <w:rPr>
          <w:rFonts w:cs="宋体"/>
        </w:rPr>
      </w:pPr>
    </w:p>
    <w:p w14:paraId="08F53E4A">
      <w:pPr>
        <w:rPr>
          <w:rFonts w:cs="宋体"/>
        </w:rPr>
      </w:pPr>
    </w:p>
    <w:p w14:paraId="3DB182A0">
      <w:pPr>
        <w:rPr>
          <w:rFonts w:cs="宋体"/>
        </w:rPr>
      </w:pPr>
    </w:p>
    <w:p w14:paraId="3AB94ECA">
      <w:pPr>
        <w:rPr>
          <w:rFonts w:cs="宋体"/>
        </w:rPr>
      </w:pPr>
    </w:p>
    <w:p w14:paraId="79538486">
      <w:pPr>
        <w:rPr>
          <w:rFonts w:cs="宋体"/>
        </w:rPr>
      </w:pPr>
    </w:p>
    <w:p w14:paraId="695DEFFF">
      <w:pPr>
        <w:numPr>
          <w:ilvl w:val="0"/>
          <w:numId w:val="7"/>
        </w:num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r>
        <w:rPr>
          <w:rFonts w:hint="eastAsia" w:cs="宋体"/>
          <w:b/>
          <w:bCs/>
          <w:sz w:val="28"/>
          <w:szCs w:val="28"/>
        </w:rPr>
        <w:t>企业《安全生产许可证》证书副本、营业执照扫描件</w:t>
      </w:r>
    </w:p>
    <w:p w14:paraId="2C6FA897">
      <w:pPr>
        <w:numPr>
          <w:ilvl w:val="255"/>
          <w:numId w:val="0"/>
        </w:numPr>
        <w:spacing w:before="156" w:beforeLines="50" w:after="156" w:afterLines="50" w:line="400" w:lineRule="exact"/>
        <w:ind w:hanging="4"/>
        <w:rPr>
          <w:b/>
          <w:sz w:val="22"/>
          <w:szCs w:val="22"/>
        </w:rPr>
      </w:pPr>
    </w:p>
    <w:p w14:paraId="73C3D7AC">
      <w:pPr>
        <w:numPr>
          <w:ilvl w:val="255"/>
          <w:numId w:val="0"/>
        </w:numPr>
        <w:spacing w:before="156" w:beforeLines="50" w:after="156" w:afterLines="50" w:line="400" w:lineRule="exact"/>
        <w:ind w:hanging="4"/>
        <w:rPr>
          <w:b/>
          <w:sz w:val="22"/>
          <w:szCs w:val="22"/>
        </w:rPr>
      </w:pPr>
      <w:r>
        <w:rPr>
          <w:rFonts w:hint="eastAsia"/>
          <w:b/>
          <w:sz w:val="22"/>
          <w:szCs w:val="22"/>
        </w:rPr>
        <w:t>说明：</w:t>
      </w:r>
    </w:p>
    <w:p w14:paraId="158A9651">
      <w:pPr>
        <w:spacing w:line="460" w:lineRule="exact"/>
        <w:ind w:left="218" w:leftChars="104" w:firstLine="216" w:firstLineChars="98"/>
        <w:rPr>
          <w:rFonts w:cs="Courier New"/>
          <w:b/>
          <w:sz w:val="22"/>
          <w:szCs w:val="22"/>
        </w:rPr>
      </w:pPr>
      <w:r>
        <w:rPr>
          <w:rFonts w:hint="eastAsia" w:cs="Courier New"/>
          <w:b/>
          <w:sz w:val="22"/>
          <w:szCs w:val="22"/>
        </w:rPr>
        <w:t>1</w:t>
      </w:r>
      <w:r>
        <w:rPr>
          <w:rFonts w:cs="Courier New"/>
          <w:b/>
          <w:sz w:val="22"/>
          <w:szCs w:val="22"/>
        </w:rPr>
        <w:t>、投标人提供的相应证明材料</w:t>
      </w:r>
      <w:r>
        <w:rPr>
          <w:rFonts w:hint="eastAsia" w:cs="Courier New"/>
          <w:b/>
          <w:sz w:val="22"/>
          <w:szCs w:val="22"/>
        </w:rPr>
        <w:t>扫描</w:t>
      </w:r>
      <w:r>
        <w:rPr>
          <w:rFonts w:cs="Courier New"/>
          <w:b/>
          <w:sz w:val="22"/>
          <w:szCs w:val="22"/>
        </w:rPr>
        <w:t>件均应符合：内容完整、清晰、整洁，并由投标人加盖其单位公章。</w:t>
      </w:r>
    </w:p>
    <w:p w14:paraId="4114C98A">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2EB48BDD">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01CE2800">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6B676171">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65EA8D70">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626F25EA">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086BDF4A">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7ADA0EDE">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2337C5B5">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230855A8">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02ACD060">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06703CEA">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7C397426">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149601F8">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75FF43D4">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3A752ADB">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457E6059">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4914E1C2">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38017CDF">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746AD3AF">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03D81FED">
      <w:pPr>
        <w:numPr>
          <w:ilvl w:val="0"/>
          <w:numId w:val="7"/>
        </w:num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r>
        <w:rPr>
          <w:rFonts w:hint="eastAsia" w:cs="宋体"/>
          <w:b/>
          <w:bCs/>
          <w:sz w:val="28"/>
          <w:szCs w:val="28"/>
        </w:rPr>
        <w:t>具备建筑装修装饰工程专业承包二级及以上资质证书副本扫描件、浙江省建筑市场监管公共服务系统”上，参与投标资质的“资质动态核查证明（证明要求：核查发布日期为投标截止日当周或前一周的任一个周一，动态核查结果：合格）。</w:t>
      </w:r>
    </w:p>
    <w:p w14:paraId="4C3FD509">
      <w:pPr>
        <w:numPr>
          <w:ilvl w:val="255"/>
          <w:numId w:val="0"/>
        </w:numPr>
        <w:spacing w:before="156" w:beforeLines="50" w:after="156" w:afterLines="50" w:line="400" w:lineRule="exact"/>
        <w:ind w:hanging="4"/>
        <w:rPr>
          <w:b/>
          <w:sz w:val="22"/>
          <w:szCs w:val="22"/>
        </w:rPr>
      </w:pPr>
    </w:p>
    <w:p w14:paraId="79535BD3">
      <w:pPr>
        <w:numPr>
          <w:ilvl w:val="255"/>
          <w:numId w:val="0"/>
        </w:numPr>
        <w:spacing w:before="156" w:beforeLines="50" w:after="156" w:afterLines="50" w:line="400" w:lineRule="exact"/>
        <w:ind w:hanging="4"/>
        <w:rPr>
          <w:b/>
          <w:sz w:val="22"/>
          <w:szCs w:val="22"/>
        </w:rPr>
      </w:pPr>
    </w:p>
    <w:p w14:paraId="07203DD5">
      <w:pPr>
        <w:numPr>
          <w:ilvl w:val="255"/>
          <w:numId w:val="0"/>
        </w:numPr>
        <w:spacing w:before="156" w:beforeLines="50" w:after="156" w:afterLines="50" w:line="400" w:lineRule="exact"/>
        <w:ind w:hanging="4"/>
        <w:rPr>
          <w:b/>
          <w:sz w:val="22"/>
          <w:szCs w:val="22"/>
        </w:rPr>
      </w:pPr>
      <w:r>
        <w:rPr>
          <w:rFonts w:hint="eastAsia"/>
          <w:b/>
          <w:sz w:val="22"/>
          <w:szCs w:val="22"/>
        </w:rPr>
        <w:t>说明：</w:t>
      </w:r>
    </w:p>
    <w:p w14:paraId="499308CB">
      <w:pPr>
        <w:spacing w:line="460" w:lineRule="exact"/>
        <w:ind w:left="218" w:leftChars="104" w:firstLine="216" w:firstLineChars="98"/>
        <w:rPr>
          <w:rFonts w:cs="Courier New"/>
          <w:b/>
          <w:sz w:val="22"/>
          <w:szCs w:val="22"/>
        </w:rPr>
      </w:pPr>
      <w:r>
        <w:rPr>
          <w:rFonts w:hint="eastAsia" w:cs="Courier New"/>
          <w:b/>
          <w:sz w:val="22"/>
          <w:szCs w:val="22"/>
        </w:rPr>
        <w:t>1</w:t>
      </w:r>
      <w:r>
        <w:rPr>
          <w:rFonts w:cs="Courier New"/>
          <w:b/>
          <w:sz w:val="22"/>
          <w:szCs w:val="22"/>
        </w:rPr>
        <w:t>、投标人提供的相应证明材料</w:t>
      </w:r>
      <w:r>
        <w:rPr>
          <w:rFonts w:hint="eastAsia" w:cs="Courier New"/>
          <w:b/>
          <w:sz w:val="22"/>
          <w:szCs w:val="22"/>
        </w:rPr>
        <w:t>扫描</w:t>
      </w:r>
      <w:r>
        <w:rPr>
          <w:rFonts w:cs="Courier New"/>
          <w:b/>
          <w:sz w:val="22"/>
          <w:szCs w:val="22"/>
        </w:rPr>
        <w:t>件均应符合：内容完整、清晰、整洁，并由投标人加盖其单位公章。</w:t>
      </w:r>
    </w:p>
    <w:p w14:paraId="58A16019">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6830BBEF">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32F9CA74">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47301F17">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77A24E04">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6EB04633">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38493237">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1BB052B7">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018F80FB">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59B6D6A0">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30A2A400">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66B48942">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2ECF124E">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35DAE794">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3F0A864A">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7D464547">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2CDEC4FF">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32E448F8">
      <w:pPr>
        <w:numPr>
          <w:ilvl w:val="0"/>
          <w:numId w:val="7"/>
        </w:num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r>
        <w:rPr>
          <w:rFonts w:hint="eastAsia" w:cs="宋体"/>
          <w:b/>
          <w:bCs/>
          <w:sz w:val="28"/>
          <w:szCs w:val="28"/>
        </w:rPr>
        <w:t>项目</w:t>
      </w:r>
      <w:r>
        <w:rPr>
          <w:rFonts w:hint="eastAsia" w:cs="宋体"/>
          <w:b/>
          <w:bCs/>
          <w:sz w:val="28"/>
          <w:szCs w:val="28"/>
          <w:lang w:val="en-US" w:eastAsia="zh-CN"/>
        </w:rPr>
        <w:t>经理</w:t>
      </w:r>
      <w:r>
        <w:rPr>
          <w:rFonts w:hint="eastAsia" w:cs="宋体"/>
          <w:b/>
          <w:bCs/>
          <w:sz w:val="28"/>
          <w:szCs w:val="28"/>
        </w:rPr>
        <w:t>具有有效的房屋建筑工程专业二级及以上注册建造师证书及有效的项目经理安全生产考核合格证书（B类）及社保证明扫描件（投标截止日前连续</w:t>
      </w:r>
      <w:r>
        <w:rPr>
          <w:rFonts w:cs="宋体"/>
          <w:b/>
          <w:bCs/>
          <w:sz w:val="28"/>
          <w:szCs w:val="28"/>
        </w:rPr>
        <w:t>3个月</w:t>
      </w:r>
      <w:r>
        <w:rPr>
          <w:rFonts w:hint="eastAsia" w:cs="宋体"/>
          <w:b/>
          <w:bCs/>
          <w:sz w:val="28"/>
          <w:szCs w:val="28"/>
        </w:rPr>
        <w:t>）</w:t>
      </w:r>
    </w:p>
    <w:p w14:paraId="388D4BC0">
      <w:pPr>
        <w:numPr>
          <w:ilvl w:val="255"/>
          <w:numId w:val="0"/>
        </w:numPr>
        <w:spacing w:before="156" w:beforeLines="50" w:after="156" w:afterLines="50" w:line="400" w:lineRule="exact"/>
        <w:ind w:hanging="4"/>
        <w:rPr>
          <w:b/>
          <w:sz w:val="22"/>
          <w:szCs w:val="22"/>
        </w:rPr>
      </w:pPr>
    </w:p>
    <w:p w14:paraId="72C220FE">
      <w:pPr>
        <w:numPr>
          <w:ilvl w:val="255"/>
          <w:numId w:val="0"/>
        </w:numPr>
        <w:spacing w:before="156" w:beforeLines="50" w:after="156" w:afterLines="50" w:line="400" w:lineRule="exact"/>
        <w:ind w:hanging="4"/>
        <w:rPr>
          <w:b/>
          <w:sz w:val="22"/>
          <w:szCs w:val="22"/>
        </w:rPr>
      </w:pPr>
      <w:r>
        <w:rPr>
          <w:rFonts w:hint="eastAsia"/>
          <w:b/>
          <w:sz w:val="22"/>
          <w:szCs w:val="22"/>
        </w:rPr>
        <w:t>说明：</w:t>
      </w:r>
    </w:p>
    <w:p w14:paraId="33351A0C">
      <w:pPr>
        <w:spacing w:line="460" w:lineRule="exact"/>
        <w:ind w:left="218" w:leftChars="104" w:firstLine="216" w:firstLineChars="98"/>
        <w:rPr>
          <w:rFonts w:cs="Courier New"/>
          <w:b/>
          <w:sz w:val="22"/>
          <w:szCs w:val="22"/>
        </w:rPr>
      </w:pPr>
      <w:r>
        <w:rPr>
          <w:rFonts w:hint="eastAsia" w:cs="Courier New"/>
          <w:b/>
          <w:sz w:val="22"/>
          <w:szCs w:val="22"/>
        </w:rPr>
        <w:t>1</w:t>
      </w:r>
      <w:r>
        <w:rPr>
          <w:rFonts w:cs="Courier New"/>
          <w:b/>
          <w:sz w:val="22"/>
          <w:szCs w:val="22"/>
        </w:rPr>
        <w:t>、投标人提供的相应证明材料</w:t>
      </w:r>
      <w:r>
        <w:rPr>
          <w:rFonts w:hint="eastAsia" w:cs="Courier New"/>
          <w:b/>
          <w:sz w:val="22"/>
          <w:szCs w:val="22"/>
        </w:rPr>
        <w:t>扫描</w:t>
      </w:r>
      <w:r>
        <w:rPr>
          <w:rFonts w:cs="Courier New"/>
          <w:b/>
          <w:sz w:val="22"/>
          <w:szCs w:val="22"/>
        </w:rPr>
        <w:t>件均应符合：内容完整、清晰、整洁，并由投标人加盖其单位公章。</w:t>
      </w:r>
    </w:p>
    <w:p w14:paraId="63336B72">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7B0929A9">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302127FE">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0442283D">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68888A62">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7A47ED94">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23BBB97C">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3B53CEF9">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15CEFDDC">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2B8D85B8">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12DD554E">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74A23867">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2D30061B">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4BF2C586">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020C5298">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31E6958B">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3448723E">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34DD7FD6">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2DC239B9">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6A247E35">
      <w:pPr>
        <w:numPr>
          <w:ilvl w:val="0"/>
          <w:numId w:val="7"/>
        </w:num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r>
        <w:rPr>
          <w:rFonts w:hint="eastAsia" w:cs="宋体"/>
          <w:b/>
          <w:bCs/>
          <w:sz w:val="28"/>
          <w:szCs w:val="28"/>
        </w:rPr>
        <w:t>技术负责人身份证复印件、职称证书复印件或电子打印件及社保证明复印件（投标截止日前连续</w:t>
      </w:r>
      <w:r>
        <w:rPr>
          <w:rFonts w:cs="宋体"/>
          <w:b/>
          <w:bCs/>
          <w:sz w:val="28"/>
          <w:szCs w:val="28"/>
        </w:rPr>
        <w:t>3个月</w:t>
      </w:r>
      <w:r>
        <w:rPr>
          <w:rFonts w:hint="eastAsia" w:cs="宋体"/>
          <w:b/>
          <w:bCs/>
          <w:sz w:val="28"/>
          <w:szCs w:val="28"/>
        </w:rPr>
        <w:t>）</w:t>
      </w:r>
    </w:p>
    <w:p w14:paraId="4FEBF77A">
      <w:pPr>
        <w:numPr>
          <w:ilvl w:val="255"/>
          <w:numId w:val="0"/>
        </w:numPr>
        <w:spacing w:before="156" w:beforeLines="50" w:after="156" w:afterLines="50" w:line="400" w:lineRule="exact"/>
        <w:ind w:hanging="4"/>
        <w:rPr>
          <w:b/>
          <w:sz w:val="22"/>
          <w:szCs w:val="22"/>
        </w:rPr>
      </w:pPr>
    </w:p>
    <w:p w14:paraId="732EF7D3">
      <w:pPr>
        <w:numPr>
          <w:ilvl w:val="255"/>
          <w:numId w:val="0"/>
        </w:numPr>
        <w:spacing w:before="156" w:beforeLines="50" w:after="156" w:afterLines="50" w:line="400" w:lineRule="exact"/>
        <w:ind w:hanging="4"/>
        <w:rPr>
          <w:b/>
          <w:sz w:val="22"/>
          <w:szCs w:val="22"/>
        </w:rPr>
      </w:pPr>
    </w:p>
    <w:p w14:paraId="40A4D79A">
      <w:pPr>
        <w:numPr>
          <w:ilvl w:val="255"/>
          <w:numId w:val="0"/>
        </w:numPr>
        <w:spacing w:before="156" w:beforeLines="50" w:after="156" w:afterLines="50" w:line="400" w:lineRule="exact"/>
        <w:ind w:hanging="4"/>
        <w:rPr>
          <w:b/>
          <w:sz w:val="22"/>
          <w:szCs w:val="22"/>
        </w:rPr>
      </w:pPr>
      <w:r>
        <w:rPr>
          <w:rFonts w:hint="eastAsia"/>
          <w:b/>
          <w:sz w:val="22"/>
          <w:szCs w:val="22"/>
        </w:rPr>
        <w:t>说明：</w:t>
      </w:r>
    </w:p>
    <w:p w14:paraId="58E9D8E3">
      <w:pPr>
        <w:spacing w:line="460" w:lineRule="exact"/>
        <w:ind w:left="218" w:leftChars="104" w:firstLine="216" w:firstLineChars="98"/>
        <w:rPr>
          <w:rFonts w:cs="Courier New"/>
          <w:b/>
          <w:sz w:val="22"/>
          <w:szCs w:val="22"/>
        </w:rPr>
      </w:pPr>
      <w:r>
        <w:rPr>
          <w:rFonts w:hint="eastAsia" w:cs="Courier New"/>
          <w:b/>
          <w:sz w:val="22"/>
          <w:szCs w:val="22"/>
        </w:rPr>
        <w:t>1</w:t>
      </w:r>
      <w:r>
        <w:rPr>
          <w:rFonts w:cs="Courier New"/>
          <w:b/>
          <w:sz w:val="22"/>
          <w:szCs w:val="22"/>
        </w:rPr>
        <w:t>、投标人提供的相应证明材料</w:t>
      </w:r>
      <w:r>
        <w:rPr>
          <w:rFonts w:hint="eastAsia" w:cs="Courier New"/>
          <w:b/>
          <w:sz w:val="22"/>
          <w:szCs w:val="22"/>
        </w:rPr>
        <w:t>扫描</w:t>
      </w:r>
      <w:r>
        <w:rPr>
          <w:rFonts w:cs="Courier New"/>
          <w:b/>
          <w:sz w:val="22"/>
          <w:szCs w:val="22"/>
        </w:rPr>
        <w:t>件均应符合：内容完整、清晰、整洁，并由投标人加盖其单位公章。</w:t>
      </w:r>
    </w:p>
    <w:p w14:paraId="282A9A02">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1E73E59F">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26D51107">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74ED52AA">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4ECCA700">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0B68BF07">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6FB08459">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00FE40CC">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526C6280">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05C9FAE4">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1DC08E58">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1A13709D">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58C44493">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7C20DBDE">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65790CD7">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7174C972">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6DFC90DB">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29058983">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3B8A98AA">
      <w:pPr>
        <w:numPr>
          <w:ilvl w:val="0"/>
          <w:numId w:val="7"/>
        </w:num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r>
        <w:rPr>
          <w:rFonts w:hint="eastAsia" w:cs="宋体"/>
          <w:b/>
          <w:bCs/>
          <w:sz w:val="28"/>
          <w:szCs w:val="28"/>
        </w:rPr>
        <w:t>项目专职安全员身份证复印件、安全生产考核合格证书（C 类）复印件或电子打印件及社保证明复印件及社保证明复印件（投标截止日前连续</w:t>
      </w:r>
      <w:r>
        <w:rPr>
          <w:rFonts w:cs="宋体"/>
          <w:b/>
          <w:bCs/>
          <w:sz w:val="28"/>
          <w:szCs w:val="28"/>
        </w:rPr>
        <w:t>3个月</w:t>
      </w:r>
      <w:r>
        <w:rPr>
          <w:rFonts w:hint="eastAsia" w:cs="宋体"/>
          <w:b/>
          <w:bCs/>
          <w:sz w:val="28"/>
          <w:szCs w:val="28"/>
        </w:rPr>
        <w:t>）。</w:t>
      </w:r>
    </w:p>
    <w:p w14:paraId="390759A4">
      <w:pPr>
        <w:numPr>
          <w:ilvl w:val="255"/>
          <w:numId w:val="0"/>
        </w:numPr>
        <w:spacing w:before="156" w:beforeLines="50" w:after="156" w:afterLines="50" w:line="400" w:lineRule="exact"/>
        <w:ind w:hanging="4"/>
        <w:rPr>
          <w:b/>
          <w:sz w:val="22"/>
          <w:szCs w:val="22"/>
        </w:rPr>
      </w:pPr>
    </w:p>
    <w:p w14:paraId="13BAD4DD">
      <w:pPr>
        <w:numPr>
          <w:ilvl w:val="255"/>
          <w:numId w:val="0"/>
        </w:numPr>
        <w:spacing w:before="156" w:beforeLines="50" w:after="156" w:afterLines="50" w:line="400" w:lineRule="exact"/>
        <w:ind w:hanging="4"/>
        <w:rPr>
          <w:b/>
          <w:sz w:val="22"/>
          <w:szCs w:val="22"/>
        </w:rPr>
      </w:pPr>
    </w:p>
    <w:p w14:paraId="1900EEC6">
      <w:pPr>
        <w:numPr>
          <w:ilvl w:val="255"/>
          <w:numId w:val="0"/>
        </w:numPr>
        <w:spacing w:before="156" w:beforeLines="50" w:after="156" w:afterLines="50" w:line="400" w:lineRule="exact"/>
        <w:ind w:hanging="4"/>
        <w:rPr>
          <w:b/>
          <w:sz w:val="22"/>
          <w:szCs w:val="22"/>
        </w:rPr>
      </w:pPr>
    </w:p>
    <w:p w14:paraId="2AA3BC00">
      <w:pPr>
        <w:numPr>
          <w:ilvl w:val="255"/>
          <w:numId w:val="0"/>
        </w:numPr>
        <w:spacing w:before="156" w:beforeLines="50" w:after="156" w:afterLines="50" w:line="400" w:lineRule="exact"/>
        <w:ind w:hanging="4"/>
        <w:rPr>
          <w:b/>
          <w:sz w:val="22"/>
          <w:szCs w:val="22"/>
        </w:rPr>
      </w:pPr>
      <w:r>
        <w:rPr>
          <w:rFonts w:hint="eastAsia"/>
          <w:b/>
          <w:sz w:val="22"/>
          <w:szCs w:val="22"/>
        </w:rPr>
        <w:t>说明：</w:t>
      </w:r>
    </w:p>
    <w:p w14:paraId="3FC02ECC">
      <w:pPr>
        <w:numPr>
          <w:ilvl w:val="0"/>
          <w:numId w:val="8"/>
        </w:numPr>
        <w:spacing w:line="460" w:lineRule="exact"/>
        <w:ind w:left="218" w:leftChars="104" w:firstLine="216" w:firstLineChars="98"/>
        <w:rPr>
          <w:rFonts w:cs="Courier New"/>
          <w:b/>
          <w:sz w:val="22"/>
          <w:szCs w:val="22"/>
        </w:rPr>
      </w:pPr>
      <w:r>
        <w:rPr>
          <w:rFonts w:cs="Courier New"/>
          <w:b/>
          <w:sz w:val="22"/>
          <w:szCs w:val="22"/>
        </w:rPr>
        <w:t>投标人提供的相应证明材料</w:t>
      </w:r>
      <w:r>
        <w:rPr>
          <w:rFonts w:hint="eastAsia" w:cs="Courier New"/>
          <w:b/>
          <w:sz w:val="22"/>
          <w:szCs w:val="22"/>
        </w:rPr>
        <w:t>扫描</w:t>
      </w:r>
      <w:r>
        <w:rPr>
          <w:rFonts w:cs="Courier New"/>
          <w:b/>
          <w:sz w:val="22"/>
          <w:szCs w:val="22"/>
        </w:rPr>
        <w:t>件均应符合：内容完整、清晰、整洁，并由投标人加盖其单位公章。</w:t>
      </w:r>
    </w:p>
    <w:p w14:paraId="7F30CC1F">
      <w:pPr>
        <w:spacing w:line="460" w:lineRule="exact"/>
        <w:ind w:left="218" w:leftChars="104" w:firstLine="216" w:firstLineChars="98"/>
        <w:rPr>
          <w:rFonts w:cs="Courier New"/>
          <w:b/>
          <w:sz w:val="22"/>
          <w:szCs w:val="22"/>
        </w:rPr>
      </w:pPr>
    </w:p>
    <w:p w14:paraId="07A9870C">
      <w:pPr>
        <w:spacing w:line="460" w:lineRule="exact"/>
        <w:ind w:left="218" w:leftChars="104" w:firstLine="216" w:firstLineChars="98"/>
        <w:rPr>
          <w:rFonts w:cs="Courier New"/>
          <w:b/>
          <w:sz w:val="22"/>
          <w:szCs w:val="22"/>
        </w:rPr>
      </w:pPr>
    </w:p>
    <w:p w14:paraId="48512F28">
      <w:pPr>
        <w:spacing w:line="460" w:lineRule="exact"/>
        <w:ind w:left="218" w:leftChars="104" w:firstLine="216" w:firstLineChars="98"/>
        <w:rPr>
          <w:rFonts w:cs="Courier New"/>
          <w:b/>
          <w:sz w:val="22"/>
          <w:szCs w:val="22"/>
        </w:rPr>
      </w:pPr>
    </w:p>
    <w:p w14:paraId="66B2F20A">
      <w:pPr>
        <w:spacing w:line="460" w:lineRule="exact"/>
        <w:ind w:left="218" w:leftChars="104" w:firstLine="216" w:firstLineChars="98"/>
        <w:rPr>
          <w:rFonts w:cs="Courier New"/>
          <w:b/>
          <w:sz w:val="22"/>
          <w:szCs w:val="22"/>
        </w:rPr>
      </w:pPr>
    </w:p>
    <w:p w14:paraId="13E0F152">
      <w:pPr>
        <w:spacing w:line="460" w:lineRule="exact"/>
        <w:ind w:left="218" w:leftChars="104" w:firstLine="216" w:firstLineChars="98"/>
        <w:rPr>
          <w:rFonts w:cs="Courier New"/>
          <w:b/>
          <w:sz w:val="22"/>
          <w:szCs w:val="22"/>
        </w:rPr>
      </w:pPr>
    </w:p>
    <w:p w14:paraId="58740F2A">
      <w:pPr>
        <w:spacing w:line="460" w:lineRule="exact"/>
        <w:ind w:left="218" w:leftChars="104" w:firstLine="216" w:firstLineChars="98"/>
        <w:rPr>
          <w:rFonts w:cs="Courier New"/>
          <w:b/>
          <w:sz w:val="22"/>
          <w:szCs w:val="22"/>
        </w:rPr>
      </w:pPr>
    </w:p>
    <w:p w14:paraId="44EBEDEE">
      <w:pPr>
        <w:spacing w:line="460" w:lineRule="exact"/>
        <w:ind w:left="218" w:leftChars="104" w:firstLine="216" w:firstLineChars="98"/>
        <w:rPr>
          <w:rFonts w:cs="Courier New"/>
          <w:b/>
          <w:sz w:val="22"/>
          <w:szCs w:val="22"/>
        </w:rPr>
      </w:pPr>
    </w:p>
    <w:p w14:paraId="6D265DCA">
      <w:pPr>
        <w:spacing w:line="460" w:lineRule="exact"/>
        <w:ind w:left="218" w:leftChars="104" w:firstLine="216" w:firstLineChars="98"/>
        <w:rPr>
          <w:rFonts w:cs="Courier New"/>
          <w:b/>
          <w:sz w:val="22"/>
          <w:szCs w:val="22"/>
        </w:rPr>
      </w:pPr>
    </w:p>
    <w:p w14:paraId="18254E1E">
      <w:pPr>
        <w:spacing w:line="460" w:lineRule="exact"/>
        <w:ind w:left="218" w:leftChars="104" w:firstLine="216" w:firstLineChars="98"/>
        <w:rPr>
          <w:rFonts w:cs="Courier New"/>
          <w:b/>
          <w:sz w:val="22"/>
          <w:szCs w:val="22"/>
        </w:rPr>
      </w:pPr>
    </w:p>
    <w:p w14:paraId="3FD80D7C">
      <w:pPr>
        <w:spacing w:line="460" w:lineRule="exact"/>
        <w:ind w:left="218" w:leftChars="104" w:firstLine="216" w:firstLineChars="98"/>
        <w:rPr>
          <w:rFonts w:cs="Courier New"/>
          <w:b/>
          <w:sz w:val="22"/>
          <w:szCs w:val="22"/>
        </w:rPr>
      </w:pPr>
    </w:p>
    <w:p w14:paraId="5754B075">
      <w:pPr>
        <w:spacing w:line="460" w:lineRule="exact"/>
        <w:ind w:left="218" w:leftChars="104" w:firstLine="216" w:firstLineChars="98"/>
        <w:rPr>
          <w:rFonts w:cs="Courier New"/>
          <w:b/>
          <w:sz w:val="22"/>
          <w:szCs w:val="22"/>
        </w:rPr>
      </w:pPr>
    </w:p>
    <w:p w14:paraId="67E9C299">
      <w:pPr>
        <w:spacing w:line="460" w:lineRule="exact"/>
        <w:ind w:left="218" w:leftChars="104" w:firstLine="216" w:firstLineChars="98"/>
        <w:rPr>
          <w:rFonts w:cs="Courier New"/>
          <w:b/>
          <w:sz w:val="22"/>
          <w:szCs w:val="22"/>
        </w:rPr>
      </w:pPr>
    </w:p>
    <w:p w14:paraId="2A9FD848">
      <w:pPr>
        <w:spacing w:line="460" w:lineRule="exact"/>
        <w:ind w:left="218" w:leftChars="104" w:firstLine="216" w:firstLineChars="98"/>
        <w:rPr>
          <w:rFonts w:cs="Courier New"/>
          <w:b/>
          <w:sz w:val="22"/>
          <w:szCs w:val="22"/>
        </w:rPr>
      </w:pPr>
    </w:p>
    <w:p w14:paraId="305C3163">
      <w:pPr>
        <w:spacing w:line="460" w:lineRule="exact"/>
        <w:ind w:left="218" w:leftChars="104" w:firstLine="216" w:firstLineChars="98"/>
        <w:rPr>
          <w:rFonts w:cs="Courier New"/>
          <w:b/>
          <w:sz w:val="22"/>
          <w:szCs w:val="22"/>
        </w:rPr>
      </w:pPr>
    </w:p>
    <w:p w14:paraId="2177C8E7">
      <w:pPr>
        <w:spacing w:line="460" w:lineRule="exact"/>
        <w:ind w:left="218" w:leftChars="104" w:firstLine="216" w:firstLineChars="98"/>
        <w:rPr>
          <w:rFonts w:cs="Courier New"/>
          <w:b/>
          <w:sz w:val="22"/>
          <w:szCs w:val="22"/>
        </w:rPr>
      </w:pPr>
    </w:p>
    <w:p w14:paraId="3BC67529">
      <w:pPr>
        <w:spacing w:line="460" w:lineRule="exact"/>
        <w:ind w:left="218" w:leftChars="104" w:firstLine="216" w:firstLineChars="98"/>
        <w:rPr>
          <w:rFonts w:cs="Courier New"/>
          <w:b/>
          <w:sz w:val="22"/>
          <w:szCs w:val="22"/>
        </w:rPr>
      </w:pPr>
    </w:p>
    <w:p w14:paraId="2C2BA5D9">
      <w:pPr>
        <w:spacing w:line="460" w:lineRule="exact"/>
        <w:ind w:left="218" w:leftChars="104" w:firstLine="216" w:firstLineChars="98"/>
        <w:rPr>
          <w:rFonts w:cs="Courier New"/>
          <w:b/>
          <w:sz w:val="22"/>
          <w:szCs w:val="22"/>
        </w:rPr>
      </w:pPr>
    </w:p>
    <w:p w14:paraId="669FA6A6">
      <w:pPr>
        <w:spacing w:line="460" w:lineRule="exact"/>
        <w:ind w:left="218" w:leftChars="104" w:firstLine="216" w:firstLineChars="98"/>
        <w:rPr>
          <w:rFonts w:cs="Courier New"/>
          <w:b/>
          <w:sz w:val="22"/>
          <w:szCs w:val="22"/>
        </w:rPr>
      </w:pPr>
    </w:p>
    <w:p w14:paraId="12C8DE8A">
      <w:pPr>
        <w:pStyle w:val="2"/>
        <w:rPr>
          <w:rFonts w:cs="Courier New"/>
          <w:b/>
          <w:sz w:val="22"/>
          <w:szCs w:val="22"/>
        </w:rPr>
      </w:pPr>
    </w:p>
    <w:p w14:paraId="1E5DA645"/>
    <w:p w14:paraId="20E8C607">
      <w:pPr>
        <w:spacing w:line="460" w:lineRule="exact"/>
        <w:ind w:left="218" w:leftChars="104" w:firstLine="216" w:firstLineChars="98"/>
        <w:rPr>
          <w:rFonts w:cs="Courier New"/>
          <w:b/>
          <w:sz w:val="22"/>
          <w:szCs w:val="22"/>
        </w:rPr>
      </w:pPr>
    </w:p>
    <w:p w14:paraId="424389DB">
      <w:pPr>
        <w:spacing w:line="460" w:lineRule="exact"/>
        <w:ind w:left="218" w:leftChars="104" w:firstLine="216" w:firstLineChars="98"/>
        <w:rPr>
          <w:rFonts w:cs="Courier New"/>
          <w:b/>
          <w:sz w:val="22"/>
          <w:szCs w:val="22"/>
        </w:rPr>
      </w:pPr>
    </w:p>
    <w:p w14:paraId="25F574BE">
      <w:pPr>
        <w:spacing w:line="460" w:lineRule="exact"/>
        <w:ind w:left="218" w:leftChars="104" w:firstLine="216" w:firstLineChars="98"/>
        <w:rPr>
          <w:rFonts w:cs="Courier New"/>
          <w:b/>
          <w:sz w:val="22"/>
          <w:szCs w:val="22"/>
        </w:rPr>
      </w:pPr>
    </w:p>
    <w:p w14:paraId="313EA2F1">
      <w:pPr>
        <w:numPr>
          <w:ilvl w:val="0"/>
          <w:numId w:val="7"/>
        </w:numPr>
        <w:tabs>
          <w:tab w:val="left" w:pos="482"/>
          <w:tab w:val="left" w:pos="2183"/>
          <w:tab w:val="left" w:pos="3884"/>
          <w:tab w:val="left" w:pos="5585"/>
        </w:tabs>
        <w:kinsoku/>
        <w:wordWrap/>
        <w:autoSpaceDE w:val="0"/>
        <w:autoSpaceDN w:val="0"/>
        <w:snapToGrid/>
        <w:spacing w:line="240" w:lineRule="auto"/>
        <w:jc w:val="center"/>
        <w:textAlignment w:val="auto"/>
        <w:rPr>
          <w:rFonts w:cs="宋体"/>
          <w:bCs/>
          <w:sz w:val="24"/>
        </w:rPr>
      </w:pPr>
      <w:r>
        <w:rPr>
          <w:rFonts w:hint="eastAsia" w:cs="宋体"/>
          <w:b/>
          <w:bCs/>
          <w:sz w:val="28"/>
          <w:szCs w:val="28"/>
        </w:rPr>
        <w:t>投标承诺函</w:t>
      </w:r>
    </w:p>
    <w:p w14:paraId="792C08CE">
      <w:pPr>
        <w:kinsoku w:val="0"/>
        <w:wordWrap w:val="0"/>
        <w:snapToGrid w:val="0"/>
        <w:spacing w:line="360" w:lineRule="auto"/>
        <w:ind w:firstLine="480" w:firstLineChars="200"/>
        <w:rPr>
          <w:rFonts w:cs="宋体"/>
          <w:bCs/>
          <w:sz w:val="24"/>
        </w:rPr>
      </w:pPr>
      <w:r>
        <w:rPr>
          <w:rFonts w:hint="eastAsia" w:cs="宋体"/>
          <w:bCs/>
          <w:sz w:val="24"/>
        </w:rPr>
        <w:t>温州港口服务有限公司:</w:t>
      </w:r>
    </w:p>
    <w:p w14:paraId="1D55EE35">
      <w:pPr>
        <w:kinsoku w:val="0"/>
        <w:wordWrap w:val="0"/>
        <w:snapToGrid w:val="0"/>
        <w:spacing w:line="360" w:lineRule="auto"/>
        <w:ind w:firstLine="480" w:firstLineChars="200"/>
        <w:rPr>
          <w:rFonts w:cs="宋体"/>
          <w:bCs/>
          <w:sz w:val="24"/>
        </w:rPr>
      </w:pPr>
      <w:r>
        <w:rPr>
          <w:rFonts w:hint="eastAsia" w:cs="宋体"/>
          <w:bCs/>
          <w:sz w:val="24"/>
        </w:rPr>
        <w:t>我司就参与（项目名称）（</w:t>
      </w:r>
      <w:r>
        <w:rPr>
          <w:rFonts w:hint="eastAsia" w:cs="宋体"/>
          <w:bCs/>
          <w:sz w:val="24"/>
          <w:lang w:val="en-US" w:eastAsia="zh-CN"/>
        </w:rPr>
        <w:t>项目</w:t>
      </w:r>
      <w:r>
        <w:rPr>
          <w:rFonts w:hint="eastAsia" w:cs="宋体"/>
          <w:bCs/>
          <w:sz w:val="24"/>
        </w:rPr>
        <w:t>编号：）投标事宜，基于《中华人民共和国安全生产法》《中华人民共和国招标投标法》《生产安全事故报告和调查处理条例》等法律法规及招标文件要求，郑重作出如下不可撤销承诺：</w:t>
      </w:r>
    </w:p>
    <w:p w14:paraId="75E59536">
      <w:pPr>
        <w:kinsoku w:val="0"/>
        <w:wordWrap w:val="0"/>
        <w:snapToGrid w:val="0"/>
        <w:spacing w:line="360" w:lineRule="auto"/>
        <w:ind w:firstLine="480" w:firstLineChars="200"/>
        <w:rPr>
          <w:rFonts w:cs="宋体"/>
          <w:bCs/>
          <w:sz w:val="24"/>
        </w:rPr>
      </w:pPr>
      <w:r>
        <w:rPr>
          <w:rFonts w:hint="eastAsia" w:cs="宋体"/>
          <w:bCs/>
          <w:sz w:val="24"/>
        </w:rPr>
        <w:t>我司郑重承诺，若我司中标，将于项目收到中标通知书</w:t>
      </w:r>
      <w:r>
        <w:rPr>
          <w:rFonts w:cs="宋体"/>
          <w:bCs/>
          <w:sz w:val="24"/>
        </w:rPr>
        <w:t>5个工作日内完成以下工作，并报贵单位验收备案：</w:t>
      </w:r>
    </w:p>
    <w:p w14:paraId="68BE8610">
      <w:pPr>
        <w:kinsoku w:val="0"/>
        <w:wordWrap w:val="0"/>
        <w:snapToGrid w:val="0"/>
        <w:spacing w:line="360" w:lineRule="auto"/>
        <w:ind w:firstLine="480" w:firstLineChars="200"/>
        <w:rPr>
          <w:rFonts w:cs="宋体"/>
          <w:bCs/>
          <w:sz w:val="24"/>
        </w:rPr>
      </w:pPr>
      <w:r>
        <w:rPr>
          <w:rFonts w:hint="eastAsia" w:cs="宋体"/>
          <w:bCs/>
          <w:sz w:val="24"/>
        </w:rPr>
        <w:t>1、我公司承诺签订劳动合同的人员不少于20人，提供劳动合同资料</w:t>
      </w:r>
      <w:r>
        <w:rPr>
          <w:rFonts w:hint="eastAsia" w:cs="宋体"/>
          <w:bCs/>
          <w:sz w:val="24"/>
          <w:lang w:val="en-US" w:eastAsia="zh-CN"/>
        </w:rPr>
        <w:t>或社保证明资料</w:t>
      </w:r>
      <w:r>
        <w:rPr>
          <w:rFonts w:hint="eastAsia" w:cs="宋体"/>
          <w:bCs/>
          <w:sz w:val="24"/>
        </w:rPr>
        <w:t>。</w:t>
      </w:r>
    </w:p>
    <w:p w14:paraId="7516050C">
      <w:pPr>
        <w:kinsoku w:val="0"/>
        <w:wordWrap w:val="0"/>
        <w:snapToGrid w:val="0"/>
        <w:spacing w:line="360" w:lineRule="auto"/>
        <w:ind w:firstLine="480" w:firstLineChars="200"/>
        <w:rPr>
          <w:rFonts w:cs="宋体"/>
          <w:bCs/>
          <w:sz w:val="24"/>
        </w:rPr>
      </w:pPr>
      <w:r>
        <w:rPr>
          <w:rFonts w:hint="eastAsia" w:cs="宋体"/>
          <w:bCs/>
          <w:sz w:val="24"/>
        </w:rPr>
        <w:t>2、我公司将建立安全生产责任制、安全教育培训、安全技术交底、隐患排查治理、施工现场安全监督、安全生产事故应急救援预案等安全相关管理制度，制度符合项目发包单位安全生产管理要求，提供相应的管理制度资料。</w:t>
      </w:r>
    </w:p>
    <w:p w14:paraId="226EB5C6">
      <w:pPr>
        <w:kinsoku w:val="0"/>
        <w:wordWrap w:val="0"/>
        <w:snapToGrid w:val="0"/>
        <w:spacing w:line="360" w:lineRule="auto"/>
        <w:ind w:firstLine="480" w:firstLineChars="200"/>
        <w:rPr>
          <w:rFonts w:cs="宋体"/>
          <w:bCs/>
          <w:sz w:val="24"/>
        </w:rPr>
      </w:pPr>
      <w:r>
        <w:rPr>
          <w:rFonts w:hint="eastAsia" w:cs="宋体"/>
          <w:bCs/>
          <w:sz w:val="24"/>
        </w:rPr>
        <w:t>3、我公司级安全生产管理机构及专职安全管理人员配备符合国家相关法律法规要求，提供安全生产管理机构及专职安全管理人员证书资料。</w:t>
      </w:r>
    </w:p>
    <w:p w14:paraId="4BDD3629">
      <w:pPr>
        <w:kinsoku w:val="0"/>
        <w:wordWrap w:val="0"/>
        <w:snapToGrid w:val="0"/>
        <w:spacing w:line="360" w:lineRule="auto"/>
        <w:ind w:firstLine="480" w:firstLineChars="200"/>
        <w:rPr>
          <w:rFonts w:cs="宋体"/>
          <w:bCs/>
          <w:sz w:val="24"/>
        </w:rPr>
      </w:pPr>
      <w:r>
        <w:rPr>
          <w:rFonts w:hint="eastAsia" w:cs="宋体"/>
          <w:bCs/>
          <w:sz w:val="24"/>
        </w:rPr>
        <w:t>4、拟派项目从业人员具备所从事岗位的安全知识和技能，并有教育培训档案，提供从事岗位的安全知识和技能、教育培训档案资料。</w:t>
      </w:r>
    </w:p>
    <w:p w14:paraId="46001A30">
      <w:pPr>
        <w:kinsoku w:val="0"/>
        <w:wordWrap w:val="0"/>
        <w:snapToGrid w:val="0"/>
        <w:spacing w:line="360" w:lineRule="auto"/>
        <w:ind w:firstLine="480" w:firstLineChars="200"/>
        <w:rPr>
          <w:rFonts w:cs="宋体"/>
          <w:bCs/>
          <w:sz w:val="24"/>
        </w:rPr>
      </w:pPr>
      <w:bookmarkStart w:id="128" w:name="OLE_LINK10"/>
      <w:r>
        <w:rPr>
          <w:rFonts w:hint="eastAsia" w:cs="宋体"/>
          <w:bCs/>
          <w:sz w:val="24"/>
        </w:rPr>
        <w:t>5、我公司承诺拟派项目从业人员年龄在18周岁以上、法定退休年龄以下；项目</w:t>
      </w:r>
      <w:r>
        <w:rPr>
          <w:rFonts w:hint="eastAsia" w:cs="宋体"/>
          <w:bCs/>
          <w:sz w:val="24"/>
          <w:lang w:eastAsia="zh-CN"/>
        </w:rPr>
        <w:t>经理</w:t>
      </w:r>
      <w:r>
        <w:rPr>
          <w:rFonts w:hint="eastAsia" w:cs="宋体"/>
          <w:bCs/>
          <w:sz w:val="24"/>
        </w:rPr>
        <w:t>具有有效的安全生产考核合格证书（B类），项目安全员具有安全生产考核合格证书（C类）。</w:t>
      </w:r>
    </w:p>
    <w:bookmarkEnd w:id="128"/>
    <w:p w14:paraId="78297C61">
      <w:pPr>
        <w:kinsoku w:val="0"/>
        <w:wordWrap w:val="0"/>
        <w:snapToGrid w:val="0"/>
        <w:spacing w:line="360" w:lineRule="auto"/>
        <w:ind w:firstLine="480" w:firstLineChars="200"/>
        <w:rPr>
          <w:rFonts w:cs="宋体"/>
          <w:bCs/>
          <w:sz w:val="24"/>
        </w:rPr>
      </w:pPr>
      <w:r>
        <w:rPr>
          <w:rFonts w:hint="eastAsia" w:cs="宋体"/>
          <w:bCs/>
          <w:sz w:val="24"/>
        </w:rPr>
        <w:t>6、拟投入主要施工机械和设备的数量、规格型号符合项目需求，相关机械设备工况良好、证件齐全、检测合格、定期检测维保，提供主要机械设备清单、证件、检测合格证、定期检测维保记录等资料。</w:t>
      </w:r>
    </w:p>
    <w:p w14:paraId="162A2921">
      <w:pPr>
        <w:pStyle w:val="2"/>
        <w:spacing w:line="360" w:lineRule="auto"/>
        <w:ind w:left="0" w:leftChars="0" w:firstLine="480"/>
        <w:rPr>
          <w:rFonts w:ascii="宋体" w:hAnsi="宋体" w:eastAsia="宋体" w:cs="宋体"/>
          <w:b w:val="0"/>
          <w:bCs/>
          <w:sz w:val="24"/>
        </w:rPr>
      </w:pPr>
      <w:r>
        <w:rPr>
          <w:rFonts w:hint="eastAsia" w:ascii="宋体" w:hAnsi="宋体" w:eastAsia="宋体" w:cs="宋体"/>
          <w:b w:val="0"/>
          <w:bCs/>
          <w:sz w:val="24"/>
        </w:rPr>
        <w:t>7、我公司将办理项目从业人员工伤保险、人身意外伤害险等有关保险，临聘用工应为其购买相关商业保险，提供保险证明资料。</w:t>
      </w:r>
    </w:p>
    <w:p w14:paraId="7B28A930">
      <w:pPr>
        <w:kinsoku w:val="0"/>
        <w:wordWrap w:val="0"/>
        <w:snapToGrid w:val="0"/>
        <w:spacing w:line="360" w:lineRule="auto"/>
        <w:ind w:firstLine="480" w:firstLineChars="200"/>
        <w:rPr>
          <w:rFonts w:cs="宋体"/>
          <w:bCs/>
          <w:sz w:val="24"/>
        </w:rPr>
      </w:pPr>
      <w:r>
        <w:rPr>
          <w:rFonts w:hint="eastAsia" w:cs="宋体"/>
          <w:bCs/>
          <w:sz w:val="24"/>
        </w:rPr>
        <w:t>8、为拟投入项目从业人员配备的劳动防护用品都符合国家标准或者行业标准，提供劳动防护用品清单。</w:t>
      </w:r>
    </w:p>
    <w:p w14:paraId="77218A8C">
      <w:pPr>
        <w:kinsoku w:val="0"/>
        <w:wordWrap w:val="0"/>
        <w:snapToGrid w:val="0"/>
        <w:spacing w:line="360" w:lineRule="auto"/>
        <w:ind w:firstLine="480" w:firstLineChars="200"/>
        <w:rPr>
          <w:rFonts w:cs="宋体"/>
          <w:bCs/>
          <w:sz w:val="24"/>
        </w:rPr>
      </w:pPr>
      <w:r>
        <w:rPr>
          <w:rFonts w:hint="eastAsia" w:cs="宋体"/>
          <w:bCs/>
          <w:sz w:val="24"/>
        </w:rPr>
        <w:t>9、将对承包项目的主要风险进行辨识，并制定管控措施，建立风险分级管控清单。提供管控措施和风险分级管控清单资料。</w:t>
      </w:r>
    </w:p>
    <w:p w14:paraId="05B9E332">
      <w:pPr>
        <w:kinsoku w:val="0"/>
        <w:wordWrap w:val="0"/>
        <w:snapToGrid w:val="0"/>
        <w:spacing w:line="360" w:lineRule="auto"/>
        <w:ind w:firstLine="480" w:firstLineChars="200"/>
        <w:jc w:val="left"/>
        <w:textAlignment w:val="auto"/>
        <w:rPr>
          <w:rFonts w:ascii="宋体" w:hAnsi="宋体" w:eastAsia="宋体" w:cs="宋体"/>
          <w:bCs/>
          <w:sz w:val="24"/>
        </w:rPr>
      </w:pPr>
      <w:r>
        <w:rPr>
          <w:rFonts w:hint="eastAsia" w:ascii="宋体" w:hAnsi="宋体" w:eastAsia="宋体" w:cs="宋体"/>
          <w:bCs/>
          <w:sz w:val="24"/>
        </w:rPr>
        <w:t>若我司违背上述承诺，贵单位有权取消我司的中标资格并没收投标保证金（或等额的罚金），并依据《招标投标法》保留追究法律责任的权利；若合同正在履行中或履约后被发现的，将按照合同约定承担相应后果，给贵单位造成损失的，愿意依法承担相应赔偿责任。</w:t>
      </w:r>
    </w:p>
    <w:p w14:paraId="085F110C">
      <w:pPr>
        <w:numPr>
          <w:ilvl w:val="255"/>
          <w:numId w:val="0"/>
        </w:numPr>
        <w:kinsoku w:val="0"/>
        <w:wordWrap w:val="0"/>
        <w:snapToGrid w:val="0"/>
        <w:spacing w:line="360" w:lineRule="auto"/>
        <w:ind w:firstLine="480" w:firstLineChars="200"/>
        <w:jc w:val="left"/>
        <w:textAlignment w:val="auto"/>
        <w:rPr>
          <w:rFonts w:ascii="宋体" w:hAnsi="宋体" w:eastAsia="宋体" w:cs="宋体"/>
          <w:bCs/>
          <w:sz w:val="24"/>
        </w:rPr>
      </w:pPr>
      <w:r>
        <w:rPr>
          <w:rFonts w:hint="eastAsia" w:ascii="宋体" w:hAnsi="宋体" w:eastAsia="宋体" w:cs="宋体"/>
          <w:bCs/>
          <w:sz w:val="24"/>
        </w:rPr>
        <w:t>我司郑重承诺，承诺内容真实有效，我司愿对虚假承诺承担《</w:t>
      </w:r>
      <w:bookmarkStart w:id="129" w:name="OLE_LINK7"/>
      <w:r>
        <w:rPr>
          <w:rFonts w:hint="eastAsia" w:ascii="宋体" w:hAnsi="宋体" w:eastAsia="宋体" w:cs="宋体"/>
          <w:bCs/>
          <w:sz w:val="24"/>
        </w:rPr>
        <w:t>中华人民共和国招标投标法实施条例</w:t>
      </w:r>
      <w:bookmarkEnd w:id="129"/>
      <w:r>
        <w:rPr>
          <w:rFonts w:hint="eastAsia" w:ascii="宋体" w:hAnsi="宋体" w:eastAsia="宋体" w:cs="宋体"/>
          <w:bCs/>
          <w:sz w:val="24"/>
        </w:rPr>
        <w:t>》第六十八条规定的“弄虚作假骗取中标”的法律责任（包括行政处罚、民事赔偿等）。</w:t>
      </w:r>
    </w:p>
    <w:p w14:paraId="6CC3E533">
      <w:pPr>
        <w:numPr>
          <w:ilvl w:val="255"/>
          <w:numId w:val="0"/>
        </w:numPr>
        <w:kinsoku w:val="0"/>
        <w:wordWrap w:val="0"/>
        <w:snapToGrid w:val="0"/>
        <w:spacing w:line="360" w:lineRule="auto"/>
        <w:ind w:firstLine="480" w:firstLineChars="200"/>
        <w:jc w:val="left"/>
        <w:textAlignment w:val="auto"/>
        <w:rPr>
          <w:rFonts w:ascii="宋体" w:hAnsi="宋体" w:eastAsia="宋体" w:cs="宋体"/>
          <w:bCs/>
          <w:sz w:val="24"/>
        </w:rPr>
      </w:pPr>
      <w:r>
        <w:rPr>
          <w:rFonts w:hint="eastAsia" w:ascii="宋体" w:hAnsi="宋体" w:eastAsia="宋体" w:cs="宋体"/>
          <w:bCs/>
          <w:sz w:val="24"/>
        </w:rPr>
        <w:t>本承诺书为投标文件不可分割的组成部分，与投标文件、中标合同具有同等法律效力，自签字盖章之日起生效，有效期同主合同。</w:t>
      </w:r>
    </w:p>
    <w:p w14:paraId="092E24D0">
      <w:pPr>
        <w:kinsoku w:val="0"/>
        <w:wordWrap w:val="0"/>
        <w:snapToGrid w:val="0"/>
        <w:spacing w:line="360" w:lineRule="auto"/>
        <w:ind w:firstLine="480" w:firstLineChars="200"/>
        <w:jc w:val="left"/>
        <w:textAlignment w:val="auto"/>
        <w:rPr>
          <w:rFonts w:ascii="宋体" w:hAnsi="宋体" w:eastAsia="宋体" w:cs="宋体"/>
          <w:bCs/>
          <w:sz w:val="24"/>
        </w:rPr>
      </w:pPr>
      <w:r>
        <w:rPr>
          <w:rFonts w:hint="eastAsia" w:ascii="宋体" w:hAnsi="宋体" w:eastAsia="宋体" w:cs="宋体"/>
          <w:bCs/>
          <w:sz w:val="24"/>
        </w:rPr>
        <w:t>特此承诺！</w:t>
      </w:r>
    </w:p>
    <w:p w14:paraId="4C133C77">
      <w:pPr>
        <w:kinsoku w:val="0"/>
        <w:wordWrap w:val="0"/>
        <w:snapToGrid w:val="0"/>
        <w:spacing w:line="360" w:lineRule="auto"/>
        <w:ind w:firstLine="480" w:firstLineChars="200"/>
        <w:rPr>
          <w:rFonts w:cs="宋体"/>
          <w:bCs/>
          <w:sz w:val="24"/>
        </w:rPr>
      </w:pPr>
    </w:p>
    <w:p w14:paraId="7742FB89">
      <w:pPr>
        <w:kinsoku w:val="0"/>
        <w:wordWrap w:val="0"/>
        <w:snapToGrid w:val="0"/>
        <w:spacing w:line="360" w:lineRule="auto"/>
        <w:ind w:firstLine="480" w:firstLineChars="200"/>
        <w:rPr>
          <w:rFonts w:cs="宋体"/>
          <w:bCs/>
          <w:sz w:val="24"/>
        </w:rPr>
      </w:pPr>
    </w:p>
    <w:p w14:paraId="074F8DA3">
      <w:pPr>
        <w:kinsoku w:val="0"/>
        <w:wordWrap w:val="0"/>
        <w:snapToGrid w:val="0"/>
        <w:spacing w:line="360" w:lineRule="auto"/>
        <w:ind w:firstLine="480" w:firstLineChars="200"/>
        <w:rPr>
          <w:rFonts w:cs="宋体"/>
          <w:bCs/>
          <w:sz w:val="24"/>
        </w:rPr>
      </w:pPr>
    </w:p>
    <w:p w14:paraId="0216DA27">
      <w:pPr>
        <w:kinsoku w:val="0"/>
        <w:wordWrap w:val="0"/>
        <w:snapToGrid w:val="0"/>
        <w:spacing w:line="360" w:lineRule="auto"/>
        <w:ind w:firstLine="480" w:firstLineChars="200"/>
        <w:rPr>
          <w:rFonts w:cs="宋体"/>
          <w:bCs/>
          <w:sz w:val="24"/>
        </w:rPr>
      </w:pPr>
      <w:r>
        <w:rPr>
          <w:rFonts w:hint="eastAsia" w:cs="宋体"/>
          <w:bCs/>
          <w:sz w:val="24"/>
        </w:rPr>
        <w:t xml:space="preserve">投标人：（盖章）               </w:t>
      </w:r>
    </w:p>
    <w:p w14:paraId="5374CBF1">
      <w:pPr>
        <w:kinsoku w:val="0"/>
        <w:wordWrap w:val="0"/>
        <w:snapToGrid w:val="0"/>
        <w:spacing w:line="360" w:lineRule="auto"/>
        <w:ind w:firstLine="480" w:firstLineChars="200"/>
        <w:rPr>
          <w:rFonts w:cs="宋体"/>
          <w:bCs/>
          <w:sz w:val="24"/>
        </w:rPr>
      </w:pPr>
      <w:r>
        <w:rPr>
          <w:rFonts w:hint="eastAsia" w:cs="宋体"/>
          <w:bCs/>
          <w:sz w:val="24"/>
        </w:rPr>
        <w:t>法定代表人或其委托代理人：（签字或盖章）</w:t>
      </w:r>
    </w:p>
    <w:p w14:paraId="5CAD16BC">
      <w:pPr>
        <w:kinsoku w:val="0"/>
        <w:wordWrap w:val="0"/>
        <w:snapToGrid w:val="0"/>
        <w:spacing w:line="360" w:lineRule="auto"/>
        <w:ind w:firstLine="480" w:firstLineChars="200"/>
        <w:rPr>
          <w:rFonts w:cs="宋体"/>
          <w:bCs/>
          <w:sz w:val="24"/>
        </w:rPr>
      </w:pPr>
      <w:r>
        <w:rPr>
          <w:rFonts w:hint="eastAsia" w:cs="宋体"/>
          <w:bCs/>
          <w:sz w:val="24"/>
        </w:rPr>
        <w:t>日期：  年    月     日</w:t>
      </w:r>
    </w:p>
    <w:p w14:paraId="102E5026">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5B062C54">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2DF10564">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503E00DE">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07C8376B">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4CB475C5">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525C9B38">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57CB6797">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1EFC37C9">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458E4A9D">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0C89EBBB">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674C7C44">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6DF6E755">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74147FC0">
      <w:pPr>
        <w:pStyle w:val="2"/>
      </w:pPr>
    </w:p>
    <w:p w14:paraId="20518F87">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093BD762">
      <w:p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p>
    <w:p w14:paraId="7635F8C5">
      <w:p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5AD90A51">
      <w:pPr>
        <w:numPr>
          <w:ilvl w:val="0"/>
          <w:numId w:val="7"/>
        </w:num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r>
        <w:rPr>
          <w:rFonts w:hint="eastAsia" w:cs="宋体"/>
          <w:b/>
          <w:bCs/>
          <w:sz w:val="28"/>
          <w:szCs w:val="28"/>
        </w:rPr>
        <w:t>企业主要负责人的“三类人员”A类证书，企业主要负责人包括企业法定代表人、企业分管安全生产的副经理。</w:t>
      </w:r>
    </w:p>
    <w:p w14:paraId="6B9A51E4">
      <w:pPr>
        <w:numPr>
          <w:ilvl w:val="255"/>
          <w:numId w:val="0"/>
        </w:numPr>
        <w:spacing w:before="156" w:beforeLines="50" w:after="156" w:afterLines="50" w:line="400" w:lineRule="exact"/>
        <w:ind w:hanging="4"/>
        <w:rPr>
          <w:b/>
          <w:sz w:val="22"/>
          <w:szCs w:val="22"/>
        </w:rPr>
      </w:pPr>
    </w:p>
    <w:p w14:paraId="49A3939A">
      <w:pPr>
        <w:numPr>
          <w:ilvl w:val="255"/>
          <w:numId w:val="0"/>
        </w:numPr>
        <w:spacing w:before="156" w:beforeLines="50" w:after="156" w:afterLines="50" w:line="400" w:lineRule="exact"/>
        <w:ind w:hanging="4"/>
        <w:rPr>
          <w:b/>
          <w:sz w:val="22"/>
          <w:szCs w:val="22"/>
        </w:rPr>
      </w:pPr>
    </w:p>
    <w:p w14:paraId="052E5B02">
      <w:pPr>
        <w:numPr>
          <w:ilvl w:val="255"/>
          <w:numId w:val="0"/>
        </w:numPr>
        <w:spacing w:before="156" w:beforeLines="50" w:after="156" w:afterLines="50" w:line="400" w:lineRule="exact"/>
        <w:ind w:hanging="4"/>
        <w:rPr>
          <w:b/>
          <w:sz w:val="22"/>
          <w:szCs w:val="22"/>
        </w:rPr>
      </w:pPr>
      <w:r>
        <w:rPr>
          <w:rFonts w:hint="eastAsia"/>
          <w:b/>
          <w:sz w:val="22"/>
          <w:szCs w:val="22"/>
        </w:rPr>
        <w:t>说明：</w:t>
      </w:r>
    </w:p>
    <w:p w14:paraId="46494A22">
      <w:pPr>
        <w:spacing w:line="460" w:lineRule="exact"/>
        <w:ind w:left="218" w:leftChars="104" w:firstLine="216" w:firstLineChars="98"/>
        <w:rPr>
          <w:rFonts w:cs="Courier New"/>
          <w:b/>
          <w:sz w:val="22"/>
          <w:szCs w:val="22"/>
        </w:rPr>
      </w:pPr>
      <w:r>
        <w:rPr>
          <w:rFonts w:hint="eastAsia" w:cs="Courier New"/>
          <w:b/>
          <w:sz w:val="22"/>
          <w:szCs w:val="22"/>
        </w:rPr>
        <w:t>1</w:t>
      </w:r>
      <w:r>
        <w:rPr>
          <w:rFonts w:cs="Courier New"/>
          <w:b/>
          <w:sz w:val="22"/>
          <w:szCs w:val="22"/>
        </w:rPr>
        <w:t>、投标人提供的相应证明材料</w:t>
      </w:r>
      <w:r>
        <w:rPr>
          <w:rFonts w:hint="eastAsia" w:cs="Courier New"/>
          <w:b/>
          <w:sz w:val="22"/>
          <w:szCs w:val="22"/>
        </w:rPr>
        <w:t>扫描</w:t>
      </w:r>
      <w:r>
        <w:rPr>
          <w:rFonts w:cs="Courier New"/>
          <w:b/>
          <w:sz w:val="22"/>
          <w:szCs w:val="22"/>
        </w:rPr>
        <w:t>件均应符合：内容完整、清晰、整洁，并由投标人加盖其单位公章。</w:t>
      </w:r>
    </w:p>
    <w:p w14:paraId="255DE78A">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3A6C0F24">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36D73DC6">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71B8E1B7">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6FE2D4C9">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01F34CBD">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3AF787F3">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05D49D28">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240572A2">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73F5CE77">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1A29353F">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4C0DC215">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16803908">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26CE8B01">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0A905B0D">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0A0F0899">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531E3C95">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282FB24B">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769C896D">
      <w:pPr>
        <w:numPr>
          <w:ilvl w:val="0"/>
          <w:numId w:val="7"/>
        </w:num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r>
        <w:rPr>
          <w:rFonts w:hint="eastAsia" w:cs="宋体"/>
          <w:b/>
          <w:bCs/>
          <w:sz w:val="28"/>
          <w:szCs w:val="28"/>
        </w:rPr>
        <w:t>企业分管安全生产副经理的任职文件扫描件</w:t>
      </w:r>
    </w:p>
    <w:p w14:paraId="6837969E">
      <w:pPr>
        <w:numPr>
          <w:ilvl w:val="255"/>
          <w:numId w:val="0"/>
        </w:numPr>
        <w:spacing w:before="156" w:beforeLines="50" w:after="156" w:afterLines="50" w:line="400" w:lineRule="exact"/>
        <w:ind w:hanging="4"/>
        <w:rPr>
          <w:b/>
          <w:sz w:val="22"/>
          <w:szCs w:val="22"/>
        </w:rPr>
      </w:pPr>
    </w:p>
    <w:p w14:paraId="02818726">
      <w:pPr>
        <w:numPr>
          <w:ilvl w:val="255"/>
          <w:numId w:val="0"/>
        </w:numPr>
        <w:spacing w:before="156" w:beforeLines="50" w:after="156" w:afterLines="50" w:line="400" w:lineRule="exact"/>
        <w:ind w:hanging="4"/>
        <w:rPr>
          <w:b/>
          <w:sz w:val="22"/>
          <w:szCs w:val="22"/>
        </w:rPr>
      </w:pPr>
    </w:p>
    <w:p w14:paraId="72CA2290">
      <w:pPr>
        <w:numPr>
          <w:ilvl w:val="255"/>
          <w:numId w:val="0"/>
        </w:numPr>
        <w:spacing w:before="156" w:beforeLines="50" w:after="156" w:afterLines="50" w:line="400" w:lineRule="exact"/>
        <w:ind w:hanging="4"/>
        <w:rPr>
          <w:b/>
          <w:sz w:val="22"/>
          <w:szCs w:val="22"/>
        </w:rPr>
      </w:pPr>
    </w:p>
    <w:p w14:paraId="777BE64E">
      <w:pPr>
        <w:numPr>
          <w:ilvl w:val="255"/>
          <w:numId w:val="0"/>
        </w:numPr>
        <w:spacing w:before="156" w:beforeLines="50" w:after="156" w:afterLines="50" w:line="400" w:lineRule="exact"/>
        <w:ind w:hanging="4"/>
        <w:rPr>
          <w:b/>
          <w:sz w:val="22"/>
          <w:szCs w:val="22"/>
        </w:rPr>
      </w:pPr>
      <w:r>
        <w:rPr>
          <w:rFonts w:hint="eastAsia"/>
          <w:b/>
          <w:sz w:val="22"/>
          <w:szCs w:val="22"/>
        </w:rPr>
        <w:t>说明：</w:t>
      </w:r>
    </w:p>
    <w:p w14:paraId="3F7C7A95">
      <w:pPr>
        <w:spacing w:line="460" w:lineRule="exact"/>
        <w:ind w:left="218" w:leftChars="104" w:firstLine="216" w:firstLineChars="98"/>
        <w:rPr>
          <w:rFonts w:cs="Courier New"/>
          <w:b/>
          <w:sz w:val="22"/>
          <w:szCs w:val="22"/>
        </w:rPr>
      </w:pPr>
      <w:r>
        <w:rPr>
          <w:rFonts w:hint="eastAsia" w:cs="Courier New"/>
          <w:b/>
          <w:sz w:val="22"/>
          <w:szCs w:val="22"/>
        </w:rPr>
        <w:t>1</w:t>
      </w:r>
      <w:r>
        <w:rPr>
          <w:rFonts w:cs="Courier New"/>
          <w:b/>
          <w:sz w:val="22"/>
          <w:szCs w:val="22"/>
        </w:rPr>
        <w:t>、投标人提供的相应证明材料</w:t>
      </w:r>
      <w:r>
        <w:rPr>
          <w:rFonts w:hint="eastAsia" w:cs="Courier New"/>
          <w:b/>
          <w:sz w:val="22"/>
          <w:szCs w:val="22"/>
        </w:rPr>
        <w:t>扫描</w:t>
      </w:r>
      <w:r>
        <w:rPr>
          <w:rFonts w:cs="Courier New"/>
          <w:b/>
          <w:sz w:val="22"/>
          <w:szCs w:val="22"/>
        </w:rPr>
        <w:t>件均应符合：内容完整、清晰、整洁，并由投标人加盖其单位公章。</w:t>
      </w:r>
    </w:p>
    <w:p w14:paraId="00CAA5C8">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11D3F7E2">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65EDF7D7">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4334DB18">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1DA56077">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69F687D3">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081CB3F1">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1B497CEA">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2B06F3ED">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35B192E9">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0F8D691D">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464AB671">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4D18668D">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64BE5A89">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734061AE">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79CB2099">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6F375AE5">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52830FAB">
      <w:pPr>
        <w:numPr>
          <w:ilvl w:val="255"/>
          <w:numId w:val="0"/>
        </w:numPr>
        <w:tabs>
          <w:tab w:val="left" w:pos="482"/>
          <w:tab w:val="left" w:pos="2183"/>
          <w:tab w:val="left" w:pos="3884"/>
          <w:tab w:val="left" w:pos="5585"/>
        </w:tabs>
        <w:autoSpaceDE w:val="0"/>
        <w:autoSpaceDN w:val="0"/>
        <w:spacing w:line="240" w:lineRule="auto"/>
        <w:textAlignment w:val="auto"/>
        <w:rPr>
          <w:rFonts w:cs="宋体"/>
          <w:b/>
          <w:bCs/>
          <w:sz w:val="28"/>
          <w:szCs w:val="28"/>
        </w:rPr>
      </w:pPr>
    </w:p>
    <w:p w14:paraId="7AAB02F3">
      <w:pPr>
        <w:numPr>
          <w:ilvl w:val="0"/>
          <w:numId w:val="7"/>
        </w:numPr>
        <w:tabs>
          <w:tab w:val="left" w:pos="482"/>
          <w:tab w:val="left" w:pos="2183"/>
          <w:tab w:val="left" w:pos="3884"/>
          <w:tab w:val="left" w:pos="5585"/>
        </w:tabs>
        <w:autoSpaceDE w:val="0"/>
        <w:autoSpaceDN w:val="0"/>
        <w:spacing w:line="240" w:lineRule="auto"/>
        <w:jc w:val="center"/>
        <w:textAlignment w:val="auto"/>
        <w:rPr>
          <w:rFonts w:cs="宋体"/>
          <w:b/>
          <w:bCs/>
          <w:sz w:val="28"/>
          <w:szCs w:val="28"/>
        </w:rPr>
      </w:pPr>
      <w:r>
        <w:rPr>
          <w:rFonts w:hint="eastAsia" w:cs="宋体"/>
          <w:b/>
          <w:bCs/>
          <w:sz w:val="28"/>
          <w:szCs w:val="28"/>
        </w:rPr>
        <w:t>其他材料（如有）</w:t>
      </w:r>
    </w:p>
    <w:p w14:paraId="51AA3019">
      <w:pPr>
        <w:rPr>
          <w:rFonts w:cs="宋体"/>
        </w:rPr>
      </w:pPr>
    </w:p>
    <w:p w14:paraId="0B9313C3">
      <w:pPr>
        <w:rPr>
          <w:rFonts w:cs="宋体"/>
        </w:rPr>
      </w:pPr>
    </w:p>
    <w:p w14:paraId="461D01A4">
      <w:pPr>
        <w:rPr>
          <w:rFonts w:cs="宋体"/>
        </w:rPr>
      </w:pPr>
    </w:p>
    <w:p w14:paraId="49D8BB0C">
      <w:pPr>
        <w:rPr>
          <w:rFonts w:cs="宋体"/>
        </w:rPr>
      </w:pPr>
    </w:p>
    <w:p w14:paraId="679005A7">
      <w:pPr>
        <w:rPr>
          <w:rFonts w:cs="宋体"/>
        </w:rPr>
      </w:pPr>
    </w:p>
    <w:p w14:paraId="257E1A57">
      <w:pPr>
        <w:rPr>
          <w:rFonts w:cs="宋体"/>
        </w:rPr>
      </w:pPr>
    </w:p>
    <w:p w14:paraId="0A8B6605">
      <w:pPr>
        <w:rPr>
          <w:rFonts w:cs="宋体"/>
        </w:rPr>
      </w:pPr>
    </w:p>
    <w:p w14:paraId="70109981">
      <w:pPr>
        <w:rPr>
          <w:rFonts w:cs="宋体"/>
        </w:rPr>
      </w:pPr>
    </w:p>
    <w:p w14:paraId="13875EF6">
      <w:pPr>
        <w:rPr>
          <w:rFonts w:cs="宋体"/>
        </w:rPr>
      </w:pPr>
    </w:p>
    <w:sectPr>
      <w:footerReference r:id="rId5" w:type="default"/>
      <w:pgSz w:w="11906" w:h="16838"/>
      <w:pgMar w:top="720" w:right="686" w:bottom="720" w:left="72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C3788">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6060" cy="2286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6060" cy="228600"/>
                      </a:xfrm>
                      <a:prstGeom prst="rect">
                        <a:avLst/>
                      </a:prstGeom>
                      <a:noFill/>
                      <a:ln>
                        <a:noFill/>
                      </a:ln>
                    </wps:spPr>
                    <wps:txbx>
                      <w:txbxContent>
                        <w:p w14:paraId="2407C5FE">
                          <w:pPr>
                            <w:pStyle w:val="14"/>
                          </w:pPr>
                          <w:r>
                            <w:fldChar w:fldCharType="begin"/>
                          </w:r>
                          <w:r>
                            <w:rPr>
                              <w:rStyle w:val="22"/>
                            </w:rPr>
                            <w:instrText xml:space="preserve"> PAGE </w:instrText>
                          </w:r>
                          <w:r>
                            <w:fldChar w:fldCharType="separate"/>
                          </w:r>
                          <w:r>
                            <w:rPr>
                              <w:rStyle w:val="22"/>
                            </w:rPr>
                            <w:t>48</w:t>
                          </w:r>
                          <w:r>
                            <w:fldChar w:fldCharType="end"/>
                          </w:r>
                        </w:p>
                      </w:txbxContent>
                    </wps:txbx>
                    <wps:bodyPr lIns="0" tIns="0" rIns="0" bIns="0" upright="1">
                      <a:spAutoFit/>
                    </wps:bodyPr>
                  </wps:wsp>
                </a:graphicData>
              </a:graphic>
            </wp:anchor>
          </w:drawing>
        </mc:Choice>
        <mc:Fallback>
          <w:pict>
            <v:shape id="_x0000_s1026" o:spid="_x0000_s1026" o:spt="202" type="#_x0000_t202" style="position:absolute;left:0pt;margin-top:0pt;height:18pt;width:17.8pt;mso-position-horizontal:center;mso-position-horizontal-relative:margin;z-index:251659264;mso-width-relative:page;mso-height-relative:page;" filled="f" stroked="f" coordsize="21600,21600" o:gfxdata="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ei2ErRAAAAAwEAAA8AAAAAAAAAAQAgAAAAIgAAAGRycy9kb3ducmV2LnhtbFBL&#10;AQIUABQAAAAIAIdO4kATtAu4xAEAAIsDAAAOAAAAAAAAAAEAIAAAACABAABkcnMvZTJvRG9jLnht&#10;bFBLBQYAAAAABgAGAFkBAABWBQAAAAA=&#10;">
              <v:fill on="f" focussize="0,0"/>
              <v:stroke on="f"/>
              <v:imagedata o:title=""/>
              <o:lock v:ext="edit" aspectratio="f"/>
              <v:textbox inset="0mm,0mm,0mm,0mm" style="mso-fit-shape-to-text:t;">
                <w:txbxContent>
                  <w:p w14:paraId="2407C5FE">
                    <w:pPr>
                      <w:pStyle w:val="14"/>
                    </w:pPr>
                    <w:r>
                      <w:fldChar w:fldCharType="begin"/>
                    </w:r>
                    <w:r>
                      <w:rPr>
                        <w:rStyle w:val="22"/>
                      </w:rPr>
                      <w:instrText xml:space="preserve"> PAGE </w:instrText>
                    </w:r>
                    <w:r>
                      <w:fldChar w:fldCharType="separate"/>
                    </w:r>
                    <w:r>
                      <w:rPr>
                        <w:rStyle w:val="22"/>
                      </w:rP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05CE7"/>
    <w:multiLevelType w:val="singleLevel"/>
    <w:tmpl w:val="8F505CE7"/>
    <w:lvl w:ilvl="0" w:tentative="0">
      <w:start w:val="1"/>
      <w:numFmt w:val="decimal"/>
      <w:lvlText w:val="%1."/>
      <w:lvlJc w:val="left"/>
      <w:pPr>
        <w:tabs>
          <w:tab w:val="left" w:pos="312"/>
        </w:tabs>
      </w:pPr>
    </w:lvl>
  </w:abstractNum>
  <w:abstractNum w:abstractNumId="1">
    <w:nsid w:val="C9075969"/>
    <w:multiLevelType w:val="singleLevel"/>
    <w:tmpl w:val="C9075969"/>
    <w:lvl w:ilvl="0" w:tentative="0">
      <w:start w:val="1"/>
      <w:numFmt w:val="chineseCounting"/>
      <w:suff w:val="space"/>
      <w:lvlText w:val="第%1章"/>
      <w:lvlJc w:val="left"/>
      <w:rPr>
        <w:rFonts w:hint="eastAsia"/>
      </w:rPr>
    </w:lvl>
  </w:abstractNum>
  <w:abstractNum w:abstractNumId="2">
    <w:nsid w:val="0E21AAA9"/>
    <w:multiLevelType w:val="singleLevel"/>
    <w:tmpl w:val="0E21AAA9"/>
    <w:lvl w:ilvl="0" w:tentative="0">
      <w:start w:val="3"/>
      <w:numFmt w:val="chineseCounting"/>
      <w:suff w:val="nothing"/>
      <w:lvlText w:val="（%1）"/>
      <w:lvlJc w:val="left"/>
      <w:rPr>
        <w:rFonts w:hint="eastAsia"/>
      </w:rPr>
    </w:lvl>
  </w:abstractNum>
  <w:abstractNum w:abstractNumId="3">
    <w:nsid w:val="228A35BF"/>
    <w:multiLevelType w:val="singleLevel"/>
    <w:tmpl w:val="228A35BF"/>
    <w:lvl w:ilvl="0" w:tentative="0">
      <w:start w:val="1"/>
      <w:numFmt w:val="decimal"/>
      <w:suff w:val="nothing"/>
      <w:lvlText w:val="%1．"/>
      <w:lvlJc w:val="left"/>
    </w:lvl>
  </w:abstractNum>
  <w:abstractNum w:abstractNumId="4">
    <w:nsid w:val="28A71169"/>
    <w:multiLevelType w:val="singleLevel"/>
    <w:tmpl w:val="28A71169"/>
    <w:lvl w:ilvl="0" w:tentative="0">
      <w:start w:val="1"/>
      <w:numFmt w:val="decimal"/>
      <w:suff w:val="nothing"/>
      <w:lvlText w:val="%1、"/>
      <w:lvlJc w:val="left"/>
    </w:lvl>
  </w:abstractNum>
  <w:abstractNum w:abstractNumId="5">
    <w:nsid w:val="52FC854A"/>
    <w:multiLevelType w:val="singleLevel"/>
    <w:tmpl w:val="52FC854A"/>
    <w:lvl w:ilvl="0" w:tentative="0">
      <w:start w:val="1"/>
      <w:numFmt w:val="decimal"/>
      <w:suff w:val="nothing"/>
      <w:lvlText w:val="（%1)"/>
      <w:lvlJc w:val="left"/>
    </w:lvl>
  </w:abstractNum>
  <w:abstractNum w:abstractNumId="6">
    <w:nsid w:val="52FC861A"/>
    <w:multiLevelType w:val="singleLevel"/>
    <w:tmpl w:val="52FC861A"/>
    <w:lvl w:ilvl="0" w:tentative="0">
      <w:start w:val="2"/>
      <w:numFmt w:val="decimal"/>
      <w:suff w:val="nothing"/>
      <w:lvlText w:val="%1、"/>
      <w:lvlJc w:val="left"/>
    </w:lvl>
  </w:abstractNum>
  <w:abstractNum w:abstractNumId="7">
    <w:nsid w:val="5AEE29A6"/>
    <w:multiLevelType w:val="multilevel"/>
    <w:tmpl w:val="5AEE29A6"/>
    <w:lvl w:ilvl="0" w:tentative="0">
      <w:start w:val="1"/>
      <w:numFmt w:val="decimal"/>
      <w:lvlText w:val="（%1）"/>
      <w:lvlJc w:val="left"/>
      <w:pPr>
        <w:tabs>
          <w:tab w:val="left" w:pos="426"/>
        </w:tabs>
        <w:ind w:left="256" w:firstLine="284"/>
      </w:pPr>
      <w:rPr>
        <w:rFonts w:hint="default" w:ascii="仿宋" w:hAnsi="仿宋" w:eastAsia="仿宋" w:cs="仿宋"/>
        <w:b w:val="0"/>
        <w:bCs w:val="0"/>
      </w:rPr>
    </w:lvl>
    <w:lvl w:ilvl="1" w:tentative="0">
      <w:start w:val="1"/>
      <w:numFmt w:val="lowerLetter"/>
      <w:lvlText w:val="%2)"/>
      <w:lvlJc w:val="left"/>
      <w:pPr>
        <w:tabs>
          <w:tab w:val="left" w:pos="1526"/>
        </w:tabs>
        <w:ind w:left="1526" w:hanging="420"/>
      </w:pPr>
      <w:rPr>
        <w:rFonts w:hint="default" w:ascii="Times New Roman" w:hAnsi="Times New Roman" w:cs="Times New Roman"/>
      </w:rPr>
    </w:lvl>
    <w:lvl w:ilvl="2" w:tentative="0">
      <w:start w:val="1"/>
      <w:numFmt w:val="lowerRoman"/>
      <w:lvlText w:val="%3."/>
      <w:lvlJc w:val="right"/>
      <w:pPr>
        <w:tabs>
          <w:tab w:val="left" w:pos="1946"/>
        </w:tabs>
        <w:ind w:left="1946" w:hanging="420"/>
      </w:pPr>
      <w:rPr>
        <w:rFonts w:hint="default" w:ascii="Times New Roman" w:hAnsi="Times New Roman" w:cs="Times New Roman"/>
      </w:rPr>
    </w:lvl>
    <w:lvl w:ilvl="3" w:tentative="0">
      <w:start w:val="1"/>
      <w:numFmt w:val="decimal"/>
      <w:lvlText w:val="%4."/>
      <w:lvlJc w:val="left"/>
      <w:pPr>
        <w:tabs>
          <w:tab w:val="left" w:pos="2366"/>
        </w:tabs>
        <w:ind w:left="2366" w:hanging="420"/>
      </w:pPr>
      <w:rPr>
        <w:rFonts w:hint="default" w:ascii="Times New Roman" w:hAnsi="Times New Roman" w:cs="Times New Roman"/>
      </w:rPr>
    </w:lvl>
    <w:lvl w:ilvl="4" w:tentative="0">
      <w:start w:val="1"/>
      <w:numFmt w:val="lowerLetter"/>
      <w:lvlText w:val="%5)"/>
      <w:lvlJc w:val="left"/>
      <w:pPr>
        <w:tabs>
          <w:tab w:val="left" w:pos="2786"/>
        </w:tabs>
        <w:ind w:left="2786" w:hanging="420"/>
      </w:pPr>
      <w:rPr>
        <w:rFonts w:hint="default" w:ascii="Times New Roman" w:hAnsi="Times New Roman" w:cs="Times New Roman"/>
      </w:rPr>
    </w:lvl>
    <w:lvl w:ilvl="5" w:tentative="0">
      <w:start w:val="1"/>
      <w:numFmt w:val="lowerRoman"/>
      <w:lvlText w:val="%6."/>
      <w:lvlJc w:val="right"/>
      <w:pPr>
        <w:tabs>
          <w:tab w:val="left" w:pos="3206"/>
        </w:tabs>
        <w:ind w:left="3206" w:hanging="420"/>
      </w:pPr>
      <w:rPr>
        <w:rFonts w:hint="default" w:ascii="Times New Roman" w:hAnsi="Times New Roman" w:cs="Times New Roman"/>
      </w:rPr>
    </w:lvl>
    <w:lvl w:ilvl="6" w:tentative="0">
      <w:start w:val="1"/>
      <w:numFmt w:val="decimal"/>
      <w:lvlText w:val="%7."/>
      <w:lvlJc w:val="left"/>
      <w:pPr>
        <w:tabs>
          <w:tab w:val="left" w:pos="3626"/>
        </w:tabs>
        <w:ind w:left="3626" w:hanging="420"/>
      </w:pPr>
      <w:rPr>
        <w:rFonts w:hint="default" w:ascii="Times New Roman" w:hAnsi="Times New Roman" w:cs="Times New Roman"/>
      </w:rPr>
    </w:lvl>
    <w:lvl w:ilvl="7" w:tentative="0">
      <w:start w:val="1"/>
      <w:numFmt w:val="lowerLetter"/>
      <w:lvlText w:val="%8)"/>
      <w:lvlJc w:val="left"/>
      <w:pPr>
        <w:tabs>
          <w:tab w:val="left" w:pos="4046"/>
        </w:tabs>
        <w:ind w:left="4046" w:hanging="420"/>
      </w:pPr>
      <w:rPr>
        <w:rFonts w:hint="default" w:ascii="Times New Roman" w:hAnsi="Times New Roman" w:cs="Times New Roman"/>
      </w:rPr>
    </w:lvl>
    <w:lvl w:ilvl="8" w:tentative="0">
      <w:start w:val="1"/>
      <w:numFmt w:val="lowerRoman"/>
      <w:lvlText w:val="%9."/>
      <w:lvlJc w:val="right"/>
      <w:pPr>
        <w:tabs>
          <w:tab w:val="left" w:pos="4466"/>
        </w:tabs>
        <w:ind w:left="4466" w:hanging="420"/>
      </w:pPr>
      <w:rPr>
        <w:rFonts w:hint="default" w:ascii="Times New Roman" w:hAnsi="Times New Roman" w:cs="Times New Roman"/>
      </w:rPr>
    </w:lvl>
  </w:abstractNum>
  <w:num w:numId="1">
    <w:abstractNumId w:val="1"/>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FE"/>
    <w:rsid w:val="00057011"/>
    <w:rsid w:val="00060313"/>
    <w:rsid w:val="000E3715"/>
    <w:rsid w:val="00220E6B"/>
    <w:rsid w:val="002B32C3"/>
    <w:rsid w:val="002D2B08"/>
    <w:rsid w:val="00307FA8"/>
    <w:rsid w:val="004665FD"/>
    <w:rsid w:val="004800B2"/>
    <w:rsid w:val="00485D01"/>
    <w:rsid w:val="004A1D63"/>
    <w:rsid w:val="00510702"/>
    <w:rsid w:val="00590C2C"/>
    <w:rsid w:val="00666CB3"/>
    <w:rsid w:val="00911E2A"/>
    <w:rsid w:val="00912982"/>
    <w:rsid w:val="009964C3"/>
    <w:rsid w:val="009E06F6"/>
    <w:rsid w:val="00AB0EA4"/>
    <w:rsid w:val="00B46822"/>
    <w:rsid w:val="00C41019"/>
    <w:rsid w:val="00CE18D6"/>
    <w:rsid w:val="00DA0238"/>
    <w:rsid w:val="00E331FE"/>
    <w:rsid w:val="00F43B78"/>
    <w:rsid w:val="00FD183E"/>
    <w:rsid w:val="07286AF1"/>
    <w:rsid w:val="08A17F21"/>
    <w:rsid w:val="08AD094B"/>
    <w:rsid w:val="0A0F5E9F"/>
    <w:rsid w:val="0D7C3464"/>
    <w:rsid w:val="0E780652"/>
    <w:rsid w:val="10D3604C"/>
    <w:rsid w:val="1A057D0F"/>
    <w:rsid w:val="1B5F236D"/>
    <w:rsid w:val="1EDA17E8"/>
    <w:rsid w:val="1F974FE3"/>
    <w:rsid w:val="22D46E2D"/>
    <w:rsid w:val="25863F98"/>
    <w:rsid w:val="275A3FC9"/>
    <w:rsid w:val="27666A27"/>
    <w:rsid w:val="2A6B05B1"/>
    <w:rsid w:val="2E7B1228"/>
    <w:rsid w:val="33C82F9D"/>
    <w:rsid w:val="35C54E2A"/>
    <w:rsid w:val="36111AF3"/>
    <w:rsid w:val="37D0737E"/>
    <w:rsid w:val="39CF0D99"/>
    <w:rsid w:val="39D522F1"/>
    <w:rsid w:val="3DEE62BF"/>
    <w:rsid w:val="3EF63AEE"/>
    <w:rsid w:val="41B6513D"/>
    <w:rsid w:val="422C5607"/>
    <w:rsid w:val="42364612"/>
    <w:rsid w:val="43C93DB5"/>
    <w:rsid w:val="4482186D"/>
    <w:rsid w:val="4A990669"/>
    <w:rsid w:val="4AAF7023"/>
    <w:rsid w:val="4AFF0AC5"/>
    <w:rsid w:val="4C3079AF"/>
    <w:rsid w:val="533C748E"/>
    <w:rsid w:val="533E2D09"/>
    <w:rsid w:val="56D148F8"/>
    <w:rsid w:val="58B203C5"/>
    <w:rsid w:val="596E32A4"/>
    <w:rsid w:val="5A293F7F"/>
    <w:rsid w:val="5BD55436"/>
    <w:rsid w:val="5BE77FD6"/>
    <w:rsid w:val="5C42365A"/>
    <w:rsid w:val="61303F70"/>
    <w:rsid w:val="62D34E10"/>
    <w:rsid w:val="631F7188"/>
    <w:rsid w:val="63245C30"/>
    <w:rsid w:val="64D74B8F"/>
    <w:rsid w:val="65261106"/>
    <w:rsid w:val="6528392C"/>
    <w:rsid w:val="675512A8"/>
    <w:rsid w:val="6B895617"/>
    <w:rsid w:val="6D0F0B58"/>
    <w:rsid w:val="707B0683"/>
    <w:rsid w:val="725014AE"/>
    <w:rsid w:val="76D50BD6"/>
    <w:rsid w:val="77C24F47"/>
    <w:rsid w:val="787C2F6E"/>
    <w:rsid w:val="79206155"/>
    <w:rsid w:val="79E07E09"/>
    <w:rsid w:val="7B0E32CE"/>
    <w:rsid w:val="7BC627D2"/>
    <w:rsid w:val="7E721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exact"/>
      <w:jc w:val="both"/>
      <w:textAlignment w:val="baseline"/>
    </w:pPr>
    <w:rPr>
      <w:rFonts w:ascii="宋体" w:hAnsi="宋体"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hAnsi="Calibri"/>
      <w:b/>
      <w:sz w:val="32"/>
    </w:rPr>
  </w:style>
  <w:style w:type="paragraph" w:styleId="3">
    <w:name w:val="Body Text Indent"/>
    <w:basedOn w:val="1"/>
    <w:next w:val="1"/>
    <w:qFormat/>
    <w:uiPriority w:val="0"/>
    <w:pPr>
      <w:ind w:firstLine="585"/>
    </w:pPr>
    <w:rPr>
      <w:rFonts w:ascii="楷体_GB2312" w:hAnsi="Tahoma" w:eastAsia="楷体_GB2312"/>
      <w:sz w:val="28"/>
    </w:rPr>
  </w:style>
  <w:style w:type="paragraph" w:styleId="8">
    <w:name w:val="annotation text"/>
    <w:basedOn w:val="1"/>
    <w:link w:val="29"/>
    <w:qFormat/>
    <w:uiPriority w:val="0"/>
    <w:pPr>
      <w:jc w:val="left"/>
    </w:pPr>
  </w:style>
  <w:style w:type="paragraph" w:styleId="9">
    <w:name w:val="Body Text 3"/>
    <w:basedOn w:val="1"/>
    <w:qFormat/>
    <w:uiPriority w:val="0"/>
    <w:rPr>
      <w:sz w:val="24"/>
      <w:szCs w:val="20"/>
    </w:rPr>
  </w:style>
  <w:style w:type="paragraph" w:styleId="10">
    <w:name w:val="Body Text"/>
    <w:basedOn w:val="1"/>
    <w:next w:val="11"/>
    <w:qFormat/>
    <w:uiPriority w:val="0"/>
    <w:pPr>
      <w:spacing w:after="120"/>
    </w:pPr>
  </w:style>
  <w:style w:type="paragraph" w:styleId="11">
    <w:name w:val="Body Text First Indent"/>
    <w:basedOn w:val="10"/>
    <w:next w:val="1"/>
    <w:qFormat/>
    <w:uiPriority w:val="0"/>
    <w:pPr>
      <w:ind w:firstLine="420" w:firstLineChars="100"/>
    </w:pPr>
  </w:style>
  <w:style w:type="paragraph" w:styleId="12">
    <w:name w:val="Plain Text"/>
    <w:basedOn w:val="1"/>
    <w:qFormat/>
    <w:uiPriority w:val="0"/>
    <w:rPr>
      <w:rFonts w:hAnsi="Courier New"/>
      <w:szCs w:val="21"/>
    </w:rPr>
  </w:style>
  <w:style w:type="paragraph" w:styleId="13">
    <w:name w:val="Balloon Text"/>
    <w:basedOn w:val="1"/>
    <w:link w:val="28"/>
    <w:qFormat/>
    <w:uiPriority w:val="0"/>
    <w:pPr>
      <w:spacing w:line="240" w:lineRule="auto"/>
    </w:pPr>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toc 1"/>
    <w:basedOn w:val="1"/>
    <w:next w:val="1"/>
    <w:unhideWhenUsed/>
    <w:qFormat/>
    <w:uiPriority w:val="0"/>
  </w:style>
  <w:style w:type="paragraph" w:styleId="16">
    <w:name w:val="toc 6"/>
    <w:basedOn w:val="1"/>
    <w:next w:val="1"/>
    <w:qFormat/>
    <w:uiPriority w:val="0"/>
    <w:pPr>
      <w:ind w:left="2100" w:leftChars="1000"/>
    </w:pPr>
    <w:rPr>
      <w:rFonts w:ascii="Calibri" w:hAnsi="Calibri"/>
      <w:szCs w:val="22"/>
    </w:rPr>
  </w:style>
  <w:style w:type="paragraph" w:styleId="17">
    <w:name w:val="annotation subject"/>
    <w:basedOn w:val="8"/>
    <w:next w:val="8"/>
    <w:link w:val="30"/>
    <w:qFormat/>
    <w:uiPriority w:val="0"/>
    <w:rPr>
      <w:b/>
      <w:bCs/>
    </w:rPr>
  </w:style>
  <w:style w:type="table" w:styleId="19">
    <w:name w:val="Table Grid"/>
    <w:basedOn w:val="18"/>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qFormat/>
    <w:uiPriority w:val="0"/>
  </w:style>
  <w:style w:type="character" w:styleId="23">
    <w:name w:val="annotation reference"/>
    <w:basedOn w:val="20"/>
    <w:qFormat/>
    <w:uiPriority w:val="0"/>
    <w:rPr>
      <w:sz w:val="21"/>
      <w:szCs w:val="21"/>
    </w:rPr>
  </w:style>
  <w:style w:type="paragraph" w:customStyle="1" w:styleId="24">
    <w:name w:val="[Normal]"/>
    <w:qFormat/>
    <w:uiPriority w:val="0"/>
    <w:rPr>
      <w:rFonts w:ascii="宋体" w:hAnsi="宋体" w:eastAsia="宋体" w:cs="Times New Roman"/>
      <w:sz w:val="24"/>
      <w:szCs w:val="22"/>
      <w:lang w:val="zh-CN" w:eastAsia="zh-CN" w:bidi="ar-SA"/>
    </w:rPr>
  </w:style>
  <w:style w:type="paragraph" w:customStyle="1" w:styleId="25">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26">
    <w:name w:val="列出段落1"/>
    <w:basedOn w:val="1"/>
    <w:qFormat/>
    <w:uiPriority w:val="0"/>
  </w:style>
  <w:style w:type="paragraph" w:customStyle="1" w:styleId="27">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character" w:customStyle="1" w:styleId="28">
    <w:name w:val="批注框文本 字符"/>
    <w:basedOn w:val="20"/>
    <w:link w:val="13"/>
    <w:qFormat/>
    <w:uiPriority w:val="0"/>
    <w:rPr>
      <w:rFonts w:ascii="宋体" w:hAnsi="宋体" w:eastAsia="宋体" w:cs="Times New Roman"/>
      <w:kern w:val="2"/>
      <w:sz w:val="18"/>
      <w:szCs w:val="18"/>
    </w:rPr>
  </w:style>
  <w:style w:type="character" w:customStyle="1" w:styleId="29">
    <w:name w:val="批注文字 字符"/>
    <w:basedOn w:val="20"/>
    <w:link w:val="8"/>
    <w:qFormat/>
    <w:uiPriority w:val="0"/>
    <w:rPr>
      <w:rFonts w:ascii="宋体" w:hAnsi="宋体" w:eastAsia="宋体" w:cs="Times New Roman"/>
      <w:kern w:val="2"/>
      <w:sz w:val="21"/>
      <w:szCs w:val="24"/>
    </w:rPr>
  </w:style>
  <w:style w:type="character" w:customStyle="1" w:styleId="30">
    <w:name w:val="批注主题 字符"/>
    <w:basedOn w:val="29"/>
    <w:link w:val="17"/>
    <w:qFormat/>
    <w:uiPriority w:val="0"/>
    <w:rPr>
      <w:rFonts w:ascii="宋体" w:hAnsi="宋体" w:eastAsia="宋体" w:cs="Times New Roman"/>
      <w:b/>
      <w:bCs/>
      <w:kern w:val="2"/>
      <w:sz w:val="21"/>
      <w:szCs w:val="24"/>
    </w:rPr>
  </w:style>
  <w:style w:type="paragraph" w:customStyle="1" w:styleId="31">
    <w:name w:val="biaoge"/>
    <w:basedOn w:val="1"/>
    <w:unhideWhenUsed/>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Far123</Company>
  <Pages>63</Pages>
  <Words>13134</Words>
  <Characters>14581</Characters>
  <Lines>317</Lines>
  <Paragraphs>89</Paragraphs>
  <TotalTime>11</TotalTime>
  <ScaleCrop>false</ScaleCrop>
  <LinksUpToDate>false</LinksUpToDate>
  <CharactersWithSpaces>14812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2026-02-26T05:43:00Z</dcterms:created>
  <dc:creator>qhtf</dc:creator>
  <cp:lastModifiedBy>Administrator</cp:lastModifiedBy>
  <dcterms:modified xsi:type="dcterms:W3CDTF">2026-03-23T01:12:44Z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eyJoZGlkIjoiYjAxMjBiMWY3MmVkYTY2ZDg5NGI4ZGQ3Y2NjNTg5ZjkiLCJ1c2VySWQiOiI1NTUxMDc0In0=</vt:lpwstr>
  </property>
  <property fmtid="{D5CDD505-2E9C-101B-9397-08002B2CF9AE}" pid="4" name="ICV">
    <vt:lpwstr>5743FBF771594C2C90424F6F0951E0A7_13</vt:lpwstr>
  </property>
</Properties>
</file>