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565AB62">
      <w:pPr>
        <w:spacing w:line="400" w:lineRule="atLeast"/>
        <w:jc w:val="left"/>
        <w:rPr>
          <w:rFonts w:ascii="宋体" w:hAnsi="宋体"/>
          <w:b/>
          <w:sz w:val="56"/>
          <w:szCs w:val="28"/>
          <w:highlight w:val="none"/>
        </w:rPr>
      </w:pPr>
      <w:bookmarkStart w:id="0" w:name="_Toc527495447"/>
    </w:p>
    <w:p w14:paraId="66D94050">
      <w:pPr>
        <w:autoSpaceDE w:val="0"/>
        <w:autoSpaceDN w:val="0"/>
        <w:spacing w:line="500" w:lineRule="atLeast"/>
        <w:jc w:val="center"/>
        <w:textAlignment w:val="bottom"/>
        <w:rPr>
          <w:rFonts w:ascii="宋体" w:hAnsi="宋体"/>
          <w:b/>
          <w:bCs/>
          <w:spacing w:val="120"/>
          <w:sz w:val="52"/>
          <w:szCs w:val="52"/>
          <w:highlight w:val="none"/>
        </w:rPr>
      </w:pPr>
      <w:r>
        <w:rPr>
          <w:rFonts w:hint="eastAsia" w:ascii="宋体" w:hAnsi="宋体"/>
          <w:b/>
          <w:bCs/>
          <w:spacing w:val="120"/>
          <w:sz w:val="52"/>
          <w:szCs w:val="52"/>
          <w:highlight w:val="none"/>
        </w:rPr>
        <w:t>温州港集团有限公司</w:t>
      </w:r>
    </w:p>
    <w:p w14:paraId="2A17A266">
      <w:pPr>
        <w:autoSpaceDE w:val="0"/>
        <w:autoSpaceDN w:val="0"/>
        <w:spacing w:line="500" w:lineRule="atLeast"/>
        <w:jc w:val="center"/>
        <w:textAlignment w:val="bottom"/>
        <w:rPr>
          <w:rFonts w:ascii="宋体" w:hAnsi="宋体"/>
          <w:b/>
          <w:bCs/>
          <w:spacing w:val="120"/>
          <w:sz w:val="52"/>
          <w:szCs w:val="52"/>
          <w:highlight w:val="none"/>
        </w:rPr>
      </w:pPr>
      <w:r>
        <w:rPr>
          <w:rFonts w:hint="eastAsia" w:ascii="宋体" w:hAnsi="宋体"/>
          <w:b/>
          <w:bCs/>
          <w:spacing w:val="120"/>
          <w:sz w:val="52"/>
          <w:szCs w:val="52"/>
          <w:highlight w:val="none"/>
        </w:rPr>
        <w:t>龙湾港务分公司</w:t>
      </w:r>
    </w:p>
    <w:p w14:paraId="693DE070">
      <w:pPr>
        <w:pStyle w:val="11"/>
        <w:rPr>
          <w:rFonts w:ascii="宋体" w:hAnsi="宋体"/>
          <w:b/>
          <w:sz w:val="52"/>
          <w:highlight w:val="none"/>
        </w:rPr>
      </w:pPr>
    </w:p>
    <w:p w14:paraId="24A98621">
      <w:pPr>
        <w:autoSpaceDE w:val="0"/>
        <w:autoSpaceDN w:val="0"/>
        <w:spacing w:line="500" w:lineRule="atLeast"/>
        <w:jc w:val="center"/>
        <w:textAlignment w:val="bottom"/>
        <w:rPr>
          <w:rFonts w:ascii="宋体" w:hAnsi="宋体"/>
          <w:b/>
          <w:bCs/>
          <w:sz w:val="72"/>
          <w:szCs w:val="72"/>
          <w:highlight w:val="none"/>
        </w:rPr>
      </w:pPr>
    </w:p>
    <w:p w14:paraId="63678E04">
      <w:pPr>
        <w:autoSpaceDE w:val="0"/>
        <w:autoSpaceDN w:val="0"/>
        <w:spacing w:line="500" w:lineRule="atLeast"/>
        <w:jc w:val="center"/>
        <w:textAlignment w:val="bottom"/>
        <w:rPr>
          <w:rFonts w:ascii="宋体" w:hAnsi="宋体"/>
          <w:b/>
          <w:bCs/>
          <w:sz w:val="72"/>
          <w:szCs w:val="72"/>
          <w:highlight w:val="none"/>
        </w:rPr>
      </w:pPr>
      <w:r>
        <w:rPr>
          <w:rFonts w:hint="eastAsia" w:ascii="宋体" w:hAnsi="宋体"/>
          <w:b/>
          <w:bCs/>
          <w:sz w:val="72"/>
          <w:szCs w:val="72"/>
          <w:highlight w:val="none"/>
        </w:rPr>
        <w:t>招 标 文 件</w:t>
      </w:r>
    </w:p>
    <w:p w14:paraId="43008F23">
      <w:pPr>
        <w:spacing w:line="400" w:lineRule="atLeast"/>
        <w:jc w:val="center"/>
        <w:rPr>
          <w:rFonts w:ascii="宋体" w:hAnsi="宋体"/>
          <w:b/>
          <w:sz w:val="32"/>
          <w:highlight w:val="none"/>
        </w:rPr>
      </w:pPr>
    </w:p>
    <w:p w14:paraId="6F7CE721">
      <w:pPr>
        <w:spacing w:line="400" w:lineRule="exact"/>
        <w:jc w:val="center"/>
        <w:rPr>
          <w:rFonts w:ascii="宋体" w:hAnsi="宋体"/>
          <w:b/>
          <w:bCs/>
          <w:sz w:val="32"/>
          <w:szCs w:val="32"/>
          <w:highlight w:val="none"/>
        </w:rPr>
      </w:pPr>
    </w:p>
    <w:p w14:paraId="4A7C1611">
      <w:pPr>
        <w:pStyle w:val="11"/>
        <w:rPr>
          <w:highlight w:val="none"/>
        </w:rPr>
      </w:pPr>
    </w:p>
    <w:p w14:paraId="1C0638FA">
      <w:pPr>
        <w:jc w:val="center"/>
        <w:rPr>
          <w:rFonts w:ascii="宋体" w:hAnsi="宋体"/>
          <w:b/>
          <w:bCs/>
          <w:sz w:val="24"/>
          <w:highlight w:val="none"/>
        </w:rPr>
      </w:pPr>
    </w:p>
    <w:p w14:paraId="7E657DE2">
      <w:pPr>
        <w:jc w:val="center"/>
        <w:rPr>
          <w:rFonts w:ascii="宋体" w:hAnsi="宋体"/>
          <w:b/>
          <w:bCs/>
          <w:sz w:val="24"/>
          <w:highlight w:val="none"/>
        </w:rPr>
      </w:pPr>
    </w:p>
    <w:p w14:paraId="714B99F3">
      <w:pPr>
        <w:tabs>
          <w:tab w:val="left" w:pos="1985"/>
          <w:tab w:val="left" w:pos="4860"/>
        </w:tabs>
        <w:spacing w:line="600" w:lineRule="exact"/>
        <w:ind w:left="-1" w:leftChars="-95" w:right="98" w:hanging="198" w:hangingChars="52"/>
        <w:jc w:val="left"/>
        <w:rPr>
          <w:rFonts w:ascii="宋体" w:hAnsi="宋体"/>
          <w:b/>
          <w:spacing w:val="40"/>
          <w:sz w:val="28"/>
          <w:szCs w:val="28"/>
          <w:highlight w:val="none"/>
        </w:rPr>
      </w:pPr>
      <w:r>
        <w:rPr>
          <w:rFonts w:hint="eastAsia" w:ascii="宋体" w:hAnsi="宋体"/>
          <w:b/>
          <w:spacing w:val="40"/>
          <w:sz w:val="30"/>
          <w:szCs w:val="30"/>
          <w:highlight w:val="none"/>
        </w:rPr>
        <w:t xml:space="preserve">  </w:t>
      </w:r>
      <w:r>
        <w:rPr>
          <w:rFonts w:hint="eastAsia" w:ascii="宋体" w:hAnsi="宋体"/>
          <w:b/>
          <w:spacing w:val="40"/>
          <w:sz w:val="28"/>
          <w:szCs w:val="28"/>
          <w:highlight w:val="none"/>
        </w:rPr>
        <w:t xml:space="preserve"> 项目编号：LWZHFW2026111</w:t>
      </w:r>
    </w:p>
    <w:p w14:paraId="67DD4D44">
      <w:pPr>
        <w:tabs>
          <w:tab w:val="left" w:pos="1985"/>
          <w:tab w:val="left" w:pos="4860"/>
        </w:tabs>
        <w:spacing w:line="600" w:lineRule="exact"/>
        <w:ind w:left="2148" w:leftChars="-95" w:right="-142" w:hanging="2347" w:hangingChars="650"/>
        <w:jc w:val="left"/>
        <w:rPr>
          <w:rFonts w:ascii="宋体" w:hAnsi="宋体"/>
          <w:b/>
          <w:spacing w:val="40"/>
          <w:sz w:val="28"/>
          <w:szCs w:val="28"/>
          <w:highlight w:val="none"/>
        </w:rPr>
      </w:pPr>
      <w:r>
        <w:rPr>
          <w:rFonts w:hint="eastAsia" w:ascii="宋体" w:hAnsi="宋体"/>
          <w:b/>
          <w:spacing w:val="40"/>
          <w:sz w:val="28"/>
          <w:szCs w:val="28"/>
          <w:highlight w:val="none"/>
        </w:rPr>
        <w:t xml:space="preserve">   项目名称：</w:t>
      </w:r>
      <w:bookmarkStart w:id="1" w:name="OLE_LINK2"/>
      <w:r>
        <w:rPr>
          <w:rFonts w:hint="eastAsia" w:ascii="宋体" w:hAnsi="宋体"/>
          <w:b/>
          <w:spacing w:val="-11"/>
          <w:sz w:val="28"/>
          <w:szCs w:val="28"/>
          <w:highlight w:val="none"/>
        </w:rPr>
        <w:t>温州港集团有限公司龙湾港务分公司35吨门机回转支承更换及16吨门机臂架头部铰点维修</w:t>
      </w:r>
    </w:p>
    <w:bookmarkEnd w:id="1"/>
    <w:p w14:paraId="7CD74198">
      <w:pPr>
        <w:tabs>
          <w:tab w:val="left" w:pos="4860"/>
        </w:tabs>
        <w:spacing w:line="600" w:lineRule="exact"/>
        <w:ind w:left="-11" w:leftChars="-95" w:right="1143" w:hanging="188" w:hangingChars="52"/>
        <w:jc w:val="left"/>
        <w:rPr>
          <w:rFonts w:ascii="宋体" w:hAnsi="宋体"/>
          <w:b/>
          <w:spacing w:val="40"/>
          <w:sz w:val="28"/>
          <w:szCs w:val="28"/>
          <w:highlight w:val="none"/>
        </w:rPr>
      </w:pPr>
      <w:r>
        <w:rPr>
          <w:rFonts w:hint="eastAsia" w:ascii="宋体" w:hAnsi="宋体"/>
          <w:b/>
          <w:spacing w:val="40"/>
          <w:sz w:val="28"/>
          <w:szCs w:val="28"/>
          <w:highlight w:val="none"/>
        </w:rPr>
        <w:t xml:space="preserve">   招标方式</w:t>
      </w:r>
      <w:r>
        <w:rPr>
          <w:rFonts w:hint="eastAsia" w:ascii="宋体" w:hAnsi="宋体"/>
          <w:b/>
          <w:sz w:val="28"/>
          <w:szCs w:val="28"/>
          <w:highlight w:val="none"/>
        </w:rPr>
        <w:t>：公 开 招 标</w:t>
      </w:r>
    </w:p>
    <w:p w14:paraId="0A8B7586">
      <w:pPr>
        <w:ind w:left="-53" w:leftChars="-95" w:hanging="146" w:hangingChars="52"/>
        <w:jc w:val="center"/>
        <w:rPr>
          <w:rFonts w:ascii="宋体" w:hAnsi="宋体"/>
          <w:b/>
          <w:bCs/>
          <w:sz w:val="28"/>
          <w:szCs w:val="28"/>
          <w:highlight w:val="none"/>
        </w:rPr>
      </w:pPr>
    </w:p>
    <w:p w14:paraId="3ED526A0">
      <w:pPr>
        <w:tabs>
          <w:tab w:val="left" w:pos="4860"/>
        </w:tabs>
        <w:spacing w:line="600" w:lineRule="exact"/>
        <w:jc w:val="left"/>
        <w:rPr>
          <w:rFonts w:ascii="宋体" w:hAnsi="宋体"/>
          <w:b/>
          <w:spacing w:val="40"/>
          <w:sz w:val="28"/>
          <w:szCs w:val="28"/>
          <w:highlight w:val="none"/>
        </w:rPr>
      </w:pPr>
    </w:p>
    <w:p w14:paraId="6F0083AC">
      <w:pPr>
        <w:tabs>
          <w:tab w:val="left" w:pos="4860"/>
        </w:tabs>
        <w:spacing w:line="600" w:lineRule="exact"/>
        <w:ind w:left="-10" w:firstLine="430" w:firstLineChars="119"/>
        <w:rPr>
          <w:rFonts w:ascii="宋体" w:hAnsi="宋体"/>
          <w:b/>
          <w:spacing w:val="40"/>
          <w:sz w:val="28"/>
          <w:szCs w:val="28"/>
          <w:highlight w:val="none"/>
        </w:rPr>
      </w:pPr>
      <w:r>
        <w:rPr>
          <w:rFonts w:hint="eastAsia" w:ascii="宋体" w:hAnsi="宋体"/>
          <w:b/>
          <w:spacing w:val="40"/>
          <w:sz w:val="28"/>
          <w:szCs w:val="28"/>
          <w:highlight w:val="none"/>
        </w:rPr>
        <w:t>招标人：温州港集团有限公司龙湾港务分公司</w:t>
      </w:r>
    </w:p>
    <w:p w14:paraId="3F4E211C">
      <w:pPr>
        <w:tabs>
          <w:tab w:val="left" w:pos="4860"/>
        </w:tabs>
        <w:spacing w:line="600" w:lineRule="exact"/>
        <w:ind w:left="-10" w:firstLine="430" w:firstLineChars="119"/>
        <w:rPr>
          <w:rFonts w:ascii="宋体" w:hAnsi="宋体"/>
          <w:b/>
          <w:spacing w:val="40"/>
          <w:sz w:val="28"/>
          <w:szCs w:val="28"/>
          <w:highlight w:val="none"/>
        </w:rPr>
      </w:pPr>
      <w:r>
        <w:rPr>
          <w:rFonts w:hint="eastAsia" w:ascii="宋体" w:hAnsi="宋体"/>
          <w:b/>
          <w:spacing w:val="40"/>
          <w:sz w:val="28"/>
          <w:szCs w:val="28"/>
          <w:highlight w:val="none"/>
        </w:rPr>
        <w:t>招标代理机构：华信咨询设计研究院有限公司</w:t>
      </w:r>
    </w:p>
    <w:p w14:paraId="43714681">
      <w:pPr>
        <w:spacing w:line="600" w:lineRule="exact"/>
        <w:jc w:val="center"/>
        <w:rPr>
          <w:rFonts w:ascii="宋体" w:hAnsi="宋体" w:cs="宋体"/>
          <w:spacing w:val="40"/>
          <w:sz w:val="30"/>
          <w:szCs w:val="30"/>
          <w:highlight w:val="none"/>
        </w:rPr>
      </w:pPr>
      <w:r>
        <w:rPr>
          <w:rFonts w:hint="eastAsia" w:ascii="宋体" w:hAnsi="宋体" w:cs="宋体"/>
          <w:spacing w:val="40"/>
          <w:sz w:val="30"/>
          <w:szCs w:val="30"/>
          <w:highlight w:val="none"/>
        </w:rPr>
        <w:t>二〇二六年</w:t>
      </w:r>
      <w:r>
        <w:rPr>
          <w:rFonts w:hint="eastAsia" w:ascii="宋体" w:hAnsi="宋体" w:cs="宋体"/>
          <w:spacing w:val="40"/>
          <w:sz w:val="30"/>
          <w:szCs w:val="30"/>
          <w:highlight w:val="none"/>
          <w:lang w:val="en-US" w:eastAsia="zh-CN"/>
        </w:rPr>
        <w:t>五</w:t>
      </w:r>
      <w:r>
        <w:rPr>
          <w:rFonts w:hint="eastAsia" w:ascii="宋体" w:hAnsi="宋体" w:cs="宋体"/>
          <w:spacing w:val="40"/>
          <w:sz w:val="30"/>
          <w:szCs w:val="30"/>
          <w:highlight w:val="none"/>
        </w:rPr>
        <w:t>月</w:t>
      </w:r>
    </w:p>
    <w:p w14:paraId="05120FE3">
      <w:pPr>
        <w:rPr>
          <w:rFonts w:ascii="Cambria" w:hAnsi="Cambria"/>
          <w:b/>
          <w:bCs/>
          <w:kern w:val="0"/>
          <w:sz w:val="32"/>
          <w:szCs w:val="28"/>
          <w:highlight w:val="none"/>
          <w:lang w:val="zh-CN"/>
        </w:rPr>
      </w:pPr>
    </w:p>
    <w:p w14:paraId="3AB04C0C">
      <w:pPr>
        <w:rPr>
          <w:highlight w:val="none"/>
          <w:lang w:val="zh-CN"/>
        </w:rPr>
        <w:sectPr>
          <w:pgSz w:w="11907" w:h="16840"/>
          <w:pgMar w:top="1134" w:right="1134" w:bottom="1134" w:left="1134" w:header="964" w:footer="851" w:gutter="0"/>
          <w:cols w:space="720" w:num="1"/>
          <w:docGrid w:type="lines" w:linePitch="312" w:charSpace="0"/>
        </w:sectPr>
      </w:pPr>
    </w:p>
    <w:p w14:paraId="144F33D2">
      <w:pPr>
        <w:pStyle w:val="76"/>
        <w:jc w:val="center"/>
        <w:rPr>
          <w:color w:val="auto"/>
          <w:szCs w:val="24"/>
          <w:highlight w:val="none"/>
        </w:rPr>
      </w:pPr>
      <w:r>
        <w:rPr>
          <w:color w:val="auto"/>
          <w:szCs w:val="24"/>
          <w:highlight w:val="none"/>
          <w:lang w:val="zh-CN"/>
        </w:rPr>
        <w:t>目录</w:t>
      </w:r>
    </w:p>
    <w:sdt>
      <w:sdtPr>
        <w:rPr>
          <w:rFonts w:ascii="宋体" w:hAnsi="宋体"/>
          <w:highlight w:val="none"/>
        </w:rPr>
        <w:id w:val="147482466"/>
        <w15:color w:val="DBDBDB"/>
        <w:docPartObj>
          <w:docPartGallery w:val="Table of Contents"/>
          <w:docPartUnique/>
        </w:docPartObj>
      </w:sdtPr>
      <w:sdtEndPr>
        <w:rPr>
          <w:rFonts w:ascii="Times New Roman" w:hAnsi="Times New Roman"/>
          <w:highlight w:val="none"/>
        </w:rPr>
      </w:sdtEndPr>
      <w:sdtContent>
        <w:p w14:paraId="715FD8BE">
          <w:pPr>
            <w:jc w:val="center"/>
            <w:rPr>
              <w:highlight w:val="none"/>
            </w:rPr>
          </w:pPr>
        </w:p>
        <w:p w14:paraId="57227FFD">
          <w:pPr>
            <w:pStyle w:val="26"/>
            <w:keepNext w:val="0"/>
            <w:keepLines w:val="0"/>
            <w:pageBreakBefore w:val="0"/>
            <w:widowControl w:val="0"/>
            <w:tabs>
              <w:tab w:val="right" w:leader="dot" w:pos="9639"/>
            </w:tabs>
            <w:kinsoku/>
            <w:wordWrap/>
            <w:overflowPunct/>
            <w:topLinePunct w:val="0"/>
            <w:autoSpaceDE/>
            <w:autoSpaceDN/>
            <w:bidi w:val="0"/>
            <w:adjustRightInd/>
            <w:snapToGrid/>
            <w:spacing w:line="360" w:lineRule="auto"/>
            <w:textAlignment w:val="auto"/>
            <w:rPr>
              <w:rFonts w:hint="eastAsia" w:ascii="宋体" w:hAnsi="宋体" w:eastAsia="宋体" w:cs="宋体"/>
              <w:sz w:val="22"/>
              <w:szCs w:val="22"/>
            </w:rPr>
          </w:pPr>
          <w:r>
            <w:rPr>
              <w:rFonts w:hint="eastAsia" w:ascii="宋体" w:hAnsi="宋体" w:cs="宋体"/>
              <w:sz w:val="22"/>
              <w:szCs w:val="22"/>
              <w:highlight w:val="none"/>
            </w:rPr>
            <w:fldChar w:fldCharType="begin"/>
          </w:r>
          <w:r>
            <w:rPr>
              <w:rFonts w:hint="eastAsia" w:ascii="宋体" w:hAnsi="宋体" w:cs="宋体"/>
              <w:sz w:val="22"/>
              <w:szCs w:val="22"/>
              <w:highlight w:val="none"/>
            </w:rPr>
            <w:instrText xml:space="preserve">TOC \o "1-3" \h \u </w:instrText>
          </w:r>
          <w:r>
            <w:rPr>
              <w:rFonts w:hint="eastAsia" w:ascii="宋体" w:hAnsi="宋体" w:cs="宋体"/>
              <w:sz w:val="22"/>
              <w:szCs w:val="22"/>
              <w:highlight w:val="none"/>
            </w:rPr>
            <w:fldChar w:fldCharType="separate"/>
          </w:r>
          <w:r>
            <w:rPr>
              <w:rFonts w:hint="eastAsia" w:ascii="宋体" w:hAnsi="宋体" w:eastAsia="宋体" w:cs="宋体"/>
              <w:sz w:val="22"/>
              <w:szCs w:val="22"/>
              <w:highlight w:val="none"/>
            </w:rPr>
            <w:fldChar w:fldCharType="begin"/>
          </w:r>
          <w:r>
            <w:rPr>
              <w:rFonts w:hint="eastAsia" w:ascii="宋体" w:hAnsi="宋体" w:eastAsia="宋体" w:cs="宋体"/>
              <w:sz w:val="22"/>
              <w:szCs w:val="22"/>
              <w:highlight w:val="none"/>
            </w:rPr>
            <w:instrText xml:space="preserve"> HYPERLINK \l _Toc12182 </w:instrText>
          </w:r>
          <w:r>
            <w:rPr>
              <w:rFonts w:hint="eastAsia" w:ascii="宋体" w:hAnsi="宋体" w:eastAsia="宋体" w:cs="宋体"/>
              <w:sz w:val="22"/>
              <w:szCs w:val="22"/>
              <w:highlight w:val="none"/>
            </w:rPr>
            <w:fldChar w:fldCharType="separate"/>
          </w:r>
          <w:r>
            <w:rPr>
              <w:rFonts w:hint="eastAsia" w:ascii="宋体" w:hAnsi="宋体" w:eastAsia="宋体" w:cs="宋体"/>
              <w:sz w:val="22"/>
              <w:szCs w:val="22"/>
              <w:highlight w:val="none"/>
            </w:rPr>
            <w:t>第一章  招标公告</w:t>
          </w:r>
          <w:r>
            <w:rPr>
              <w:rFonts w:hint="eastAsia" w:ascii="宋体" w:hAnsi="宋体" w:eastAsia="宋体" w:cs="宋体"/>
              <w:sz w:val="22"/>
              <w:szCs w:val="22"/>
            </w:rPr>
            <w:tab/>
          </w:r>
          <w:r>
            <w:rPr>
              <w:rFonts w:hint="eastAsia" w:ascii="宋体" w:hAnsi="宋体" w:eastAsia="宋体" w:cs="宋体"/>
              <w:sz w:val="22"/>
              <w:szCs w:val="22"/>
            </w:rPr>
            <w:fldChar w:fldCharType="begin"/>
          </w:r>
          <w:r>
            <w:rPr>
              <w:rFonts w:hint="eastAsia" w:ascii="宋体" w:hAnsi="宋体" w:eastAsia="宋体" w:cs="宋体"/>
              <w:sz w:val="22"/>
              <w:szCs w:val="22"/>
            </w:rPr>
            <w:instrText xml:space="preserve"> PAGEREF _Toc12182 \h </w:instrText>
          </w:r>
          <w:r>
            <w:rPr>
              <w:rFonts w:hint="eastAsia" w:ascii="宋体" w:hAnsi="宋体" w:eastAsia="宋体" w:cs="宋体"/>
              <w:sz w:val="22"/>
              <w:szCs w:val="22"/>
            </w:rPr>
            <w:fldChar w:fldCharType="separate"/>
          </w:r>
          <w:r>
            <w:rPr>
              <w:rFonts w:hint="eastAsia" w:ascii="宋体" w:hAnsi="宋体" w:eastAsia="宋体" w:cs="宋体"/>
              <w:sz w:val="22"/>
              <w:szCs w:val="22"/>
            </w:rPr>
            <w:t>1</w:t>
          </w:r>
          <w:r>
            <w:rPr>
              <w:rFonts w:hint="eastAsia" w:ascii="宋体" w:hAnsi="宋体" w:eastAsia="宋体" w:cs="宋体"/>
              <w:sz w:val="22"/>
              <w:szCs w:val="22"/>
            </w:rPr>
            <w:fldChar w:fldCharType="end"/>
          </w:r>
          <w:r>
            <w:rPr>
              <w:rFonts w:hint="eastAsia" w:ascii="宋体" w:hAnsi="宋体" w:eastAsia="宋体" w:cs="宋体"/>
              <w:sz w:val="22"/>
              <w:szCs w:val="22"/>
              <w:highlight w:val="none"/>
            </w:rPr>
            <w:fldChar w:fldCharType="end"/>
          </w:r>
        </w:p>
        <w:p w14:paraId="60FC5B25">
          <w:pPr>
            <w:pStyle w:val="26"/>
            <w:keepNext w:val="0"/>
            <w:keepLines w:val="0"/>
            <w:pageBreakBefore w:val="0"/>
            <w:widowControl w:val="0"/>
            <w:tabs>
              <w:tab w:val="right" w:leader="dot" w:pos="9639"/>
            </w:tabs>
            <w:kinsoku/>
            <w:wordWrap/>
            <w:overflowPunct/>
            <w:topLinePunct w:val="0"/>
            <w:autoSpaceDE/>
            <w:autoSpaceDN/>
            <w:bidi w:val="0"/>
            <w:adjustRightInd/>
            <w:snapToGrid/>
            <w:spacing w:line="360" w:lineRule="auto"/>
            <w:textAlignment w:val="auto"/>
            <w:rPr>
              <w:rFonts w:hint="eastAsia" w:ascii="宋体" w:hAnsi="宋体" w:eastAsia="宋体" w:cs="宋体"/>
              <w:sz w:val="22"/>
              <w:szCs w:val="22"/>
            </w:rPr>
          </w:pPr>
          <w:r>
            <w:rPr>
              <w:rFonts w:hint="eastAsia" w:ascii="宋体" w:hAnsi="宋体" w:eastAsia="宋体" w:cs="宋体"/>
              <w:sz w:val="22"/>
              <w:szCs w:val="22"/>
              <w:highlight w:val="none"/>
            </w:rPr>
            <w:fldChar w:fldCharType="begin"/>
          </w:r>
          <w:r>
            <w:rPr>
              <w:rFonts w:hint="eastAsia" w:ascii="宋体" w:hAnsi="宋体" w:eastAsia="宋体" w:cs="宋体"/>
              <w:sz w:val="22"/>
              <w:szCs w:val="22"/>
              <w:highlight w:val="none"/>
            </w:rPr>
            <w:instrText xml:space="preserve"> HYPERLINK \l _Toc21689 </w:instrText>
          </w:r>
          <w:r>
            <w:rPr>
              <w:rFonts w:hint="eastAsia" w:ascii="宋体" w:hAnsi="宋体" w:eastAsia="宋体" w:cs="宋体"/>
              <w:sz w:val="22"/>
              <w:szCs w:val="22"/>
              <w:highlight w:val="none"/>
            </w:rPr>
            <w:fldChar w:fldCharType="separate"/>
          </w:r>
          <w:r>
            <w:rPr>
              <w:rFonts w:hint="eastAsia" w:ascii="宋体" w:hAnsi="宋体" w:eastAsia="宋体" w:cs="宋体"/>
              <w:sz w:val="22"/>
              <w:szCs w:val="22"/>
              <w:highlight w:val="none"/>
            </w:rPr>
            <w:t>第二章  招标需求</w:t>
          </w:r>
          <w:r>
            <w:rPr>
              <w:rFonts w:hint="eastAsia" w:ascii="宋体" w:hAnsi="宋体" w:eastAsia="宋体" w:cs="宋体"/>
              <w:sz w:val="22"/>
              <w:szCs w:val="22"/>
            </w:rPr>
            <w:tab/>
          </w:r>
          <w:r>
            <w:rPr>
              <w:rFonts w:hint="eastAsia" w:ascii="宋体" w:hAnsi="宋体" w:eastAsia="宋体" w:cs="宋体"/>
              <w:sz w:val="22"/>
              <w:szCs w:val="22"/>
            </w:rPr>
            <w:fldChar w:fldCharType="begin"/>
          </w:r>
          <w:r>
            <w:rPr>
              <w:rFonts w:hint="eastAsia" w:ascii="宋体" w:hAnsi="宋体" w:eastAsia="宋体" w:cs="宋体"/>
              <w:sz w:val="22"/>
              <w:szCs w:val="22"/>
            </w:rPr>
            <w:instrText xml:space="preserve"> PAGEREF _Toc21689 \h </w:instrText>
          </w:r>
          <w:r>
            <w:rPr>
              <w:rFonts w:hint="eastAsia" w:ascii="宋体" w:hAnsi="宋体" w:eastAsia="宋体" w:cs="宋体"/>
              <w:sz w:val="22"/>
              <w:szCs w:val="22"/>
            </w:rPr>
            <w:fldChar w:fldCharType="separate"/>
          </w:r>
          <w:r>
            <w:rPr>
              <w:rFonts w:hint="eastAsia" w:ascii="宋体" w:hAnsi="宋体" w:eastAsia="宋体" w:cs="宋体"/>
              <w:sz w:val="22"/>
              <w:szCs w:val="22"/>
            </w:rPr>
            <w:t>4</w:t>
          </w:r>
          <w:r>
            <w:rPr>
              <w:rFonts w:hint="eastAsia" w:ascii="宋体" w:hAnsi="宋体" w:eastAsia="宋体" w:cs="宋体"/>
              <w:sz w:val="22"/>
              <w:szCs w:val="22"/>
            </w:rPr>
            <w:fldChar w:fldCharType="end"/>
          </w:r>
          <w:r>
            <w:rPr>
              <w:rFonts w:hint="eastAsia" w:ascii="宋体" w:hAnsi="宋体" w:eastAsia="宋体" w:cs="宋体"/>
              <w:sz w:val="22"/>
              <w:szCs w:val="22"/>
              <w:highlight w:val="none"/>
            </w:rPr>
            <w:fldChar w:fldCharType="end"/>
          </w:r>
        </w:p>
        <w:p w14:paraId="48BC29E6">
          <w:pPr>
            <w:pStyle w:val="26"/>
            <w:keepNext w:val="0"/>
            <w:keepLines w:val="0"/>
            <w:pageBreakBefore w:val="0"/>
            <w:widowControl w:val="0"/>
            <w:tabs>
              <w:tab w:val="right" w:leader="dot" w:pos="9639"/>
            </w:tabs>
            <w:kinsoku/>
            <w:wordWrap/>
            <w:overflowPunct/>
            <w:topLinePunct w:val="0"/>
            <w:autoSpaceDE/>
            <w:autoSpaceDN/>
            <w:bidi w:val="0"/>
            <w:adjustRightInd/>
            <w:snapToGrid/>
            <w:spacing w:line="360" w:lineRule="auto"/>
            <w:textAlignment w:val="auto"/>
            <w:rPr>
              <w:rFonts w:hint="eastAsia" w:ascii="宋体" w:hAnsi="宋体" w:eastAsia="宋体" w:cs="宋体"/>
              <w:sz w:val="22"/>
              <w:szCs w:val="22"/>
            </w:rPr>
          </w:pPr>
          <w:r>
            <w:rPr>
              <w:rFonts w:hint="eastAsia" w:ascii="宋体" w:hAnsi="宋体" w:eastAsia="宋体" w:cs="宋体"/>
              <w:sz w:val="22"/>
              <w:szCs w:val="22"/>
              <w:highlight w:val="none"/>
            </w:rPr>
            <w:fldChar w:fldCharType="begin"/>
          </w:r>
          <w:r>
            <w:rPr>
              <w:rFonts w:hint="eastAsia" w:ascii="宋体" w:hAnsi="宋体" w:eastAsia="宋体" w:cs="宋体"/>
              <w:sz w:val="22"/>
              <w:szCs w:val="22"/>
              <w:highlight w:val="none"/>
            </w:rPr>
            <w:instrText xml:space="preserve"> HYPERLINK \l _Toc15647 </w:instrText>
          </w:r>
          <w:r>
            <w:rPr>
              <w:rFonts w:hint="eastAsia" w:ascii="宋体" w:hAnsi="宋体" w:eastAsia="宋体" w:cs="宋体"/>
              <w:sz w:val="22"/>
              <w:szCs w:val="22"/>
              <w:highlight w:val="none"/>
            </w:rPr>
            <w:fldChar w:fldCharType="separate"/>
          </w:r>
          <w:r>
            <w:rPr>
              <w:rFonts w:hint="eastAsia" w:ascii="宋体" w:hAnsi="宋体" w:eastAsia="宋体" w:cs="宋体"/>
              <w:sz w:val="22"/>
              <w:szCs w:val="22"/>
            </w:rPr>
            <w:t xml:space="preserve">第三章 </w:t>
          </w:r>
          <w:r>
            <w:rPr>
              <w:rFonts w:hint="eastAsia" w:ascii="宋体" w:hAnsi="宋体" w:eastAsia="宋体" w:cs="宋体"/>
              <w:sz w:val="22"/>
              <w:szCs w:val="22"/>
              <w:highlight w:val="none"/>
            </w:rPr>
            <w:t>投标人须知</w:t>
          </w:r>
          <w:r>
            <w:rPr>
              <w:rFonts w:hint="eastAsia" w:ascii="宋体" w:hAnsi="宋体" w:eastAsia="宋体" w:cs="宋体"/>
              <w:sz w:val="22"/>
              <w:szCs w:val="22"/>
            </w:rPr>
            <w:tab/>
          </w:r>
          <w:r>
            <w:rPr>
              <w:rFonts w:hint="eastAsia" w:ascii="宋体" w:hAnsi="宋体" w:eastAsia="宋体" w:cs="宋体"/>
              <w:sz w:val="22"/>
              <w:szCs w:val="22"/>
            </w:rPr>
            <w:fldChar w:fldCharType="begin"/>
          </w:r>
          <w:r>
            <w:rPr>
              <w:rFonts w:hint="eastAsia" w:ascii="宋体" w:hAnsi="宋体" w:eastAsia="宋体" w:cs="宋体"/>
              <w:sz w:val="22"/>
              <w:szCs w:val="22"/>
            </w:rPr>
            <w:instrText xml:space="preserve"> PAGEREF _Toc15647 \h </w:instrText>
          </w:r>
          <w:r>
            <w:rPr>
              <w:rFonts w:hint="eastAsia" w:ascii="宋体" w:hAnsi="宋体" w:eastAsia="宋体" w:cs="宋体"/>
              <w:sz w:val="22"/>
              <w:szCs w:val="22"/>
            </w:rPr>
            <w:fldChar w:fldCharType="separate"/>
          </w:r>
          <w:r>
            <w:rPr>
              <w:rFonts w:hint="eastAsia" w:ascii="宋体" w:hAnsi="宋体" w:eastAsia="宋体" w:cs="宋体"/>
              <w:sz w:val="22"/>
              <w:szCs w:val="22"/>
            </w:rPr>
            <w:t>13</w:t>
          </w:r>
          <w:r>
            <w:rPr>
              <w:rFonts w:hint="eastAsia" w:ascii="宋体" w:hAnsi="宋体" w:eastAsia="宋体" w:cs="宋体"/>
              <w:sz w:val="22"/>
              <w:szCs w:val="22"/>
            </w:rPr>
            <w:fldChar w:fldCharType="end"/>
          </w:r>
          <w:r>
            <w:rPr>
              <w:rFonts w:hint="eastAsia" w:ascii="宋体" w:hAnsi="宋体" w:eastAsia="宋体" w:cs="宋体"/>
              <w:sz w:val="22"/>
              <w:szCs w:val="22"/>
              <w:highlight w:val="none"/>
            </w:rPr>
            <w:fldChar w:fldCharType="end"/>
          </w:r>
        </w:p>
        <w:p w14:paraId="46ECC36A">
          <w:pPr>
            <w:pStyle w:val="16"/>
            <w:keepNext w:val="0"/>
            <w:keepLines w:val="0"/>
            <w:pageBreakBefore w:val="0"/>
            <w:widowControl w:val="0"/>
            <w:tabs>
              <w:tab w:val="right" w:leader="dot" w:pos="9639"/>
            </w:tabs>
            <w:kinsoku/>
            <w:wordWrap/>
            <w:overflowPunct/>
            <w:topLinePunct w:val="0"/>
            <w:autoSpaceDE/>
            <w:autoSpaceDN/>
            <w:bidi w:val="0"/>
            <w:adjustRightInd/>
            <w:snapToGrid/>
            <w:spacing w:line="360" w:lineRule="auto"/>
            <w:textAlignment w:val="auto"/>
            <w:rPr>
              <w:rFonts w:hint="eastAsia" w:ascii="宋体" w:hAnsi="宋体" w:eastAsia="宋体" w:cs="宋体"/>
              <w:sz w:val="22"/>
              <w:szCs w:val="22"/>
            </w:rPr>
          </w:pPr>
          <w:r>
            <w:rPr>
              <w:rFonts w:hint="eastAsia" w:ascii="宋体" w:hAnsi="宋体" w:eastAsia="宋体" w:cs="宋体"/>
              <w:sz w:val="22"/>
              <w:szCs w:val="22"/>
              <w:highlight w:val="none"/>
            </w:rPr>
            <w:fldChar w:fldCharType="begin"/>
          </w:r>
          <w:r>
            <w:rPr>
              <w:rFonts w:hint="eastAsia" w:ascii="宋体" w:hAnsi="宋体" w:eastAsia="宋体" w:cs="宋体"/>
              <w:sz w:val="22"/>
              <w:szCs w:val="22"/>
              <w:highlight w:val="none"/>
            </w:rPr>
            <w:instrText xml:space="preserve"> HYPERLINK \l _Toc20635 </w:instrText>
          </w:r>
          <w:r>
            <w:rPr>
              <w:rFonts w:hint="eastAsia" w:ascii="宋体" w:hAnsi="宋体" w:eastAsia="宋体" w:cs="宋体"/>
              <w:sz w:val="22"/>
              <w:szCs w:val="22"/>
              <w:highlight w:val="none"/>
            </w:rPr>
            <w:fldChar w:fldCharType="separate"/>
          </w:r>
          <w:r>
            <w:rPr>
              <w:rFonts w:hint="eastAsia" w:ascii="宋体" w:hAnsi="宋体" w:eastAsia="宋体" w:cs="宋体"/>
              <w:sz w:val="22"/>
              <w:szCs w:val="22"/>
              <w:highlight w:val="none"/>
            </w:rPr>
            <w:t>一   总  则</w:t>
          </w:r>
          <w:r>
            <w:rPr>
              <w:rFonts w:hint="eastAsia" w:ascii="宋体" w:hAnsi="宋体" w:eastAsia="宋体" w:cs="宋体"/>
              <w:sz w:val="22"/>
              <w:szCs w:val="22"/>
            </w:rPr>
            <w:tab/>
          </w:r>
          <w:r>
            <w:rPr>
              <w:rFonts w:hint="eastAsia" w:ascii="宋体" w:hAnsi="宋体" w:eastAsia="宋体" w:cs="宋体"/>
              <w:sz w:val="22"/>
              <w:szCs w:val="22"/>
            </w:rPr>
            <w:fldChar w:fldCharType="begin"/>
          </w:r>
          <w:r>
            <w:rPr>
              <w:rFonts w:hint="eastAsia" w:ascii="宋体" w:hAnsi="宋体" w:eastAsia="宋体" w:cs="宋体"/>
              <w:sz w:val="22"/>
              <w:szCs w:val="22"/>
            </w:rPr>
            <w:instrText xml:space="preserve"> PAGEREF _Toc20635 \h </w:instrText>
          </w:r>
          <w:r>
            <w:rPr>
              <w:rFonts w:hint="eastAsia" w:ascii="宋体" w:hAnsi="宋体" w:eastAsia="宋体" w:cs="宋体"/>
              <w:sz w:val="22"/>
              <w:szCs w:val="22"/>
            </w:rPr>
            <w:fldChar w:fldCharType="separate"/>
          </w:r>
          <w:r>
            <w:rPr>
              <w:rFonts w:hint="eastAsia" w:ascii="宋体" w:hAnsi="宋体" w:eastAsia="宋体" w:cs="宋体"/>
              <w:sz w:val="22"/>
              <w:szCs w:val="22"/>
            </w:rPr>
            <w:t>18</w:t>
          </w:r>
          <w:r>
            <w:rPr>
              <w:rFonts w:hint="eastAsia" w:ascii="宋体" w:hAnsi="宋体" w:eastAsia="宋体" w:cs="宋体"/>
              <w:sz w:val="22"/>
              <w:szCs w:val="22"/>
            </w:rPr>
            <w:fldChar w:fldCharType="end"/>
          </w:r>
          <w:r>
            <w:rPr>
              <w:rFonts w:hint="eastAsia" w:ascii="宋体" w:hAnsi="宋体" w:eastAsia="宋体" w:cs="宋体"/>
              <w:sz w:val="22"/>
              <w:szCs w:val="22"/>
              <w:highlight w:val="none"/>
            </w:rPr>
            <w:fldChar w:fldCharType="end"/>
          </w:r>
        </w:p>
        <w:p w14:paraId="70B5EFC0">
          <w:pPr>
            <w:pStyle w:val="16"/>
            <w:keepNext w:val="0"/>
            <w:keepLines w:val="0"/>
            <w:pageBreakBefore w:val="0"/>
            <w:widowControl w:val="0"/>
            <w:tabs>
              <w:tab w:val="right" w:leader="dot" w:pos="9639"/>
            </w:tabs>
            <w:kinsoku/>
            <w:wordWrap/>
            <w:overflowPunct/>
            <w:topLinePunct w:val="0"/>
            <w:autoSpaceDE/>
            <w:autoSpaceDN/>
            <w:bidi w:val="0"/>
            <w:adjustRightInd/>
            <w:snapToGrid/>
            <w:spacing w:line="360" w:lineRule="auto"/>
            <w:textAlignment w:val="auto"/>
            <w:rPr>
              <w:rFonts w:hint="eastAsia" w:ascii="宋体" w:hAnsi="宋体" w:eastAsia="宋体" w:cs="宋体"/>
              <w:sz w:val="22"/>
              <w:szCs w:val="22"/>
            </w:rPr>
          </w:pPr>
          <w:r>
            <w:rPr>
              <w:rFonts w:hint="eastAsia" w:ascii="宋体" w:hAnsi="宋体" w:eastAsia="宋体" w:cs="宋体"/>
              <w:sz w:val="22"/>
              <w:szCs w:val="22"/>
              <w:highlight w:val="none"/>
            </w:rPr>
            <w:fldChar w:fldCharType="begin"/>
          </w:r>
          <w:r>
            <w:rPr>
              <w:rFonts w:hint="eastAsia" w:ascii="宋体" w:hAnsi="宋体" w:eastAsia="宋体" w:cs="宋体"/>
              <w:sz w:val="22"/>
              <w:szCs w:val="22"/>
              <w:highlight w:val="none"/>
            </w:rPr>
            <w:instrText xml:space="preserve"> HYPERLINK \l _Toc18613 </w:instrText>
          </w:r>
          <w:r>
            <w:rPr>
              <w:rFonts w:hint="eastAsia" w:ascii="宋体" w:hAnsi="宋体" w:eastAsia="宋体" w:cs="宋体"/>
              <w:sz w:val="22"/>
              <w:szCs w:val="22"/>
              <w:highlight w:val="none"/>
            </w:rPr>
            <w:fldChar w:fldCharType="separate"/>
          </w:r>
          <w:r>
            <w:rPr>
              <w:rFonts w:hint="eastAsia" w:ascii="宋体" w:hAnsi="宋体" w:eastAsia="宋体" w:cs="宋体"/>
              <w:sz w:val="22"/>
              <w:szCs w:val="22"/>
              <w:highlight w:val="none"/>
            </w:rPr>
            <w:t>二   招标文件</w:t>
          </w:r>
          <w:r>
            <w:rPr>
              <w:rFonts w:hint="eastAsia" w:ascii="宋体" w:hAnsi="宋体" w:eastAsia="宋体" w:cs="宋体"/>
              <w:sz w:val="22"/>
              <w:szCs w:val="22"/>
            </w:rPr>
            <w:tab/>
          </w:r>
          <w:r>
            <w:rPr>
              <w:rFonts w:hint="eastAsia" w:ascii="宋体" w:hAnsi="宋体" w:eastAsia="宋体" w:cs="宋体"/>
              <w:sz w:val="22"/>
              <w:szCs w:val="22"/>
            </w:rPr>
            <w:fldChar w:fldCharType="begin"/>
          </w:r>
          <w:r>
            <w:rPr>
              <w:rFonts w:hint="eastAsia" w:ascii="宋体" w:hAnsi="宋体" w:eastAsia="宋体" w:cs="宋体"/>
              <w:sz w:val="22"/>
              <w:szCs w:val="22"/>
            </w:rPr>
            <w:instrText xml:space="preserve"> PAGEREF _Toc18613 \h </w:instrText>
          </w:r>
          <w:r>
            <w:rPr>
              <w:rFonts w:hint="eastAsia" w:ascii="宋体" w:hAnsi="宋体" w:eastAsia="宋体" w:cs="宋体"/>
              <w:sz w:val="22"/>
              <w:szCs w:val="22"/>
            </w:rPr>
            <w:fldChar w:fldCharType="separate"/>
          </w:r>
          <w:r>
            <w:rPr>
              <w:rFonts w:hint="eastAsia" w:ascii="宋体" w:hAnsi="宋体" w:eastAsia="宋体" w:cs="宋体"/>
              <w:sz w:val="22"/>
              <w:szCs w:val="22"/>
            </w:rPr>
            <w:t>19</w:t>
          </w:r>
          <w:r>
            <w:rPr>
              <w:rFonts w:hint="eastAsia" w:ascii="宋体" w:hAnsi="宋体" w:eastAsia="宋体" w:cs="宋体"/>
              <w:sz w:val="22"/>
              <w:szCs w:val="22"/>
            </w:rPr>
            <w:fldChar w:fldCharType="end"/>
          </w:r>
          <w:r>
            <w:rPr>
              <w:rFonts w:hint="eastAsia" w:ascii="宋体" w:hAnsi="宋体" w:eastAsia="宋体" w:cs="宋体"/>
              <w:sz w:val="22"/>
              <w:szCs w:val="22"/>
              <w:highlight w:val="none"/>
            </w:rPr>
            <w:fldChar w:fldCharType="end"/>
          </w:r>
        </w:p>
        <w:p w14:paraId="68D2A2AE">
          <w:pPr>
            <w:pStyle w:val="16"/>
            <w:keepNext w:val="0"/>
            <w:keepLines w:val="0"/>
            <w:pageBreakBefore w:val="0"/>
            <w:widowControl w:val="0"/>
            <w:tabs>
              <w:tab w:val="right" w:leader="dot" w:pos="9639"/>
            </w:tabs>
            <w:kinsoku/>
            <w:wordWrap/>
            <w:overflowPunct/>
            <w:topLinePunct w:val="0"/>
            <w:autoSpaceDE/>
            <w:autoSpaceDN/>
            <w:bidi w:val="0"/>
            <w:adjustRightInd/>
            <w:snapToGrid/>
            <w:spacing w:line="360" w:lineRule="auto"/>
            <w:textAlignment w:val="auto"/>
            <w:rPr>
              <w:rFonts w:hint="eastAsia" w:ascii="宋体" w:hAnsi="宋体" w:eastAsia="宋体" w:cs="宋体"/>
              <w:sz w:val="22"/>
              <w:szCs w:val="22"/>
            </w:rPr>
          </w:pPr>
          <w:r>
            <w:rPr>
              <w:rFonts w:hint="eastAsia" w:ascii="宋体" w:hAnsi="宋体" w:eastAsia="宋体" w:cs="宋体"/>
              <w:sz w:val="22"/>
              <w:szCs w:val="22"/>
              <w:highlight w:val="none"/>
            </w:rPr>
            <w:fldChar w:fldCharType="begin"/>
          </w:r>
          <w:r>
            <w:rPr>
              <w:rFonts w:hint="eastAsia" w:ascii="宋体" w:hAnsi="宋体" w:eastAsia="宋体" w:cs="宋体"/>
              <w:sz w:val="22"/>
              <w:szCs w:val="22"/>
              <w:highlight w:val="none"/>
            </w:rPr>
            <w:instrText xml:space="preserve"> HYPERLINK \l _Toc16840 </w:instrText>
          </w:r>
          <w:r>
            <w:rPr>
              <w:rFonts w:hint="eastAsia" w:ascii="宋体" w:hAnsi="宋体" w:eastAsia="宋体" w:cs="宋体"/>
              <w:sz w:val="22"/>
              <w:szCs w:val="22"/>
              <w:highlight w:val="none"/>
            </w:rPr>
            <w:fldChar w:fldCharType="separate"/>
          </w:r>
          <w:r>
            <w:rPr>
              <w:rFonts w:hint="eastAsia" w:ascii="宋体" w:hAnsi="宋体" w:eastAsia="宋体" w:cs="宋体"/>
              <w:sz w:val="22"/>
              <w:szCs w:val="22"/>
              <w:highlight w:val="none"/>
            </w:rPr>
            <w:t>三   投标文件的编制</w:t>
          </w:r>
          <w:r>
            <w:rPr>
              <w:rFonts w:hint="eastAsia" w:ascii="宋体" w:hAnsi="宋体" w:eastAsia="宋体" w:cs="宋体"/>
              <w:sz w:val="22"/>
              <w:szCs w:val="22"/>
            </w:rPr>
            <w:tab/>
          </w:r>
          <w:r>
            <w:rPr>
              <w:rFonts w:hint="eastAsia" w:ascii="宋体" w:hAnsi="宋体" w:eastAsia="宋体" w:cs="宋体"/>
              <w:sz w:val="22"/>
              <w:szCs w:val="22"/>
            </w:rPr>
            <w:fldChar w:fldCharType="begin"/>
          </w:r>
          <w:r>
            <w:rPr>
              <w:rFonts w:hint="eastAsia" w:ascii="宋体" w:hAnsi="宋体" w:eastAsia="宋体" w:cs="宋体"/>
              <w:sz w:val="22"/>
              <w:szCs w:val="22"/>
            </w:rPr>
            <w:instrText xml:space="preserve"> PAGEREF _Toc16840 \h </w:instrText>
          </w:r>
          <w:r>
            <w:rPr>
              <w:rFonts w:hint="eastAsia" w:ascii="宋体" w:hAnsi="宋体" w:eastAsia="宋体" w:cs="宋体"/>
              <w:sz w:val="22"/>
              <w:szCs w:val="22"/>
            </w:rPr>
            <w:fldChar w:fldCharType="separate"/>
          </w:r>
          <w:r>
            <w:rPr>
              <w:rFonts w:hint="eastAsia" w:ascii="宋体" w:hAnsi="宋体" w:eastAsia="宋体" w:cs="宋体"/>
              <w:sz w:val="22"/>
              <w:szCs w:val="22"/>
            </w:rPr>
            <w:t>20</w:t>
          </w:r>
          <w:r>
            <w:rPr>
              <w:rFonts w:hint="eastAsia" w:ascii="宋体" w:hAnsi="宋体" w:eastAsia="宋体" w:cs="宋体"/>
              <w:sz w:val="22"/>
              <w:szCs w:val="22"/>
            </w:rPr>
            <w:fldChar w:fldCharType="end"/>
          </w:r>
          <w:r>
            <w:rPr>
              <w:rFonts w:hint="eastAsia" w:ascii="宋体" w:hAnsi="宋体" w:eastAsia="宋体" w:cs="宋体"/>
              <w:sz w:val="22"/>
              <w:szCs w:val="22"/>
              <w:highlight w:val="none"/>
            </w:rPr>
            <w:fldChar w:fldCharType="end"/>
          </w:r>
        </w:p>
        <w:p w14:paraId="58581301">
          <w:pPr>
            <w:pStyle w:val="16"/>
            <w:keepNext w:val="0"/>
            <w:keepLines w:val="0"/>
            <w:pageBreakBefore w:val="0"/>
            <w:widowControl w:val="0"/>
            <w:tabs>
              <w:tab w:val="right" w:leader="dot" w:pos="9639"/>
            </w:tabs>
            <w:kinsoku/>
            <w:wordWrap/>
            <w:overflowPunct/>
            <w:topLinePunct w:val="0"/>
            <w:autoSpaceDE/>
            <w:autoSpaceDN/>
            <w:bidi w:val="0"/>
            <w:adjustRightInd/>
            <w:snapToGrid/>
            <w:spacing w:line="360" w:lineRule="auto"/>
            <w:textAlignment w:val="auto"/>
            <w:rPr>
              <w:rFonts w:hint="eastAsia" w:ascii="宋体" w:hAnsi="宋体" w:eastAsia="宋体" w:cs="宋体"/>
              <w:sz w:val="22"/>
              <w:szCs w:val="22"/>
            </w:rPr>
          </w:pPr>
          <w:r>
            <w:rPr>
              <w:rFonts w:hint="eastAsia" w:ascii="宋体" w:hAnsi="宋体" w:eastAsia="宋体" w:cs="宋体"/>
              <w:sz w:val="22"/>
              <w:szCs w:val="22"/>
              <w:highlight w:val="none"/>
            </w:rPr>
            <w:fldChar w:fldCharType="begin"/>
          </w:r>
          <w:r>
            <w:rPr>
              <w:rFonts w:hint="eastAsia" w:ascii="宋体" w:hAnsi="宋体" w:eastAsia="宋体" w:cs="宋体"/>
              <w:sz w:val="22"/>
              <w:szCs w:val="22"/>
              <w:highlight w:val="none"/>
            </w:rPr>
            <w:instrText xml:space="preserve"> HYPERLINK \l _Toc10966 </w:instrText>
          </w:r>
          <w:r>
            <w:rPr>
              <w:rFonts w:hint="eastAsia" w:ascii="宋体" w:hAnsi="宋体" w:eastAsia="宋体" w:cs="宋体"/>
              <w:sz w:val="22"/>
              <w:szCs w:val="22"/>
              <w:highlight w:val="none"/>
            </w:rPr>
            <w:fldChar w:fldCharType="separate"/>
          </w:r>
          <w:r>
            <w:rPr>
              <w:rFonts w:hint="eastAsia" w:ascii="宋体" w:hAnsi="宋体" w:eastAsia="宋体" w:cs="宋体"/>
              <w:sz w:val="22"/>
              <w:szCs w:val="22"/>
              <w:highlight w:val="none"/>
            </w:rPr>
            <w:t>四   重新招标</w:t>
          </w:r>
          <w:r>
            <w:rPr>
              <w:rFonts w:hint="eastAsia" w:ascii="宋体" w:hAnsi="宋体" w:eastAsia="宋体" w:cs="宋体"/>
              <w:sz w:val="22"/>
              <w:szCs w:val="22"/>
            </w:rPr>
            <w:tab/>
          </w:r>
          <w:r>
            <w:rPr>
              <w:rFonts w:hint="eastAsia" w:ascii="宋体" w:hAnsi="宋体" w:eastAsia="宋体" w:cs="宋体"/>
              <w:sz w:val="22"/>
              <w:szCs w:val="22"/>
            </w:rPr>
            <w:fldChar w:fldCharType="begin"/>
          </w:r>
          <w:r>
            <w:rPr>
              <w:rFonts w:hint="eastAsia" w:ascii="宋体" w:hAnsi="宋体" w:eastAsia="宋体" w:cs="宋体"/>
              <w:sz w:val="22"/>
              <w:szCs w:val="22"/>
            </w:rPr>
            <w:instrText xml:space="preserve"> PAGEREF _Toc10966 \h </w:instrText>
          </w:r>
          <w:r>
            <w:rPr>
              <w:rFonts w:hint="eastAsia" w:ascii="宋体" w:hAnsi="宋体" w:eastAsia="宋体" w:cs="宋体"/>
              <w:sz w:val="22"/>
              <w:szCs w:val="22"/>
            </w:rPr>
            <w:fldChar w:fldCharType="separate"/>
          </w:r>
          <w:r>
            <w:rPr>
              <w:rFonts w:hint="eastAsia" w:ascii="宋体" w:hAnsi="宋体" w:eastAsia="宋体" w:cs="宋体"/>
              <w:sz w:val="22"/>
              <w:szCs w:val="22"/>
            </w:rPr>
            <w:t>24</w:t>
          </w:r>
          <w:r>
            <w:rPr>
              <w:rFonts w:hint="eastAsia" w:ascii="宋体" w:hAnsi="宋体" w:eastAsia="宋体" w:cs="宋体"/>
              <w:sz w:val="22"/>
              <w:szCs w:val="22"/>
            </w:rPr>
            <w:fldChar w:fldCharType="end"/>
          </w:r>
          <w:r>
            <w:rPr>
              <w:rFonts w:hint="eastAsia" w:ascii="宋体" w:hAnsi="宋体" w:eastAsia="宋体" w:cs="宋体"/>
              <w:sz w:val="22"/>
              <w:szCs w:val="22"/>
              <w:highlight w:val="none"/>
            </w:rPr>
            <w:fldChar w:fldCharType="end"/>
          </w:r>
        </w:p>
        <w:p w14:paraId="68FEFDD6">
          <w:pPr>
            <w:pStyle w:val="16"/>
            <w:keepNext w:val="0"/>
            <w:keepLines w:val="0"/>
            <w:pageBreakBefore w:val="0"/>
            <w:widowControl w:val="0"/>
            <w:tabs>
              <w:tab w:val="right" w:leader="dot" w:pos="9639"/>
            </w:tabs>
            <w:kinsoku/>
            <w:wordWrap/>
            <w:overflowPunct/>
            <w:topLinePunct w:val="0"/>
            <w:autoSpaceDE/>
            <w:autoSpaceDN/>
            <w:bidi w:val="0"/>
            <w:adjustRightInd/>
            <w:snapToGrid/>
            <w:spacing w:line="360" w:lineRule="auto"/>
            <w:textAlignment w:val="auto"/>
            <w:rPr>
              <w:rFonts w:hint="eastAsia" w:ascii="宋体" w:hAnsi="宋体" w:eastAsia="宋体" w:cs="宋体"/>
              <w:sz w:val="22"/>
              <w:szCs w:val="22"/>
            </w:rPr>
          </w:pPr>
          <w:r>
            <w:rPr>
              <w:rFonts w:hint="eastAsia" w:ascii="宋体" w:hAnsi="宋体" w:eastAsia="宋体" w:cs="宋体"/>
              <w:sz w:val="22"/>
              <w:szCs w:val="22"/>
              <w:highlight w:val="none"/>
            </w:rPr>
            <w:fldChar w:fldCharType="begin"/>
          </w:r>
          <w:r>
            <w:rPr>
              <w:rFonts w:hint="eastAsia" w:ascii="宋体" w:hAnsi="宋体" w:eastAsia="宋体" w:cs="宋体"/>
              <w:sz w:val="22"/>
              <w:szCs w:val="22"/>
              <w:highlight w:val="none"/>
            </w:rPr>
            <w:instrText xml:space="preserve"> HYPERLINK \l _Toc18826 </w:instrText>
          </w:r>
          <w:r>
            <w:rPr>
              <w:rFonts w:hint="eastAsia" w:ascii="宋体" w:hAnsi="宋体" w:eastAsia="宋体" w:cs="宋体"/>
              <w:sz w:val="22"/>
              <w:szCs w:val="22"/>
              <w:highlight w:val="none"/>
            </w:rPr>
            <w:fldChar w:fldCharType="separate"/>
          </w:r>
          <w:r>
            <w:rPr>
              <w:rFonts w:hint="eastAsia" w:ascii="宋体" w:hAnsi="宋体" w:eastAsia="宋体" w:cs="宋体"/>
              <w:sz w:val="22"/>
              <w:szCs w:val="22"/>
              <w:highlight w:val="none"/>
            </w:rPr>
            <w:t>五   开  标</w:t>
          </w:r>
          <w:r>
            <w:rPr>
              <w:rFonts w:hint="eastAsia" w:ascii="宋体" w:hAnsi="宋体" w:eastAsia="宋体" w:cs="宋体"/>
              <w:sz w:val="22"/>
              <w:szCs w:val="22"/>
            </w:rPr>
            <w:tab/>
          </w:r>
          <w:r>
            <w:rPr>
              <w:rFonts w:hint="eastAsia" w:ascii="宋体" w:hAnsi="宋体" w:eastAsia="宋体" w:cs="宋体"/>
              <w:sz w:val="22"/>
              <w:szCs w:val="22"/>
            </w:rPr>
            <w:fldChar w:fldCharType="begin"/>
          </w:r>
          <w:r>
            <w:rPr>
              <w:rFonts w:hint="eastAsia" w:ascii="宋体" w:hAnsi="宋体" w:eastAsia="宋体" w:cs="宋体"/>
              <w:sz w:val="22"/>
              <w:szCs w:val="22"/>
            </w:rPr>
            <w:instrText xml:space="preserve"> PAGEREF _Toc18826 \h </w:instrText>
          </w:r>
          <w:r>
            <w:rPr>
              <w:rFonts w:hint="eastAsia" w:ascii="宋体" w:hAnsi="宋体" w:eastAsia="宋体" w:cs="宋体"/>
              <w:sz w:val="22"/>
              <w:szCs w:val="22"/>
            </w:rPr>
            <w:fldChar w:fldCharType="separate"/>
          </w:r>
          <w:r>
            <w:rPr>
              <w:rFonts w:hint="eastAsia" w:ascii="宋体" w:hAnsi="宋体" w:eastAsia="宋体" w:cs="宋体"/>
              <w:sz w:val="22"/>
              <w:szCs w:val="22"/>
            </w:rPr>
            <w:t>24</w:t>
          </w:r>
          <w:r>
            <w:rPr>
              <w:rFonts w:hint="eastAsia" w:ascii="宋体" w:hAnsi="宋体" w:eastAsia="宋体" w:cs="宋体"/>
              <w:sz w:val="22"/>
              <w:szCs w:val="22"/>
            </w:rPr>
            <w:fldChar w:fldCharType="end"/>
          </w:r>
          <w:r>
            <w:rPr>
              <w:rFonts w:hint="eastAsia" w:ascii="宋体" w:hAnsi="宋体" w:eastAsia="宋体" w:cs="宋体"/>
              <w:sz w:val="22"/>
              <w:szCs w:val="22"/>
              <w:highlight w:val="none"/>
            </w:rPr>
            <w:fldChar w:fldCharType="end"/>
          </w:r>
        </w:p>
        <w:p w14:paraId="5C438349">
          <w:pPr>
            <w:pStyle w:val="16"/>
            <w:keepNext w:val="0"/>
            <w:keepLines w:val="0"/>
            <w:pageBreakBefore w:val="0"/>
            <w:widowControl w:val="0"/>
            <w:tabs>
              <w:tab w:val="right" w:leader="dot" w:pos="9639"/>
            </w:tabs>
            <w:kinsoku/>
            <w:wordWrap/>
            <w:overflowPunct/>
            <w:topLinePunct w:val="0"/>
            <w:autoSpaceDE/>
            <w:autoSpaceDN/>
            <w:bidi w:val="0"/>
            <w:adjustRightInd/>
            <w:snapToGrid/>
            <w:spacing w:line="360" w:lineRule="auto"/>
            <w:textAlignment w:val="auto"/>
            <w:rPr>
              <w:rFonts w:hint="eastAsia" w:ascii="宋体" w:hAnsi="宋体" w:eastAsia="宋体" w:cs="宋体"/>
              <w:sz w:val="22"/>
              <w:szCs w:val="22"/>
            </w:rPr>
          </w:pPr>
          <w:r>
            <w:rPr>
              <w:rFonts w:hint="eastAsia" w:ascii="宋体" w:hAnsi="宋体" w:eastAsia="宋体" w:cs="宋体"/>
              <w:sz w:val="22"/>
              <w:szCs w:val="22"/>
              <w:highlight w:val="none"/>
            </w:rPr>
            <w:fldChar w:fldCharType="begin"/>
          </w:r>
          <w:r>
            <w:rPr>
              <w:rFonts w:hint="eastAsia" w:ascii="宋体" w:hAnsi="宋体" w:eastAsia="宋体" w:cs="宋体"/>
              <w:sz w:val="22"/>
              <w:szCs w:val="22"/>
              <w:highlight w:val="none"/>
            </w:rPr>
            <w:instrText xml:space="preserve"> HYPERLINK \l _Toc7107 </w:instrText>
          </w:r>
          <w:r>
            <w:rPr>
              <w:rFonts w:hint="eastAsia" w:ascii="宋体" w:hAnsi="宋体" w:eastAsia="宋体" w:cs="宋体"/>
              <w:sz w:val="22"/>
              <w:szCs w:val="22"/>
              <w:highlight w:val="none"/>
            </w:rPr>
            <w:fldChar w:fldCharType="separate"/>
          </w:r>
          <w:r>
            <w:rPr>
              <w:rFonts w:hint="eastAsia" w:ascii="宋体" w:hAnsi="宋体" w:eastAsia="宋体" w:cs="宋体"/>
              <w:bCs/>
              <w:kern w:val="28"/>
              <w:sz w:val="22"/>
              <w:szCs w:val="22"/>
              <w:highlight w:val="none"/>
            </w:rPr>
            <w:t>六   评  标</w:t>
          </w:r>
          <w:r>
            <w:rPr>
              <w:rFonts w:hint="eastAsia" w:ascii="宋体" w:hAnsi="宋体" w:eastAsia="宋体" w:cs="宋体"/>
              <w:sz w:val="22"/>
              <w:szCs w:val="22"/>
            </w:rPr>
            <w:tab/>
          </w:r>
          <w:r>
            <w:rPr>
              <w:rFonts w:hint="eastAsia" w:ascii="宋体" w:hAnsi="宋体" w:eastAsia="宋体" w:cs="宋体"/>
              <w:sz w:val="22"/>
              <w:szCs w:val="22"/>
            </w:rPr>
            <w:fldChar w:fldCharType="begin"/>
          </w:r>
          <w:r>
            <w:rPr>
              <w:rFonts w:hint="eastAsia" w:ascii="宋体" w:hAnsi="宋体" w:eastAsia="宋体" w:cs="宋体"/>
              <w:sz w:val="22"/>
              <w:szCs w:val="22"/>
            </w:rPr>
            <w:instrText xml:space="preserve"> PAGEREF _Toc7107 \h </w:instrText>
          </w:r>
          <w:r>
            <w:rPr>
              <w:rFonts w:hint="eastAsia" w:ascii="宋体" w:hAnsi="宋体" w:eastAsia="宋体" w:cs="宋体"/>
              <w:sz w:val="22"/>
              <w:szCs w:val="22"/>
            </w:rPr>
            <w:fldChar w:fldCharType="separate"/>
          </w:r>
          <w:r>
            <w:rPr>
              <w:rFonts w:hint="eastAsia" w:ascii="宋体" w:hAnsi="宋体" w:eastAsia="宋体" w:cs="宋体"/>
              <w:sz w:val="22"/>
              <w:szCs w:val="22"/>
            </w:rPr>
            <w:t>25</w:t>
          </w:r>
          <w:r>
            <w:rPr>
              <w:rFonts w:hint="eastAsia" w:ascii="宋体" w:hAnsi="宋体" w:eastAsia="宋体" w:cs="宋体"/>
              <w:sz w:val="22"/>
              <w:szCs w:val="22"/>
            </w:rPr>
            <w:fldChar w:fldCharType="end"/>
          </w:r>
          <w:r>
            <w:rPr>
              <w:rFonts w:hint="eastAsia" w:ascii="宋体" w:hAnsi="宋体" w:eastAsia="宋体" w:cs="宋体"/>
              <w:sz w:val="22"/>
              <w:szCs w:val="22"/>
              <w:highlight w:val="none"/>
            </w:rPr>
            <w:fldChar w:fldCharType="end"/>
          </w:r>
        </w:p>
        <w:p w14:paraId="2DD47772">
          <w:pPr>
            <w:pStyle w:val="26"/>
            <w:keepNext w:val="0"/>
            <w:keepLines w:val="0"/>
            <w:pageBreakBefore w:val="0"/>
            <w:widowControl w:val="0"/>
            <w:tabs>
              <w:tab w:val="right" w:leader="dot" w:pos="9639"/>
            </w:tabs>
            <w:kinsoku/>
            <w:wordWrap/>
            <w:overflowPunct/>
            <w:topLinePunct w:val="0"/>
            <w:autoSpaceDE/>
            <w:autoSpaceDN/>
            <w:bidi w:val="0"/>
            <w:adjustRightInd/>
            <w:snapToGrid/>
            <w:spacing w:line="360" w:lineRule="auto"/>
            <w:textAlignment w:val="auto"/>
            <w:rPr>
              <w:rFonts w:hint="eastAsia" w:ascii="宋体" w:hAnsi="宋体" w:eastAsia="宋体" w:cs="宋体"/>
              <w:sz w:val="22"/>
              <w:szCs w:val="22"/>
            </w:rPr>
          </w:pPr>
          <w:r>
            <w:rPr>
              <w:rFonts w:hint="eastAsia" w:ascii="宋体" w:hAnsi="宋体" w:eastAsia="宋体" w:cs="宋体"/>
              <w:sz w:val="22"/>
              <w:szCs w:val="22"/>
              <w:highlight w:val="none"/>
            </w:rPr>
            <w:fldChar w:fldCharType="begin"/>
          </w:r>
          <w:r>
            <w:rPr>
              <w:rFonts w:hint="eastAsia" w:ascii="宋体" w:hAnsi="宋体" w:eastAsia="宋体" w:cs="宋体"/>
              <w:sz w:val="22"/>
              <w:szCs w:val="22"/>
              <w:highlight w:val="none"/>
            </w:rPr>
            <w:instrText xml:space="preserve"> HYPERLINK \l _Toc9800 </w:instrText>
          </w:r>
          <w:r>
            <w:rPr>
              <w:rFonts w:hint="eastAsia" w:ascii="宋体" w:hAnsi="宋体" w:eastAsia="宋体" w:cs="宋体"/>
              <w:sz w:val="22"/>
              <w:szCs w:val="22"/>
              <w:highlight w:val="none"/>
            </w:rPr>
            <w:fldChar w:fldCharType="separate"/>
          </w:r>
          <w:r>
            <w:rPr>
              <w:rFonts w:hint="eastAsia" w:ascii="宋体" w:hAnsi="宋体" w:eastAsia="宋体" w:cs="宋体"/>
              <w:sz w:val="22"/>
              <w:szCs w:val="22"/>
              <w:highlight w:val="none"/>
            </w:rPr>
            <w:t>第四章  评标办法及评分标准</w:t>
          </w:r>
          <w:r>
            <w:rPr>
              <w:rFonts w:hint="eastAsia" w:ascii="宋体" w:hAnsi="宋体" w:eastAsia="宋体" w:cs="宋体"/>
              <w:sz w:val="22"/>
              <w:szCs w:val="22"/>
            </w:rPr>
            <w:tab/>
          </w:r>
          <w:r>
            <w:rPr>
              <w:rFonts w:hint="eastAsia" w:ascii="宋体" w:hAnsi="宋体" w:eastAsia="宋体" w:cs="宋体"/>
              <w:sz w:val="22"/>
              <w:szCs w:val="22"/>
            </w:rPr>
            <w:fldChar w:fldCharType="begin"/>
          </w:r>
          <w:r>
            <w:rPr>
              <w:rFonts w:hint="eastAsia" w:ascii="宋体" w:hAnsi="宋体" w:eastAsia="宋体" w:cs="宋体"/>
              <w:sz w:val="22"/>
              <w:szCs w:val="22"/>
            </w:rPr>
            <w:instrText xml:space="preserve"> PAGEREF _Toc9800 \h </w:instrText>
          </w:r>
          <w:r>
            <w:rPr>
              <w:rFonts w:hint="eastAsia" w:ascii="宋体" w:hAnsi="宋体" w:eastAsia="宋体" w:cs="宋体"/>
              <w:sz w:val="22"/>
              <w:szCs w:val="22"/>
            </w:rPr>
            <w:fldChar w:fldCharType="separate"/>
          </w:r>
          <w:r>
            <w:rPr>
              <w:rFonts w:hint="eastAsia" w:ascii="宋体" w:hAnsi="宋体" w:eastAsia="宋体" w:cs="宋体"/>
              <w:sz w:val="22"/>
              <w:szCs w:val="22"/>
            </w:rPr>
            <w:t>28</w:t>
          </w:r>
          <w:r>
            <w:rPr>
              <w:rFonts w:hint="eastAsia" w:ascii="宋体" w:hAnsi="宋体" w:eastAsia="宋体" w:cs="宋体"/>
              <w:sz w:val="22"/>
              <w:szCs w:val="22"/>
            </w:rPr>
            <w:fldChar w:fldCharType="end"/>
          </w:r>
          <w:r>
            <w:rPr>
              <w:rFonts w:hint="eastAsia" w:ascii="宋体" w:hAnsi="宋体" w:eastAsia="宋体" w:cs="宋体"/>
              <w:sz w:val="22"/>
              <w:szCs w:val="22"/>
              <w:highlight w:val="none"/>
            </w:rPr>
            <w:fldChar w:fldCharType="end"/>
          </w:r>
        </w:p>
        <w:p w14:paraId="34761508">
          <w:pPr>
            <w:pStyle w:val="26"/>
            <w:keepNext w:val="0"/>
            <w:keepLines w:val="0"/>
            <w:pageBreakBefore w:val="0"/>
            <w:widowControl w:val="0"/>
            <w:tabs>
              <w:tab w:val="right" w:leader="dot" w:pos="9639"/>
            </w:tabs>
            <w:kinsoku/>
            <w:wordWrap/>
            <w:overflowPunct/>
            <w:topLinePunct w:val="0"/>
            <w:autoSpaceDE/>
            <w:autoSpaceDN/>
            <w:bidi w:val="0"/>
            <w:adjustRightInd/>
            <w:snapToGrid/>
            <w:spacing w:line="360" w:lineRule="auto"/>
            <w:textAlignment w:val="auto"/>
            <w:rPr>
              <w:rFonts w:hint="eastAsia" w:ascii="宋体" w:hAnsi="宋体" w:eastAsia="宋体" w:cs="宋体"/>
              <w:sz w:val="22"/>
              <w:szCs w:val="22"/>
            </w:rPr>
          </w:pPr>
          <w:r>
            <w:rPr>
              <w:rFonts w:hint="eastAsia" w:ascii="宋体" w:hAnsi="宋体" w:eastAsia="宋体" w:cs="宋体"/>
              <w:sz w:val="22"/>
              <w:szCs w:val="22"/>
              <w:highlight w:val="none"/>
            </w:rPr>
            <w:fldChar w:fldCharType="begin"/>
          </w:r>
          <w:r>
            <w:rPr>
              <w:rFonts w:hint="eastAsia" w:ascii="宋体" w:hAnsi="宋体" w:eastAsia="宋体" w:cs="宋体"/>
              <w:sz w:val="22"/>
              <w:szCs w:val="22"/>
              <w:highlight w:val="none"/>
            </w:rPr>
            <w:instrText xml:space="preserve"> HYPERLINK \l _Toc7832 </w:instrText>
          </w:r>
          <w:r>
            <w:rPr>
              <w:rFonts w:hint="eastAsia" w:ascii="宋体" w:hAnsi="宋体" w:eastAsia="宋体" w:cs="宋体"/>
              <w:sz w:val="22"/>
              <w:szCs w:val="22"/>
              <w:highlight w:val="none"/>
            </w:rPr>
            <w:fldChar w:fldCharType="separate"/>
          </w:r>
          <w:r>
            <w:rPr>
              <w:rFonts w:hint="eastAsia" w:ascii="宋体" w:hAnsi="宋体" w:eastAsia="宋体" w:cs="宋体"/>
              <w:sz w:val="22"/>
              <w:szCs w:val="22"/>
              <w:highlight w:val="none"/>
            </w:rPr>
            <w:t>第五章  合同主要条款</w:t>
          </w:r>
          <w:r>
            <w:rPr>
              <w:rFonts w:hint="eastAsia" w:ascii="宋体" w:hAnsi="宋体" w:eastAsia="宋体" w:cs="宋体"/>
              <w:sz w:val="22"/>
              <w:szCs w:val="22"/>
            </w:rPr>
            <w:tab/>
          </w:r>
          <w:r>
            <w:rPr>
              <w:rFonts w:hint="eastAsia" w:ascii="宋体" w:hAnsi="宋体" w:eastAsia="宋体" w:cs="宋体"/>
              <w:sz w:val="22"/>
              <w:szCs w:val="22"/>
            </w:rPr>
            <w:fldChar w:fldCharType="begin"/>
          </w:r>
          <w:r>
            <w:rPr>
              <w:rFonts w:hint="eastAsia" w:ascii="宋体" w:hAnsi="宋体" w:eastAsia="宋体" w:cs="宋体"/>
              <w:sz w:val="22"/>
              <w:szCs w:val="22"/>
            </w:rPr>
            <w:instrText xml:space="preserve"> PAGEREF _Toc7832 \h </w:instrText>
          </w:r>
          <w:r>
            <w:rPr>
              <w:rFonts w:hint="eastAsia" w:ascii="宋体" w:hAnsi="宋体" w:eastAsia="宋体" w:cs="宋体"/>
              <w:sz w:val="22"/>
              <w:szCs w:val="22"/>
            </w:rPr>
            <w:fldChar w:fldCharType="separate"/>
          </w:r>
          <w:r>
            <w:rPr>
              <w:rFonts w:hint="eastAsia" w:ascii="宋体" w:hAnsi="宋体" w:eastAsia="宋体" w:cs="宋体"/>
              <w:sz w:val="22"/>
              <w:szCs w:val="22"/>
            </w:rPr>
            <w:t>30</w:t>
          </w:r>
          <w:r>
            <w:rPr>
              <w:rFonts w:hint="eastAsia" w:ascii="宋体" w:hAnsi="宋体" w:eastAsia="宋体" w:cs="宋体"/>
              <w:sz w:val="22"/>
              <w:szCs w:val="22"/>
            </w:rPr>
            <w:fldChar w:fldCharType="end"/>
          </w:r>
          <w:r>
            <w:rPr>
              <w:rFonts w:hint="eastAsia" w:ascii="宋体" w:hAnsi="宋体" w:eastAsia="宋体" w:cs="宋体"/>
              <w:sz w:val="22"/>
              <w:szCs w:val="22"/>
              <w:highlight w:val="none"/>
            </w:rPr>
            <w:fldChar w:fldCharType="end"/>
          </w:r>
        </w:p>
        <w:p w14:paraId="0270E75B">
          <w:pPr>
            <w:pStyle w:val="26"/>
            <w:keepNext w:val="0"/>
            <w:keepLines w:val="0"/>
            <w:pageBreakBefore w:val="0"/>
            <w:widowControl w:val="0"/>
            <w:tabs>
              <w:tab w:val="right" w:leader="dot" w:pos="9639"/>
            </w:tabs>
            <w:kinsoku/>
            <w:wordWrap/>
            <w:overflowPunct/>
            <w:topLinePunct w:val="0"/>
            <w:autoSpaceDE/>
            <w:autoSpaceDN/>
            <w:bidi w:val="0"/>
            <w:adjustRightInd/>
            <w:snapToGrid/>
            <w:spacing w:line="360" w:lineRule="auto"/>
            <w:textAlignment w:val="auto"/>
            <w:rPr>
              <w:sz w:val="22"/>
              <w:szCs w:val="22"/>
            </w:rPr>
          </w:pPr>
          <w:r>
            <w:rPr>
              <w:rFonts w:hint="eastAsia" w:ascii="宋体" w:hAnsi="宋体" w:eastAsia="宋体" w:cs="宋体"/>
              <w:sz w:val="22"/>
              <w:szCs w:val="22"/>
              <w:highlight w:val="none"/>
            </w:rPr>
            <w:fldChar w:fldCharType="begin"/>
          </w:r>
          <w:r>
            <w:rPr>
              <w:rFonts w:hint="eastAsia" w:ascii="宋体" w:hAnsi="宋体" w:eastAsia="宋体" w:cs="宋体"/>
              <w:sz w:val="22"/>
              <w:szCs w:val="22"/>
              <w:highlight w:val="none"/>
            </w:rPr>
            <w:instrText xml:space="preserve"> HYPERLINK \l _Toc3583 </w:instrText>
          </w:r>
          <w:r>
            <w:rPr>
              <w:rFonts w:hint="eastAsia" w:ascii="宋体" w:hAnsi="宋体" w:eastAsia="宋体" w:cs="宋体"/>
              <w:sz w:val="22"/>
              <w:szCs w:val="22"/>
              <w:highlight w:val="none"/>
            </w:rPr>
            <w:fldChar w:fldCharType="separate"/>
          </w:r>
          <w:r>
            <w:rPr>
              <w:rFonts w:hint="eastAsia" w:ascii="宋体" w:hAnsi="宋体" w:eastAsia="宋体" w:cs="宋体"/>
              <w:sz w:val="22"/>
              <w:szCs w:val="22"/>
              <w:highlight w:val="none"/>
            </w:rPr>
            <w:t>第六章  投标文件格式</w:t>
          </w:r>
          <w:r>
            <w:rPr>
              <w:rFonts w:hint="eastAsia" w:ascii="宋体" w:hAnsi="宋体" w:eastAsia="宋体" w:cs="宋体"/>
              <w:sz w:val="22"/>
              <w:szCs w:val="22"/>
            </w:rPr>
            <w:tab/>
          </w:r>
          <w:r>
            <w:rPr>
              <w:rFonts w:hint="eastAsia" w:ascii="宋体" w:hAnsi="宋体" w:eastAsia="宋体" w:cs="宋体"/>
              <w:sz w:val="22"/>
              <w:szCs w:val="22"/>
            </w:rPr>
            <w:fldChar w:fldCharType="begin"/>
          </w:r>
          <w:r>
            <w:rPr>
              <w:rFonts w:hint="eastAsia" w:ascii="宋体" w:hAnsi="宋体" w:eastAsia="宋体" w:cs="宋体"/>
              <w:sz w:val="22"/>
              <w:szCs w:val="22"/>
            </w:rPr>
            <w:instrText xml:space="preserve"> PAGEREF _Toc3583 \h </w:instrText>
          </w:r>
          <w:r>
            <w:rPr>
              <w:rFonts w:hint="eastAsia" w:ascii="宋体" w:hAnsi="宋体" w:eastAsia="宋体" w:cs="宋体"/>
              <w:sz w:val="22"/>
              <w:szCs w:val="22"/>
            </w:rPr>
            <w:fldChar w:fldCharType="separate"/>
          </w:r>
          <w:r>
            <w:rPr>
              <w:rFonts w:hint="eastAsia" w:ascii="宋体" w:hAnsi="宋体" w:eastAsia="宋体" w:cs="宋体"/>
              <w:sz w:val="22"/>
              <w:szCs w:val="22"/>
            </w:rPr>
            <w:t>48</w:t>
          </w:r>
          <w:r>
            <w:rPr>
              <w:rFonts w:hint="eastAsia" w:ascii="宋体" w:hAnsi="宋体" w:eastAsia="宋体" w:cs="宋体"/>
              <w:sz w:val="22"/>
              <w:szCs w:val="22"/>
            </w:rPr>
            <w:fldChar w:fldCharType="end"/>
          </w:r>
          <w:r>
            <w:rPr>
              <w:rFonts w:hint="eastAsia" w:ascii="宋体" w:hAnsi="宋体" w:eastAsia="宋体" w:cs="宋体"/>
              <w:sz w:val="22"/>
              <w:szCs w:val="22"/>
              <w:highlight w:val="none"/>
            </w:rPr>
            <w:fldChar w:fldCharType="end"/>
          </w:r>
        </w:p>
        <w:p w14:paraId="3608D0EE">
          <w:pPr>
            <w:keepNext w:val="0"/>
            <w:keepLines w:val="0"/>
            <w:pageBreakBefore w:val="0"/>
            <w:widowControl w:val="0"/>
            <w:kinsoku/>
            <w:wordWrap/>
            <w:overflowPunct/>
            <w:topLinePunct w:val="0"/>
            <w:autoSpaceDE/>
            <w:autoSpaceDN/>
            <w:bidi w:val="0"/>
            <w:adjustRightInd/>
            <w:snapToGrid/>
            <w:spacing w:line="360" w:lineRule="auto"/>
            <w:textAlignment w:val="auto"/>
            <w:rPr>
              <w:highlight w:val="none"/>
            </w:rPr>
          </w:pPr>
          <w:r>
            <w:rPr>
              <w:rFonts w:hint="eastAsia" w:ascii="宋体" w:hAnsi="宋体" w:cs="宋体"/>
              <w:sz w:val="22"/>
              <w:szCs w:val="22"/>
              <w:highlight w:val="none"/>
            </w:rPr>
            <w:fldChar w:fldCharType="end"/>
          </w:r>
        </w:p>
      </w:sdtContent>
    </w:sdt>
    <w:p w14:paraId="5696D92F">
      <w:pPr>
        <w:rPr>
          <w:highlight w:val="none"/>
        </w:rPr>
      </w:pPr>
    </w:p>
    <w:p w14:paraId="58A2ABC4">
      <w:pPr>
        <w:spacing w:line="560" w:lineRule="exact"/>
        <w:ind w:firstLine="472" w:firstLineChars="196"/>
        <w:rPr>
          <w:rFonts w:ascii="宋体" w:hAnsi="宋体"/>
          <w:b/>
          <w:bCs/>
          <w:color w:val="000000"/>
          <w:sz w:val="24"/>
          <w:highlight w:val="none"/>
        </w:rPr>
      </w:pPr>
    </w:p>
    <w:p w14:paraId="09C48F69">
      <w:pPr>
        <w:spacing w:line="560" w:lineRule="exact"/>
        <w:ind w:firstLine="472" w:firstLineChars="196"/>
        <w:rPr>
          <w:rFonts w:ascii="宋体" w:hAnsi="宋体"/>
          <w:b/>
          <w:bCs/>
          <w:color w:val="000000"/>
          <w:sz w:val="24"/>
          <w:highlight w:val="none"/>
        </w:rPr>
      </w:pPr>
    </w:p>
    <w:p w14:paraId="4092999B">
      <w:pPr>
        <w:spacing w:line="560" w:lineRule="exact"/>
        <w:ind w:firstLine="472" w:firstLineChars="196"/>
        <w:rPr>
          <w:rFonts w:ascii="宋体" w:hAnsi="宋体"/>
          <w:b/>
          <w:bCs/>
          <w:color w:val="000000"/>
          <w:sz w:val="24"/>
          <w:highlight w:val="none"/>
        </w:rPr>
      </w:pPr>
    </w:p>
    <w:p w14:paraId="7EE11B12">
      <w:pPr>
        <w:spacing w:line="560" w:lineRule="exact"/>
        <w:ind w:firstLine="472" w:firstLineChars="196"/>
        <w:rPr>
          <w:rFonts w:ascii="宋体" w:hAnsi="宋体"/>
          <w:b/>
          <w:bCs/>
          <w:color w:val="000000"/>
          <w:sz w:val="24"/>
          <w:highlight w:val="none"/>
        </w:rPr>
      </w:pPr>
    </w:p>
    <w:p w14:paraId="748D0D35">
      <w:pPr>
        <w:spacing w:line="560" w:lineRule="exact"/>
        <w:ind w:firstLine="472" w:firstLineChars="196"/>
        <w:rPr>
          <w:rFonts w:ascii="宋体" w:hAnsi="宋体"/>
          <w:b/>
          <w:bCs/>
          <w:color w:val="000000"/>
          <w:sz w:val="24"/>
          <w:highlight w:val="none"/>
        </w:rPr>
      </w:pPr>
    </w:p>
    <w:p w14:paraId="6C48C47C">
      <w:pPr>
        <w:spacing w:line="560" w:lineRule="exact"/>
        <w:ind w:firstLine="472" w:firstLineChars="196"/>
        <w:rPr>
          <w:rFonts w:ascii="宋体" w:hAnsi="宋体"/>
          <w:b/>
          <w:bCs/>
          <w:color w:val="000000"/>
          <w:sz w:val="24"/>
          <w:highlight w:val="none"/>
        </w:rPr>
      </w:pPr>
    </w:p>
    <w:p w14:paraId="30A295DB">
      <w:pPr>
        <w:spacing w:line="560" w:lineRule="exact"/>
        <w:ind w:firstLine="472" w:firstLineChars="196"/>
        <w:rPr>
          <w:rFonts w:ascii="宋体" w:hAnsi="宋体"/>
          <w:b/>
          <w:bCs/>
          <w:color w:val="000000"/>
          <w:sz w:val="24"/>
          <w:highlight w:val="none"/>
        </w:rPr>
      </w:pPr>
    </w:p>
    <w:p w14:paraId="7F35D8A2">
      <w:pPr>
        <w:spacing w:line="560" w:lineRule="exact"/>
        <w:ind w:firstLine="433" w:firstLineChars="196"/>
        <w:rPr>
          <w:rFonts w:ascii="宋体" w:hAnsi="宋体"/>
          <w:b/>
          <w:bCs/>
          <w:color w:val="000000"/>
          <w:sz w:val="24"/>
          <w:highlight w:val="none"/>
        </w:rPr>
      </w:pPr>
      <w:r>
        <w:rPr>
          <w:rFonts w:hint="eastAsia" w:ascii="宋体" w:hAnsi="宋体"/>
          <w:b/>
          <w:bCs/>
          <w:color w:val="000000"/>
          <w:sz w:val="22"/>
          <w:szCs w:val="22"/>
          <w:highlight w:val="none"/>
        </w:rPr>
        <w:t>注：</w:t>
      </w:r>
      <w:r>
        <w:rPr>
          <w:rFonts w:hint="eastAsia" w:ascii="宋体" w:hAnsi="宋体" w:cs="Arial"/>
          <w:b/>
          <w:bCs/>
          <w:color w:val="000000"/>
          <w:sz w:val="22"/>
          <w:szCs w:val="22"/>
          <w:highlight w:val="none"/>
        </w:rPr>
        <w:t>招标文件中部分加“</w:t>
      </w:r>
      <w:r>
        <w:rPr>
          <w:rFonts w:hint="eastAsia" w:hAnsi="宋体"/>
          <w:color w:val="000000"/>
          <w:sz w:val="22"/>
          <w:szCs w:val="22"/>
          <w:highlight w:val="none"/>
        </w:rPr>
        <w:t>★</w:t>
      </w:r>
      <w:r>
        <w:rPr>
          <w:rFonts w:hint="eastAsia" w:ascii="宋体" w:hAnsi="宋体" w:cs="Arial"/>
          <w:b/>
          <w:bCs/>
          <w:color w:val="000000"/>
          <w:sz w:val="22"/>
          <w:szCs w:val="22"/>
          <w:highlight w:val="none"/>
        </w:rPr>
        <w:t>”的条款，为招标的实质性要求和条件，着</w:t>
      </w:r>
      <w:r>
        <w:rPr>
          <w:rFonts w:hint="eastAsia" w:ascii="宋体" w:hAnsi="宋体"/>
          <w:b/>
          <w:bCs/>
          <w:color w:val="000000"/>
          <w:sz w:val="22"/>
          <w:szCs w:val="22"/>
          <w:highlight w:val="none"/>
        </w:rPr>
        <w:t>重提醒各投标人注意，并认真查看招标文件中的每一个条款及要求，因误读招标文件而造成的后果，招标人概不负责。</w:t>
      </w:r>
    </w:p>
    <w:p w14:paraId="227AB305">
      <w:pPr>
        <w:rPr>
          <w:highlight w:val="none"/>
        </w:rPr>
      </w:pPr>
    </w:p>
    <w:p w14:paraId="504D39C1">
      <w:pPr>
        <w:rPr>
          <w:highlight w:val="none"/>
        </w:rPr>
      </w:pPr>
    </w:p>
    <w:p w14:paraId="679E41E5">
      <w:pPr>
        <w:pStyle w:val="23"/>
        <w:rPr>
          <w:highlight w:val="none"/>
        </w:rPr>
        <w:sectPr>
          <w:footerReference r:id="rId5" w:type="default"/>
          <w:pgSz w:w="11907" w:h="16840"/>
          <w:pgMar w:top="1134" w:right="1134" w:bottom="1134" w:left="1134" w:header="964" w:footer="851" w:gutter="0"/>
          <w:pgNumType w:start="1"/>
          <w:cols w:space="720" w:num="1"/>
          <w:docGrid w:type="lines" w:linePitch="312" w:charSpace="0"/>
        </w:sectPr>
      </w:pPr>
      <w:bookmarkStart w:id="2" w:name="_Toc50128367"/>
    </w:p>
    <w:p w14:paraId="541122E4">
      <w:pPr>
        <w:pStyle w:val="23"/>
        <w:rPr>
          <w:highlight w:val="none"/>
        </w:rPr>
      </w:pPr>
      <w:bookmarkStart w:id="3" w:name="_Toc12182"/>
      <w:r>
        <w:rPr>
          <w:rFonts w:hint="eastAsia"/>
          <w:highlight w:val="none"/>
        </w:rPr>
        <w:t>第一章  招标公告</w:t>
      </w:r>
      <w:bookmarkEnd w:id="0"/>
      <w:bookmarkEnd w:id="2"/>
      <w:bookmarkEnd w:id="3"/>
    </w:p>
    <w:p w14:paraId="1F833266">
      <w:pPr>
        <w:snapToGrid w:val="0"/>
        <w:spacing w:line="440" w:lineRule="exact"/>
        <w:ind w:firstLine="440" w:firstLineChars="200"/>
        <w:jc w:val="left"/>
        <w:rPr>
          <w:rFonts w:ascii="宋体" w:hAnsi="宋体" w:cs="宋体"/>
          <w:sz w:val="22"/>
          <w:szCs w:val="22"/>
          <w:highlight w:val="none"/>
          <w:lang w:val="zh-CN"/>
        </w:rPr>
      </w:pPr>
      <w:r>
        <w:rPr>
          <w:rFonts w:hint="eastAsia" w:ascii="宋体" w:hAnsi="宋体" w:cs="宋体"/>
          <w:sz w:val="22"/>
          <w:szCs w:val="22"/>
          <w:highlight w:val="none"/>
          <w:u w:val="single"/>
        </w:rPr>
        <w:t>华信咨询设计研究院有限公司</w:t>
      </w:r>
      <w:r>
        <w:rPr>
          <w:rFonts w:hint="eastAsia" w:ascii="宋体" w:hAnsi="宋体" w:cs="宋体"/>
          <w:sz w:val="22"/>
          <w:szCs w:val="22"/>
          <w:highlight w:val="none"/>
        </w:rPr>
        <w:t>受</w:t>
      </w:r>
      <w:r>
        <w:rPr>
          <w:rFonts w:hint="eastAsia" w:ascii="宋体" w:hAnsi="宋体" w:cs="宋体"/>
          <w:sz w:val="22"/>
          <w:szCs w:val="22"/>
          <w:highlight w:val="none"/>
          <w:u w:val="single"/>
          <w:lang w:val="zh-CN"/>
        </w:rPr>
        <w:t>温州港集团有限公司龙湾港务分公司</w:t>
      </w:r>
      <w:r>
        <w:rPr>
          <w:rFonts w:hint="eastAsia" w:ascii="宋体" w:hAnsi="宋体" w:cs="宋体"/>
          <w:sz w:val="22"/>
          <w:szCs w:val="22"/>
          <w:highlight w:val="none"/>
        </w:rPr>
        <w:t>的委托</w:t>
      </w:r>
      <w:r>
        <w:rPr>
          <w:rFonts w:hint="eastAsia" w:ascii="宋体" w:hAnsi="宋体" w:cs="宋体"/>
          <w:sz w:val="22"/>
          <w:szCs w:val="22"/>
          <w:highlight w:val="none"/>
          <w:lang w:val="zh-CN"/>
        </w:rPr>
        <w:t>，</w:t>
      </w:r>
      <w:r>
        <w:rPr>
          <w:rFonts w:hint="eastAsia" w:ascii="宋体" w:hAnsi="宋体" w:cs="宋体"/>
          <w:sz w:val="22"/>
          <w:szCs w:val="22"/>
          <w:highlight w:val="none"/>
        </w:rPr>
        <w:t>就</w:t>
      </w:r>
      <w:r>
        <w:rPr>
          <w:rFonts w:hint="eastAsia" w:ascii="宋体" w:hAnsi="宋体" w:cs="宋体"/>
          <w:sz w:val="22"/>
          <w:szCs w:val="22"/>
          <w:highlight w:val="none"/>
          <w:u w:val="single"/>
          <w:lang w:val="zh-CN"/>
        </w:rPr>
        <w:t>温州港集团有限公司龙湾港务分公司35吨门机回转支承更换及16吨门机臂架头部铰点维修</w:t>
      </w:r>
      <w:r>
        <w:rPr>
          <w:rFonts w:hint="eastAsia" w:ascii="宋体" w:hAnsi="宋体" w:cs="宋体"/>
          <w:sz w:val="22"/>
          <w:szCs w:val="22"/>
          <w:highlight w:val="none"/>
          <w:lang w:val="zh-CN"/>
        </w:rPr>
        <w:t>进行公开招标，欢迎国内合格的投标人前来投标。</w:t>
      </w:r>
    </w:p>
    <w:p w14:paraId="2B7B04FE">
      <w:pPr>
        <w:snapToGrid w:val="0"/>
        <w:spacing w:line="440" w:lineRule="exact"/>
        <w:ind w:firstLine="440" w:firstLineChars="200"/>
        <w:jc w:val="left"/>
        <w:rPr>
          <w:rFonts w:ascii="宋体" w:hAnsi="宋体" w:cs="宋体"/>
          <w:kern w:val="0"/>
          <w:sz w:val="22"/>
          <w:szCs w:val="22"/>
          <w:highlight w:val="none"/>
        </w:rPr>
      </w:pPr>
      <w:bookmarkStart w:id="4" w:name="_Toc17255"/>
      <w:r>
        <w:rPr>
          <w:rFonts w:hint="eastAsia" w:ascii="宋体" w:hAnsi="宋体" w:cs="宋体"/>
          <w:sz w:val="22"/>
          <w:szCs w:val="22"/>
          <w:highlight w:val="none"/>
        </w:rPr>
        <w:t>一、</w:t>
      </w:r>
      <w:r>
        <w:rPr>
          <w:rFonts w:hint="eastAsia" w:ascii="宋体" w:hAnsi="宋体" w:cs="宋体"/>
          <w:bCs/>
          <w:sz w:val="22"/>
          <w:szCs w:val="22"/>
          <w:highlight w:val="none"/>
        </w:rPr>
        <w:t>项目编号：</w:t>
      </w:r>
      <w:bookmarkEnd w:id="4"/>
      <w:r>
        <w:rPr>
          <w:rFonts w:hint="eastAsia" w:ascii="宋体" w:hAnsi="宋体" w:cs="宋体"/>
          <w:bCs/>
          <w:sz w:val="22"/>
          <w:szCs w:val="22"/>
          <w:highlight w:val="none"/>
        </w:rPr>
        <w:t>LWZHFW2026111</w:t>
      </w:r>
    </w:p>
    <w:p w14:paraId="1FED292C">
      <w:pPr>
        <w:snapToGrid w:val="0"/>
        <w:spacing w:line="440" w:lineRule="exact"/>
        <w:ind w:firstLine="440" w:firstLineChars="200"/>
        <w:jc w:val="left"/>
        <w:rPr>
          <w:rFonts w:ascii="宋体" w:hAnsi="宋体" w:cs="宋体"/>
          <w:sz w:val="22"/>
          <w:szCs w:val="22"/>
          <w:highlight w:val="none"/>
        </w:rPr>
      </w:pPr>
      <w:bookmarkStart w:id="5" w:name="_Toc13425"/>
      <w:r>
        <w:rPr>
          <w:rFonts w:hint="eastAsia" w:ascii="宋体" w:hAnsi="宋体" w:cs="宋体"/>
          <w:bCs/>
          <w:sz w:val="22"/>
          <w:szCs w:val="22"/>
          <w:highlight w:val="none"/>
        </w:rPr>
        <w:t>二、招标</w:t>
      </w:r>
      <w:r>
        <w:rPr>
          <w:rFonts w:hint="eastAsia" w:ascii="宋体" w:hAnsi="宋体" w:cs="宋体"/>
          <w:sz w:val="22"/>
          <w:szCs w:val="22"/>
          <w:highlight w:val="none"/>
        </w:rPr>
        <w:t>方式：公开招标</w:t>
      </w:r>
      <w:bookmarkEnd w:id="5"/>
    </w:p>
    <w:p w14:paraId="13F2C06D">
      <w:pPr>
        <w:snapToGrid w:val="0"/>
        <w:spacing w:line="440" w:lineRule="exact"/>
        <w:ind w:firstLine="440" w:firstLineChars="200"/>
        <w:jc w:val="left"/>
        <w:rPr>
          <w:rFonts w:ascii="宋体" w:hAnsi="宋体" w:cs="宋体"/>
          <w:kern w:val="0"/>
          <w:sz w:val="22"/>
          <w:szCs w:val="22"/>
          <w:highlight w:val="none"/>
          <w:lang w:val="zh-CN"/>
        </w:rPr>
      </w:pPr>
      <w:bookmarkStart w:id="6" w:name="_Toc16225"/>
      <w:r>
        <w:rPr>
          <w:rFonts w:hint="eastAsia" w:ascii="宋体" w:hAnsi="宋体" w:cs="宋体"/>
          <w:sz w:val="22"/>
          <w:szCs w:val="22"/>
          <w:highlight w:val="none"/>
        </w:rPr>
        <w:t>三、项目</w:t>
      </w:r>
      <w:r>
        <w:rPr>
          <w:rFonts w:hint="eastAsia" w:ascii="宋体" w:hAnsi="宋体" w:cs="宋体"/>
          <w:kern w:val="0"/>
          <w:sz w:val="22"/>
          <w:szCs w:val="22"/>
          <w:highlight w:val="none"/>
          <w:lang w:val="zh-CN"/>
        </w:rPr>
        <w:t>名称：</w:t>
      </w:r>
      <w:bookmarkEnd w:id="6"/>
      <w:r>
        <w:rPr>
          <w:rFonts w:hint="eastAsia" w:ascii="宋体" w:hAnsi="宋体" w:cs="宋体"/>
          <w:kern w:val="0"/>
          <w:sz w:val="22"/>
          <w:szCs w:val="22"/>
          <w:highlight w:val="none"/>
          <w:lang w:val="zh-CN"/>
        </w:rPr>
        <w:t>温州港集团有限公司龙湾港务分公司35吨门机回转支承更换及16吨门机臂架头部铰点维修</w:t>
      </w:r>
    </w:p>
    <w:p w14:paraId="4937F3BB">
      <w:pPr>
        <w:snapToGrid w:val="0"/>
        <w:spacing w:line="440" w:lineRule="exact"/>
        <w:ind w:firstLine="440" w:firstLineChars="200"/>
        <w:jc w:val="left"/>
        <w:rPr>
          <w:rFonts w:ascii="宋体" w:hAnsi="宋体" w:cs="宋体"/>
          <w:b/>
          <w:bCs/>
          <w:color w:val="FF0000"/>
          <w:sz w:val="22"/>
          <w:szCs w:val="22"/>
          <w:highlight w:val="none"/>
        </w:rPr>
      </w:pPr>
      <w:bookmarkStart w:id="7" w:name="_Toc2075"/>
      <w:r>
        <w:rPr>
          <w:rFonts w:hint="eastAsia" w:ascii="宋体" w:hAnsi="宋体" w:cs="宋体"/>
          <w:sz w:val="22"/>
          <w:szCs w:val="22"/>
          <w:highlight w:val="none"/>
        </w:rPr>
        <w:t>★四、项目最高限价：55万元（人民币）。</w:t>
      </w:r>
      <w:bookmarkEnd w:id="7"/>
    </w:p>
    <w:p w14:paraId="65A953E0">
      <w:pPr>
        <w:snapToGrid w:val="0"/>
        <w:spacing w:line="440" w:lineRule="exact"/>
        <w:ind w:firstLine="440" w:firstLineChars="200"/>
        <w:jc w:val="left"/>
        <w:rPr>
          <w:rFonts w:ascii="宋体" w:hAnsi="宋体" w:cs="宋体"/>
          <w:bCs/>
          <w:color w:val="000000"/>
          <w:sz w:val="22"/>
          <w:szCs w:val="22"/>
          <w:highlight w:val="none"/>
        </w:rPr>
      </w:pPr>
      <w:bookmarkStart w:id="8" w:name="_Toc9795"/>
      <w:r>
        <w:rPr>
          <w:rFonts w:hint="eastAsia" w:ascii="宋体" w:hAnsi="宋体" w:cs="宋体"/>
          <w:color w:val="000000"/>
          <w:sz w:val="22"/>
          <w:szCs w:val="22"/>
          <w:highlight w:val="none"/>
        </w:rPr>
        <w:t>五、</w:t>
      </w:r>
      <w:r>
        <w:rPr>
          <w:rFonts w:hint="eastAsia" w:ascii="宋体" w:hAnsi="宋体" w:cs="宋体"/>
          <w:bCs/>
          <w:sz w:val="22"/>
          <w:szCs w:val="22"/>
          <w:highlight w:val="none"/>
        </w:rPr>
        <w:t>项目概况、项目工期、</w:t>
      </w:r>
      <w:r>
        <w:rPr>
          <w:rFonts w:ascii="微软雅黑" w:hAnsi="微软雅黑"/>
          <w:color w:val="000000"/>
          <w:szCs w:val="21"/>
          <w:highlight w:val="none"/>
        </w:rPr>
        <w:t>质量要求</w:t>
      </w:r>
      <w:r>
        <w:rPr>
          <w:rFonts w:hint="eastAsia" w:ascii="宋体" w:hAnsi="宋体" w:cs="宋体"/>
          <w:bCs/>
          <w:color w:val="000000"/>
          <w:sz w:val="22"/>
          <w:szCs w:val="22"/>
          <w:highlight w:val="none"/>
        </w:rPr>
        <w:t>：</w:t>
      </w:r>
      <w:bookmarkEnd w:id="8"/>
    </w:p>
    <w:p w14:paraId="1B5D7D2C">
      <w:pPr>
        <w:snapToGrid w:val="0"/>
        <w:spacing w:line="440" w:lineRule="exact"/>
        <w:ind w:firstLine="440" w:firstLineChars="200"/>
        <w:jc w:val="left"/>
        <w:rPr>
          <w:rFonts w:ascii="宋体" w:hAnsi="宋体" w:cs="宋体"/>
          <w:sz w:val="22"/>
          <w:szCs w:val="22"/>
          <w:highlight w:val="none"/>
        </w:rPr>
      </w:pPr>
      <w:r>
        <w:rPr>
          <w:rFonts w:hint="eastAsia" w:ascii="宋体" w:hAnsi="宋体" w:cs="宋体"/>
          <w:sz w:val="22"/>
          <w:szCs w:val="22"/>
          <w:highlight w:val="none"/>
        </w:rPr>
        <w:t>1.项目概况：</w:t>
      </w:r>
    </w:p>
    <w:p w14:paraId="06FDD9F5">
      <w:pPr>
        <w:snapToGrid w:val="0"/>
        <w:spacing w:line="440" w:lineRule="exact"/>
        <w:ind w:firstLine="440" w:firstLineChars="200"/>
        <w:jc w:val="left"/>
        <w:rPr>
          <w:rFonts w:ascii="宋体" w:hAnsi="宋体" w:cs="宋体"/>
          <w:sz w:val="22"/>
          <w:szCs w:val="22"/>
          <w:highlight w:val="none"/>
        </w:rPr>
      </w:pPr>
      <w:r>
        <w:rPr>
          <w:rFonts w:hint="eastAsia" w:ascii="宋体" w:hAnsi="宋体" w:cs="宋体"/>
          <w:sz w:val="22"/>
          <w:szCs w:val="22"/>
          <w:highlight w:val="none"/>
        </w:rPr>
        <w:t>本项目为温州港集团有限公司龙湾港务分公司35吨1号门座式起重机（以下简称35吨门机）回转支承更换以及16吨8号门座式起重机（以下简称16吨门机）臂架头部铰点维修，需对35吨门机回转支承进行更换，具体工作内容包括但不限于：门机回转支承及连接螺栓的拆卸与更换、回转减速箱的拆除与安装、现场清理及与回转支承更换有关的其它工作；需对16吨门机大臂与象鼻梁的铰点（以下简称臂架头部铰点）进行维修，更换铰点处轴、轴承、轴套及其相关部件。（详见招标文件第二章招标需求）</w:t>
      </w:r>
    </w:p>
    <w:p w14:paraId="2A054495">
      <w:pPr>
        <w:adjustRightInd w:val="0"/>
        <w:spacing w:line="440" w:lineRule="exact"/>
        <w:ind w:firstLine="440" w:firstLineChars="200"/>
        <w:jc w:val="left"/>
        <w:rPr>
          <w:rFonts w:ascii="宋体" w:hAnsi="宋体" w:cs="宋体"/>
          <w:sz w:val="22"/>
          <w:szCs w:val="22"/>
          <w:highlight w:val="none"/>
        </w:rPr>
      </w:pPr>
      <w:r>
        <w:rPr>
          <w:rFonts w:hint="eastAsia" w:ascii="宋体" w:hAnsi="宋体" w:cs="宋体"/>
          <w:sz w:val="22"/>
          <w:szCs w:val="22"/>
          <w:highlight w:val="none"/>
        </w:rPr>
        <w:t>2.项目工期：①35吨门机回转支承需在合同签订后60日历天内完成到港并验收通过。②两台设备现场维修工期为：接到招标人书面通知之日起30日历天内完成安装调试并通过招标人验收。</w:t>
      </w:r>
    </w:p>
    <w:p w14:paraId="40D46C6D">
      <w:pPr>
        <w:adjustRightInd w:val="0"/>
        <w:spacing w:line="440" w:lineRule="exact"/>
        <w:ind w:firstLine="440" w:firstLineChars="200"/>
        <w:jc w:val="left"/>
        <w:rPr>
          <w:rFonts w:ascii="宋体" w:hAnsi="宋体" w:cs="宋体"/>
          <w:sz w:val="22"/>
          <w:szCs w:val="22"/>
          <w:highlight w:val="none"/>
        </w:rPr>
      </w:pPr>
      <w:r>
        <w:rPr>
          <w:rFonts w:hint="eastAsia" w:ascii="宋体" w:hAnsi="宋体" w:cs="宋体"/>
          <w:sz w:val="22"/>
          <w:szCs w:val="22"/>
          <w:highlight w:val="none"/>
        </w:rPr>
        <w:t>3.质量要求：相关质量验收规范合格标准，并符合招标文件中技术要求、国家现行的相关规范标准及有关部门最新颁布的相应的最新标准；项目确保按规范和标准验收，且达国家合格标准，须确保通过相关部门验收。</w:t>
      </w:r>
    </w:p>
    <w:p w14:paraId="1F825469">
      <w:pPr>
        <w:adjustRightInd w:val="0"/>
        <w:spacing w:line="440" w:lineRule="exact"/>
        <w:ind w:firstLine="440" w:firstLineChars="200"/>
        <w:jc w:val="left"/>
        <w:rPr>
          <w:rFonts w:ascii="宋体" w:hAnsi="宋体" w:cs="宋体"/>
          <w:sz w:val="22"/>
          <w:szCs w:val="22"/>
          <w:highlight w:val="none"/>
        </w:rPr>
      </w:pPr>
      <w:r>
        <w:rPr>
          <w:rFonts w:hint="eastAsia" w:ascii="宋体" w:hAnsi="宋体" w:cs="宋体"/>
          <w:sz w:val="22"/>
          <w:szCs w:val="22"/>
          <w:highlight w:val="none"/>
        </w:rPr>
        <w:t>验收执行标准：国家或行业最新标准、招标文件各项要求、投标文件投标承诺所达到的各项要求（招标文件、投标文件、国家或行业标准(略)以最高标准执行）</w:t>
      </w:r>
    </w:p>
    <w:p w14:paraId="0AC4F637">
      <w:pPr>
        <w:spacing w:line="440" w:lineRule="exact"/>
        <w:ind w:firstLine="440" w:firstLineChars="200"/>
        <w:jc w:val="left"/>
        <w:rPr>
          <w:rFonts w:ascii="宋体" w:hAnsi="宋体" w:cs="宋体"/>
          <w:sz w:val="22"/>
          <w:szCs w:val="22"/>
          <w:highlight w:val="none"/>
        </w:rPr>
      </w:pPr>
      <w:bookmarkStart w:id="9" w:name="_Toc1015"/>
      <w:r>
        <w:rPr>
          <w:rFonts w:hint="eastAsia" w:ascii="宋体" w:hAnsi="宋体" w:cs="宋体"/>
          <w:color w:val="000000"/>
          <w:sz w:val="22"/>
          <w:szCs w:val="22"/>
          <w:highlight w:val="none"/>
        </w:rPr>
        <w:t>★</w:t>
      </w:r>
      <w:r>
        <w:rPr>
          <w:rFonts w:hint="eastAsia" w:ascii="宋体" w:hAnsi="宋体" w:cs="宋体"/>
          <w:b/>
          <w:bCs/>
          <w:sz w:val="22"/>
          <w:szCs w:val="22"/>
          <w:highlight w:val="none"/>
        </w:rPr>
        <w:t>六、合格投标人的资格要求</w:t>
      </w:r>
      <w:r>
        <w:rPr>
          <w:rFonts w:hint="eastAsia" w:ascii="宋体" w:hAnsi="宋体" w:cs="宋体"/>
          <w:b/>
          <w:sz w:val="22"/>
          <w:szCs w:val="22"/>
          <w:highlight w:val="none"/>
        </w:rPr>
        <w:t>：</w:t>
      </w:r>
      <w:bookmarkEnd w:id="9"/>
    </w:p>
    <w:p w14:paraId="06D6C89C">
      <w:pPr>
        <w:snapToGrid w:val="0"/>
        <w:spacing w:line="440" w:lineRule="exact"/>
        <w:ind w:firstLine="440" w:firstLineChars="200"/>
        <w:jc w:val="left"/>
        <w:rPr>
          <w:rFonts w:ascii="宋体" w:hAnsi="宋体" w:cs="宋体"/>
          <w:sz w:val="22"/>
          <w:szCs w:val="22"/>
          <w:highlight w:val="none"/>
        </w:rPr>
      </w:pPr>
      <w:r>
        <w:rPr>
          <w:rFonts w:hint="eastAsia" w:ascii="宋体" w:hAnsi="宋体" w:cs="宋体"/>
          <w:sz w:val="22"/>
          <w:szCs w:val="22"/>
          <w:highlight w:val="none"/>
        </w:rPr>
        <w:t>（一）投标人的一般条件：</w:t>
      </w:r>
    </w:p>
    <w:p w14:paraId="48E36344">
      <w:pPr>
        <w:snapToGrid w:val="0"/>
        <w:spacing w:line="440" w:lineRule="exact"/>
        <w:ind w:firstLine="440" w:firstLineChars="200"/>
        <w:jc w:val="left"/>
        <w:rPr>
          <w:rFonts w:ascii="宋体" w:hAnsi="宋体" w:cs="宋体"/>
          <w:sz w:val="22"/>
          <w:szCs w:val="22"/>
          <w:highlight w:val="none"/>
        </w:rPr>
      </w:pPr>
      <w:r>
        <w:rPr>
          <w:rFonts w:hint="eastAsia" w:ascii="宋体" w:hAnsi="宋体" w:cs="宋体"/>
          <w:sz w:val="22"/>
          <w:szCs w:val="22"/>
          <w:highlight w:val="none"/>
        </w:rPr>
        <w:t>1.具有独立承担民事责任的能力；</w:t>
      </w:r>
    </w:p>
    <w:p w14:paraId="3E9F7AAB">
      <w:pPr>
        <w:snapToGrid w:val="0"/>
        <w:spacing w:line="440" w:lineRule="exact"/>
        <w:ind w:firstLine="440" w:firstLineChars="200"/>
        <w:jc w:val="left"/>
        <w:rPr>
          <w:rFonts w:ascii="宋体" w:hAnsi="宋体" w:cs="宋体"/>
          <w:sz w:val="22"/>
          <w:szCs w:val="22"/>
          <w:highlight w:val="none"/>
        </w:rPr>
      </w:pPr>
      <w:r>
        <w:rPr>
          <w:rFonts w:hint="eastAsia" w:ascii="宋体" w:hAnsi="宋体" w:cs="宋体"/>
          <w:sz w:val="22"/>
          <w:szCs w:val="22"/>
          <w:highlight w:val="none"/>
        </w:rPr>
        <w:t>2.具有履行合同所必需的能力；</w:t>
      </w:r>
    </w:p>
    <w:p w14:paraId="538CE5F9">
      <w:pPr>
        <w:snapToGrid w:val="0"/>
        <w:spacing w:line="440" w:lineRule="exact"/>
        <w:ind w:firstLine="440" w:firstLineChars="200"/>
        <w:jc w:val="left"/>
        <w:rPr>
          <w:rFonts w:ascii="宋体" w:hAnsi="宋体" w:cs="宋体"/>
          <w:sz w:val="22"/>
          <w:szCs w:val="22"/>
          <w:highlight w:val="none"/>
        </w:rPr>
      </w:pPr>
      <w:r>
        <w:rPr>
          <w:rFonts w:hint="eastAsia" w:ascii="宋体" w:hAnsi="宋体" w:cs="宋体"/>
          <w:sz w:val="22"/>
          <w:szCs w:val="22"/>
          <w:highlight w:val="none"/>
        </w:rPr>
        <w:t>3.具有良好的信誉和健全的财务会计制度；</w:t>
      </w:r>
    </w:p>
    <w:p w14:paraId="13AA5F04">
      <w:pPr>
        <w:wordWrap w:val="0"/>
        <w:snapToGrid w:val="0"/>
        <w:spacing w:line="440" w:lineRule="exact"/>
        <w:ind w:firstLine="440" w:firstLineChars="200"/>
        <w:jc w:val="left"/>
        <w:rPr>
          <w:rFonts w:ascii="宋体" w:hAnsi="宋体" w:cs="宋体"/>
          <w:sz w:val="22"/>
          <w:szCs w:val="22"/>
          <w:highlight w:val="none"/>
        </w:rPr>
      </w:pPr>
      <w:r>
        <w:rPr>
          <w:rFonts w:hint="eastAsia" w:ascii="宋体" w:hAnsi="宋体" w:cs="宋体"/>
          <w:sz w:val="22"/>
          <w:szCs w:val="22"/>
          <w:highlight w:val="none"/>
        </w:rPr>
        <w:t>4. 投标人未被列入失信被执行人名单、重大税收违法案件当事人名单、政府采购严重违法失信行为记录名单、安全生产严重失信主体名单，信用信息以信用中国网站（www.creditchina.gov.cn）、中国政府采购网（www.ccgp.gov.cn）、应急管理部（https://zwfw.mem.gov.cn/zwthlw/pages/hlwmh/yyfw/qyaqscxycx/qyaqscxycx_index.html）公布为准。（须提供网站查询截图并加盖单位公章）</w:t>
      </w:r>
    </w:p>
    <w:p w14:paraId="5EF490DD">
      <w:pPr>
        <w:snapToGrid w:val="0"/>
        <w:spacing w:line="440" w:lineRule="exact"/>
        <w:ind w:firstLine="440" w:firstLineChars="200"/>
        <w:jc w:val="left"/>
        <w:rPr>
          <w:rFonts w:ascii="宋体" w:hAnsi="宋体" w:cs="宋体"/>
          <w:sz w:val="22"/>
          <w:szCs w:val="22"/>
          <w:highlight w:val="none"/>
        </w:rPr>
      </w:pPr>
      <w:r>
        <w:rPr>
          <w:rFonts w:hint="eastAsia" w:ascii="宋体" w:hAnsi="宋体" w:cs="宋体"/>
          <w:sz w:val="22"/>
          <w:szCs w:val="22"/>
          <w:highlight w:val="none"/>
        </w:rPr>
        <w:t>5.单位负责人为同一人或者存在控股、管理关系的不同单位，不得参加同一标段投标，否则均按否决投标处理。</w:t>
      </w:r>
    </w:p>
    <w:p w14:paraId="072F9AA4">
      <w:pPr>
        <w:snapToGrid w:val="0"/>
        <w:spacing w:line="440" w:lineRule="exact"/>
        <w:ind w:firstLine="440" w:firstLineChars="200"/>
        <w:jc w:val="left"/>
        <w:rPr>
          <w:rFonts w:ascii="宋体" w:hAnsi="宋体" w:cs="宋体"/>
          <w:sz w:val="22"/>
          <w:szCs w:val="22"/>
          <w:highlight w:val="none"/>
        </w:rPr>
      </w:pPr>
      <w:r>
        <w:rPr>
          <w:rFonts w:hint="eastAsia" w:ascii="宋体" w:hAnsi="宋体" w:cs="宋体"/>
          <w:sz w:val="22"/>
          <w:szCs w:val="22"/>
          <w:highlight w:val="none"/>
        </w:rPr>
        <w:t>（二）投标人的特定条件：</w:t>
      </w:r>
    </w:p>
    <w:p w14:paraId="09A30F99">
      <w:pPr>
        <w:snapToGrid w:val="0"/>
        <w:spacing w:line="440" w:lineRule="exact"/>
        <w:ind w:firstLine="440" w:firstLineChars="200"/>
        <w:jc w:val="left"/>
        <w:rPr>
          <w:rFonts w:ascii="宋体" w:hAnsi="宋体" w:cs="宋体"/>
          <w:sz w:val="22"/>
          <w:szCs w:val="22"/>
          <w:highlight w:val="none"/>
        </w:rPr>
      </w:pPr>
      <w:r>
        <w:rPr>
          <w:rFonts w:hint="eastAsia" w:ascii="宋体" w:hAnsi="宋体" w:cs="宋体"/>
          <w:sz w:val="22"/>
          <w:szCs w:val="22"/>
          <w:highlight w:val="none"/>
        </w:rPr>
        <w:t>1.投标人具有有效的《中华人民共和国特种设备生产许可证》，许可项目为起重机械安装（含修理），许可子项目含门座式起重机(须提供证书复印件并加盖单位公章)或具有有效的《中华人民共和国特种设备安装改造维修许可证（起重机械）》，类型为门座式起重机，施工类别含维修(须提供证书复印件并加盖单位公章)；</w:t>
      </w:r>
    </w:p>
    <w:p w14:paraId="0DE8EF8C">
      <w:pPr>
        <w:snapToGrid w:val="0"/>
        <w:spacing w:line="440" w:lineRule="exact"/>
        <w:ind w:firstLine="440" w:firstLineChars="200"/>
        <w:jc w:val="left"/>
        <w:rPr>
          <w:rFonts w:ascii="宋体" w:hAnsi="宋体" w:cs="宋体"/>
          <w:sz w:val="22"/>
          <w:szCs w:val="22"/>
          <w:highlight w:val="none"/>
        </w:rPr>
      </w:pPr>
      <w:r>
        <w:rPr>
          <w:rFonts w:hint="eastAsia" w:ascii="宋体" w:hAnsi="宋体" w:cs="宋体"/>
          <w:sz w:val="22"/>
          <w:szCs w:val="22"/>
          <w:highlight w:val="none"/>
        </w:rPr>
        <w:t>2.单位规模20人及以上（须提供社保证明材料并加盖单位公章）；</w:t>
      </w:r>
    </w:p>
    <w:p w14:paraId="56E3CFF0">
      <w:pPr>
        <w:snapToGrid w:val="0"/>
        <w:spacing w:line="440" w:lineRule="exact"/>
        <w:ind w:firstLine="440" w:firstLineChars="200"/>
        <w:jc w:val="left"/>
        <w:rPr>
          <w:rStyle w:val="37"/>
          <w:kern w:val="0"/>
          <w:highlight w:val="none"/>
        </w:rPr>
      </w:pPr>
      <w:r>
        <w:rPr>
          <w:rFonts w:hint="eastAsia" w:ascii="宋体" w:hAnsi="宋体" w:cs="宋体"/>
          <w:sz w:val="22"/>
          <w:szCs w:val="22"/>
          <w:highlight w:val="none"/>
        </w:rPr>
        <w:t>3.具有3年及以上“门座式起重机回转支承更换或维修”业绩（即合同签订时间在2023年4月1日以前，须提供合同复印件并加盖单位公章）；</w:t>
      </w:r>
    </w:p>
    <w:p w14:paraId="65BF4AD8">
      <w:pPr>
        <w:snapToGrid w:val="0"/>
        <w:spacing w:line="440" w:lineRule="exact"/>
        <w:ind w:firstLine="440" w:firstLineChars="200"/>
        <w:jc w:val="left"/>
        <w:rPr>
          <w:rFonts w:ascii="宋体" w:hAnsi="宋体" w:cs="宋体"/>
          <w:sz w:val="22"/>
          <w:szCs w:val="22"/>
          <w:highlight w:val="none"/>
        </w:rPr>
      </w:pPr>
      <w:r>
        <w:rPr>
          <w:rFonts w:hint="eastAsia" w:ascii="宋体" w:hAnsi="宋体" w:cs="宋体"/>
          <w:sz w:val="22"/>
          <w:szCs w:val="22"/>
          <w:highlight w:val="none"/>
        </w:rPr>
        <w:t>4.近3年内投标人所承担业务范围内无1人死亡及以上安全生产责任事故（含劳务外包人员）（需提供承诺函）；</w:t>
      </w:r>
    </w:p>
    <w:p w14:paraId="3D725FF7">
      <w:pPr>
        <w:snapToGrid w:val="0"/>
        <w:spacing w:line="440" w:lineRule="exact"/>
        <w:ind w:firstLine="440" w:firstLineChars="200"/>
        <w:jc w:val="left"/>
        <w:rPr>
          <w:rFonts w:ascii="宋体" w:hAnsi="宋体" w:cs="宋体"/>
          <w:sz w:val="22"/>
          <w:szCs w:val="22"/>
          <w:highlight w:val="none"/>
        </w:rPr>
      </w:pPr>
      <w:r>
        <w:rPr>
          <w:rFonts w:ascii="宋体" w:hAnsi="宋体" w:cs="宋体"/>
          <w:sz w:val="22"/>
          <w:szCs w:val="22"/>
          <w:highlight w:val="none"/>
        </w:rPr>
        <w:t>5</w:t>
      </w:r>
      <w:r>
        <w:rPr>
          <w:rFonts w:hint="eastAsia" w:ascii="宋体" w:hAnsi="宋体" w:cs="宋体"/>
          <w:sz w:val="22"/>
          <w:szCs w:val="22"/>
          <w:highlight w:val="none"/>
        </w:rPr>
        <w:t>.本项目不允许联合体投标和分包转包，本次招标采用资格后审。</w:t>
      </w:r>
    </w:p>
    <w:p w14:paraId="6BDB087D">
      <w:pPr>
        <w:snapToGrid w:val="0"/>
        <w:spacing w:line="440" w:lineRule="exact"/>
        <w:ind w:firstLine="442" w:firstLineChars="200"/>
        <w:jc w:val="left"/>
        <w:rPr>
          <w:rFonts w:ascii="宋体" w:hAnsi="宋体" w:cs="宋体"/>
          <w:b/>
          <w:color w:val="000000"/>
          <w:sz w:val="22"/>
          <w:szCs w:val="22"/>
          <w:highlight w:val="none"/>
        </w:rPr>
      </w:pPr>
      <w:bookmarkStart w:id="10" w:name="_Toc7877"/>
      <w:bookmarkStart w:id="11" w:name="_Toc50128368"/>
      <w:r>
        <w:rPr>
          <w:rFonts w:hint="eastAsia" w:ascii="宋体" w:hAnsi="宋体" w:cs="宋体"/>
          <w:b/>
          <w:color w:val="000000"/>
          <w:sz w:val="22"/>
          <w:szCs w:val="22"/>
          <w:highlight w:val="none"/>
        </w:rPr>
        <w:t>七、招标文件的获取</w:t>
      </w:r>
      <w:bookmarkEnd w:id="10"/>
    </w:p>
    <w:p w14:paraId="630D4C37">
      <w:pPr>
        <w:widowControl/>
        <w:snapToGrid w:val="0"/>
        <w:spacing w:line="440" w:lineRule="exact"/>
        <w:ind w:firstLine="440" w:firstLineChars="200"/>
        <w:jc w:val="left"/>
        <w:rPr>
          <w:rFonts w:ascii="宋体" w:hAnsi="宋体" w:cs="宋体"/>
          <w:sz w:val="22"/>
          <w:szCs w:val="22"/>
          <w:highlight w:val="none"/>
        </w:rPr>
      </w:pPr>
      <w:r>
        <w:rPr>
          <w:rFonts w:hint="eastAsia" w:ascii="宋体" w:hAnsi="宋体" w:cs="宋体"/>
          <w:kern w:val="0"/>
          <w:sz w:val="22"/>
          <w:szCs w:val="22"/>
          <w:highlight w:val="none"/>
        </w:rPr>
        <w:t>1.本项目采用电子招标投标方式，投标人可访问浙江省海港集团电子招标采购平台，从浙江省海港集团、宁波舟山港集团网站（http://www.zjseaport.com/jtww/）进入阳光工程-电子招标采购平台后进行供应商注册，并下载“浙江海港投标管家”。本项目招标文件和补充（答疑、澄清）、修改文件均通过“浙江海港投标管家”免费下载。</w:t>
      </w:r>
    </w:p>
    <w:p w14:paraId="71FD611F">
      <w:pPr>
        <w:widowControl/>
        <w:snapToGrid w:val="0"/>
        <w:spacing w:line="440" w:lineRule="exact"/>
        <w:ind w:firstLine="440" w:firstLineChars="200"/>
        <w:jc w:val="left"/>
        <w:rPr>
          <w:rFonts w:ascii="宋体" w:hAnsi="宋体" w:cs="宋体"/>
          <w:sz w:val="22"/>
          <w:szCs w:val="22"/>
          <w:highlight w:val="none"/>
        </w:rPr>
      </w:pPr>
      <w:r>
        <w:rPr>
          <w:rFonts w:hint="eastAsia" w:ascii="宋体" w:hAnsi="宋体" w:cs="宋体"/>
          <w:kern w:val="0"/>
          <w:sz w:val="22"/>
          <w:szCs w:val="22"/>
          <w:highlight w:val="none"/>
        </w:rPr>
        <w:t>2.招标文件下载时间：</w:t>
      </w:r>
      <w:r>
        <w:rPr>
          <w:rFonts w:hint="eastAsia" w:ascii="宋体" w:hAnsi="宋体" w:cs="宋体"/>
          <w:color w:val="000000"/>
          <w:kern w:val="0"/>
          <w:sz w:val="22"/>
          <w:szCs w:val="22"/>
          <w:highlight w:val="none"/>
        </w:rPr>
        <w:t>2026年  月  日8:30至2026年  月  日17:00时。</w:t>
      </w:r>
    </w:p>
    <w:p w14:paraId="1E284728">
      <w:pPr>
        <w:widowControl/>
        <w:snapToGrid w:val="0"/>
        <w:spacing w:line="440" w:lineRule="exact"/>
        <w:ind w:firstLine="440" w:firstLineChars="200"/>
        <w:jc w:val="left"/>
        <w:rPr>
          <w:rFonts w:ascii="宋体" w:hAnsi="宋体" w:cs="宋体"/>
          <w:kern w:val="0"/>
          <w:sz w:val="22"/>
          <w:szCs w:val="22"/>
          <w:highlight w:val="none"/>
        </w:rPr>
      </w:pPr>
      <w:r>
        <w:rPr>
          <w:rFonts w:hint="eastAsia" w:ascii="宋体" w:hAnsi="宋体" w:cs="宋体"/>
          <w:kern w:val="0"/>
          <w:sz w:val="22"/>
          <w:szCs w:val="22"/>
          <w:highlight w:val="none"/>
        </w:rPr>
        <w:t>3.未取得浙江省海港集团电子招标采购平台数字证书的投标人，投标前应先办理浙江省海港集团电子招标采购平台CA数字证书，具体办理指南及下载链接请至浙江省海港集团电子招标采购平台进行查看。</w:t>
      </w:r>
    </w:p>
    <w:p w14:paraId="4595FC47">
      <w:pPr>
        <w:snapToGrid w:val="0"/>
        <w:spacing w:line="440" w:lineRule="exact"/>
        <w:ind w:firstLine="442" w:firstLineChars="200"/>
        <w:jc w:val="left"/>
        <w:rPr>
          <w:rFonts w:ascii="宋体" w:hAnsi="宋体" w:cs="宋体"/>
          <w:b/>
          <w:color w:val="000000"/>
          <w:sz w:val="22"/>
          <w:szCs w:val="22"/>
          <w:highlight w:val="none"/>
        </w:rPr>
      </w:pPr>
      <w:bookmarkStart w:id="12" w:name="_Toc23882"/>
      <w:r>
        <w:rPr>
          <w:rFonts w:hint="eastAsia" w:ascii="宋体" w:hAnsi="宋体" w:cs="宋体"/>
          <w:b/>
          <w:color w:val="000000"/>
          <w:sz w:val="22"/>
          <w:szCs w:val="22"/>
          <w:highlight w:val="none"/>
        </w:rPr>
        <w:t>八、投标保证金</w:t>
      </w:r>
      <w:bookmarkEnd w:id="12"/>
    </w:p>
    <w:p w14:paraId="3A90793E">
      <w:pPr>
        <w:widowControl/>
        <w:spacing w:line="440" w:lineRule="exact"/>
        <w:ind w:firstLine="440" w:firstLineChars="200"/>
        <w:jc w:val="left"/>
        <w:rPr>
          <w:rFonts w:ascii="宋体" w:hAnsi="宋体" w:cs="宋体"/>
          <w:sz w:val="22"/>
          <w:szCs w:val="22"/>
          <w:highlight w:val="none"/>
        </w:rPr>
      </w:pPr>
      <w:r>
        <w:rPr>
          <w:rFonts w:hint="eastAsia" w:ascii="宋体" w:hAnsi="宋体" w:cs="宋体"/>
          <w:color w:val="000000"/>
          <w:kern w:val="0"/>
          <w:sz w:val="22"/>
          <w:szCs w:val="22"/>
          <w:highlight w:val="none"/>
        </w:rPr>
        <w:t>1.</w:t>
      </w:r>
      <w:r>
        <w:rPr>
          <w:rFonts w:hint="eastAsia" w:ascii="宋体" w:hAnsi="宋体" w:cs="宋体"/>
          <w:kern w:val="0"/>
          <w:sz w:val="22"/>
          <w:szCs w:val="22"/>
          <w:highlight w:val="none"/>
        </w:rPr>
        <w:t>金额：</w:t>
      </w:r>
      <w:r>
        <w:rPr>
          <w:rFonts w:hint="eastAsia" w:ascii="宋体" w:hAnsi="宋体" w:cs="宋体"/>
          <w:b/>
          <w:bCs/>
          <w:kern w:val="0"/>
          <w:sz w:val="22"/>
          <w:szCs w:val="22"/>
          <w:highlight w:val="none"/>
        </w:rPr>
        <w:t>人民币壹万壹仟元整（小写：¥11000.00）。</w:t>
      </w:r>
    </w:p>
    <w:p w14:paraId="75862758">
      <w:pPr>
        <w:widowControl/>
        <w:spacing w:line="440" w:lineRule="exact"/>
        <w:ind w:firstLine="440" w:firstLineChars="200"/>
        <w:jc w:val="left"/>
        <w:rPr>
          <w:rFonts w:ascii="宋体" w:hAnsi="宋体" w:cs="宋体"/>
          <w:color w:val="000000"/>
          <w:kern w:val="0"/>
          <w:sz w:val="22"/>
          <w:szCs w:val="22"/>
          <w:highlight w:val="none"/>
        </w:rPr>
      </w:pPr>
      <w:r>
        <w:rPr>
          <w:rFonts w:hint="eastAsia" w:ascii="宋体" w:hAnsi="宋体" w:cs="宋体"/>
          <w:color w:val="000000"/>
          <w:kern w:val="0"/>
          <w:sz w:val="22"/>
          <w:szCs w:val="22"/>
          <w:highlight w:val="none"/>
        </w:rPr>
        <w:t>2.投标人应于2026年  月  日12:00前通过浙江省海港集团电子招标采购平台汇入指定账户。</w:t>
      </w:r>
    </w:p>
    <w:p w14:paraId="2FABC00D">
      <w:pPr>
        <w:widowControl/>
        <w:spacing w:line="440" w:lineRule="exact"/>
        <w:ind w:firstLine="440" w:firstLineChars="200"/>
        <w:jc w:val="left"/>
        <w:rPr>
          <w:rFonts w:ascii="宋体" w:hAnsi="宋体" w:cs="宋体"/>
          <w:color w:val="000000"/>
          <w:kern w:val="0"/>
          <w:sz w:val="22"/>
          <w:szCs w:val="22"/>
          <w:highlight w:val="none"/>
        </w:rPr>
      </w:pPr>
      <w:r>
        <w:rPr>
          <w:rFonts w:hint="eastAsia" w:ascii="宋体" w:hAnsi="宋体" w:cs="宋体"/>
          <w:color w:val="000000"/>
          <w:kern w:val="0"/>
          <w:sz w:val="22"/>
          <w:szCs w:val="22"/>
          <w:highlight w:val="none"/>
        </w:rPr>
        <w:t>3.投标保证金应通过</w:t>
      </w:r>
      <w:r>
        <w:rPr>
          <w:rFonts w:hint="eastAsia" w:ascii="宋体" w:hAnsi="宋体" w:cs="宋体"/>
          <w:b/>
          <w:bCs/>
          <w:color w:val="000000"/>
          <w:kern w:val="0"/>
          <w:sz w:val="22"/>
          <w:szCs w:val="22"/>
          <w:highlight w:val="none"/>
        </w:rPr>
        <w:t>投标单位银行基本账户</w:t>
      </w:r>
      <w:r>
        <w:rPr>
          <w:rFonts w:hint="eastAsia" w:ascii="宋体" w:hAnsi="宋体" w:cs="宋体"/>
          <w:color w:val="000000"/>
          <w:kern w:val="0"/>
          <w:sz w:val="22"/>
          <w:szCs w:val="22"/>
          <w:highlight w:val="none"/>
        </w:rPr>
        <w:t>汇入，否则视为投标保证金无效。</w:t>
      </w:r>
    </w:p>
    <w:p w14:paraId="44EAFBFC">
      <w:pPr>
        <w:snapToGrid w:val="0"/>
        <w:spacing w:line="440" w:lineRule="exact"/>
        <w:ind w:firstLine="442" w:firstLineChars="200"/>
        <w:jc w:val="left"/>
        <w:rPr>
          <w:rFonts w:ascii="宋体" w:hAnsi="宋体" w:cs="宋体"/>
          <w:b/>
          <w:color w:val="000000"/>
          <w:sz w:val="22"/>
          <w:szCs w:val="22"/>
          <w:highlight w:val="none"/>
        </w:rPr>
      </w:pPr>
      <w:bookmarkStart w:id="13" w:name="_Toc13534"/>
      <w:r>
        <w:rPr>
          <w:rFonts w:hint="eastAsia" w:ascii="宋体" w:hAnsi="宋体" w:cs="宋体"/>
          <w:b/>
          <w:color w:val="000000"/>
          <w:sz w:val="22"/>
          <w:szCs w:val="22"/>
          <w:highlight w:val="none"/>
        </w:rPr>
        <w:t>九、投标截止时间和地点</w:t>
      </w:r>
      <w:bookmarkEnd w:id="13"/>
    </w:p>
    <w:p w14:paraId="17E56C12">
      <w:pPr>
        <w:widowControl/>
        <w:snapToGrid w:val="0"/>
        <w:spacing w:line="440" w:lineRule="exact"/>
        <w:ind w:firstLine="442" w:firstLineChars="200"/>
        <w:jc w:val="left"/>
        <w:rPr>
          <w:rFonts w:ascii="宋体" w:hAnsi="宋体" w:cs="宋体"/>
          <w:sz w:val="22"/>
          <w:szCs w:val="22"/>
          <w:highlight w:val="none"/>
        </w:rPr>
      </w:pPr>
      <w:r>
        <w:rPr>
          <w:rFonts w:hint="eastAsia" w:ascii="宋体" w:hAnsi="宋体" w:cs="宋体"/>
          <w:b/>
          <w:bCs/>
          <w:kern w:val="0"/>
          <w:sz w:val="22"/>
          <w:szCs w:val="22"/>
          <w:highlight w:val="none"/>
        </w:rPr>
        <w:t>1.投标文件递交截止时间：2026年  月  日</w:t>
      </w:r>
      <w:r>
        <w:rPr>
          <w:rFonts w:hint="eastAsia" w:ascii="宋体" w:hAnsi="宋体" w:cs="宋体"/>
          <w:b/>
          <w:sz w:val="22"/>
          <w:szCs w:val="22"/>
          <w:highlight w:val="none"/>
        </w:rPr>
        <w:t>09时00分</w:t>
      </w:r>
      <w:r>
        <w:rPr>
          <w:rFonts w:hint="eastAsia" w:ascii="宋体" w:hAnsi="宋体" w:cs="宋体"/>
          <w:b/>
          <w:bCs/>
          <w:kern w:val="0"/>
          <w:sz w:val="22"/>
          <w:szCs w:val="22"/>
          <w:highlight w:val="none"/>
        </w:rPr>
        <w:t>。</w:t>
      </w:r>
    </w:p>
    <w:p w14:paraId="75176E07">
      <w:pPr>
        <w:widowControl/>
        <w:snapToGrid w:val="0"/>
        <w:spacing w:line="440" w:lineRule="exact"/>
        <w:ind w:firstLine="440" w:firstLineChars="200"/>
        <w:jc w:val="left"/>
        <w:rPr>
          <w:rFonts w:ascii="宋体" w:hAnsi="宋体" w:cs="宋体"/>
          <w:kern w:val="0"/>
          <w:sz w:val="22"/>
          <w:szCs w:val="22"/>
          <w:highlight w:val="none"/>
        </w:rPr>
      </w:pPr>
      <w:r>
        <w:rPr>
          <w:rFonts w:hint="eastAsia" w:ascii="宋体" w:hAnsi="宋体" w:cs="宋体"/>
          <w:kern w:val="0"/>
          <w:sz w:val="22"/>
          <w:szCs w:val="22"/>
          <w:highlight w:val="none"/>
        </w:rPr>
        <w:t>2.投标文件递交方式：线上递交方式（投标管家工具）：投标人在投标文件递交时间截止前（投标截止时间</w:t>
      </w:r>
      <w:r>
        <w:rPr>
          <w:rFonts w:hint="eastAsia" w:ascii="宋体" w:hAnsi="宋体" w:cs="宋体"/>
          <w:color w:val="000000"/>
          <w:kern w:val="0"/>
          <w:sz w:val="22"/>
          <w:szCs w:val="22"/>
          <w:highlight w:val="none"/>
        </w:rPr>
        <w:t>2026年  月  日</w:t>
      </w:r>
      <w:r>
        <w:rPr>
          <w:rFonts w:hint="eastAsia" w:ascii="宋体" w:hAnsi="宋体" w:cs="宋体"/>
          <w:kern w:val="0"/>
          <w:sz w:val="22"/>
          <w:szCs w:val="22"/>
          <w:highlight w:val="none"/>
        </w:rPr>
        <w:t>09时00分），将电子投标文件加密后递交至电子招标采购平台。</w:t>
      </w:r>
    </w:p>
    <w:p w14:paraId="101F3221">
      <w:pPr>
        <w:snapToGrid w:val="0"/>
        <w:spacing w:line="440" w:lineRule="exact"/>
        <w:ind w:firstLine="442" w:firstLineChars="200"/>
        <w:jc w:val="left"/>
        <w:rPr>
          <w:rFonts w:ascii="宋体" w:hAnsi="宋体" w:cs="宋体"/>
          <w:b/>
          <w:color w:val="000000"/>
          <w:sz w:val="22"/>
          <w:szCs w:val="22"/>
          <w:highlight w:val="none"/>
        </w:rPr>
      </w:pPr>
      <w:bookmarkStart w:id="14" w:name="_Toc29932"/>
      <w:r>
        <w:rPr>
          <w:rFonts w:hint="eastAsia" w:ascii="宋体" w:hAnsi="宋体" w:cs="宋体"/>
          <w:b/>
          <w:color w:val="000000"/>
          <w:sz w:val="22"/>
          <w:szCs w:val="22"/>
          <w:highlight w:val="none"/>
        </w:rPr>
        <w:t>十、开标时间地点及注意事项：</w:t>
      </w:r>
      <w:bookmarkEnd w:id="14"/>
    </w:p>
    <w:p w14:paraId="60C32779">
      <w:pPr>
        <w:widowControl/>
        <w:snapToGrid w:val="0"/>
        <w:spacing w:line="440" w:lineRule="exact"/>
        <w:ind w:firstLine="440" w:firstLineChars="200"/>
        <w:jc w:val="left"/>
        <w:rPr>
          <w:rFonts w:ascii="宋体" w:hAnsi="宋体" w:cs="宋体"/>
          <w:kern w:val="0"/>
          <w:sz w:val="22"/>
          <w:szCs w:val="22"/>
          <w:highlight w:val="none"/>
        </w:rPr>
      </w:pPr>
      <w:r>
        <w:rPr>
          <w:rFonts w:hint="eastAsia" w:ascii="宋体" w:hAnsi="宋体" w:cs="宋体"/>
          <w:kern w:val="0"/>
          <w:sz w:val="22"/>
          <w:szCs w:val="22"/>
          <w:highlight w:val="none"/>
        </w:rPr>
        <w:t>1.本次招标将于</w:t>
      </w:r>
      <w:r>
        <w:rPr>
          <w:rFonts w:hint="eastAsia" w:ascii="宋体" w:hAnsi="宋体" w:cs="宋体"/>
          <w:b/>
          <w:kern w:val="0"/>
          <w:sz w:val="22"/>
          <w:szCs w:val="22"/>
          <w:highlight w:val="none"/>
        </w:rPr>
        <w:t>2026年  月  日09时00分</w:t>
      </w:r>
      <w:r>
        <w:rPr>
          <w:rFonts w:hint="eastAsia" w:ascii="宋体" w:hAnsi="宋体" w:cs="宋体"/>
          <w:kern w:val="0"/>
          <w:sz w:val="22"/>
          <w:szCs w:val="22"/>
          <w:highlight w:val="none"/>
        </w:rPr>
        <w:t>在温州市鹿城区瓯江路海港大厦1幢2楼招标采购中心在线开标。</w:t>
      </w:r>
    </w:p>
    <w:p w14:paraId="49CC8A74">
      <w:pPr>
        <w:widowControl/>
        <w:snapToGrid w:val="0"/>
        <w:spacing w:line="440" w:lineRule="exact"/>
        <w:ind w:firstLine="440" w:firstLineChars="200"/>
        <w:jc w:val="left"/>
        <w:rPr>
          <w:rFonts w:ascii="宋体" w:hAnsi="宋体" w:cs="宋体"/>
          <w:kern w:val="0"/>
          <w:sz w:val="22"/>
          <w:szCs w:val="22"/>
          <w:highlight w:val="none"/>
        </w:rPr>
      </w:pPr>
      <w:r>
        <w:rPr>
          <w:rFonts w:hint="eastAsia" w:ascii="宋体" w:hAnsi="宋体" w:cs="宋体"/>
          <w:kern w:val="0"/>
          <w:sz w:val="22"/>
          <w:szCs w:val="22"/>
          <w:highlight w:val="none"/>
        </w:rPr>
        <w:t>2.投标人于投标截止时间之后三十分钟内在“浙江海港投标管家”工具端—进入项目—开标—远程开标模块，点击“确认开标结果”按钮进行确认，如超时未确认，视作投标人已对开标结果确认无误。</w:t>
      </w:r>
    </w:p>
    <w:p w14:paraId="7B1878ED">
      <w:pPr>
        <w:widowControl/>
        <w:snapToGrid w:val="0"/>
        <w:spacing w:line="440" w:lineRule="exact"/>
        <w:ind w:firstLine="440" w:firstLineChars="200"/>
        <w:jc w:val="left"/>
        <w:rPr>
          <w:rFonts w:ascii="宋体" w:hAnsi="宋体" w:cs="宋体"/>
          <w:kern w:val="0"/>
          <w:sz w:val="22"/>
          <w:szCs w:val="22"/>
          <w:highlight w:val="none"/>
        </w:rPr>
      </w:pPr>
      <w:r>
        <w:rPr>
          <w:rFonts w:hint="eastAsia" w:ascii="宋体" w:hAnsi="宋体" w:cs="宋体"/>
          <w:kern w:val="0"/>
          <w:sz w:val="22"/>
          <w:szCs w:val="22"/>
          <w:highlight w:val="none"/>
        </w:rPr>
        <w:t>3.本项目采用电子招标，中标人须在明确中标后、获取中标通知书前将相应的交易服务费缴入平台指定的集团账户（在“投标管家”工具中查看），具体收费标准详见招标文件或平台公告。</w:t>
      </w:r>
    </w:p>
    <w:p w14:paraId="4CC086D6">
      <w:pPr>
        <w:snapToGrid w:val="0"/>
        <w:spacing w:line="440" w:lineRule="exact"/>
        <w:ind w:firstLine="442" w:firstLineChars="200"/>
        <w:jc w:val="left"/>
        <w:rPr>
          <w:rFonts w:ascii="宋体" w:hAnsi="宋体" w:cs="宋体"/>
          <w:b/>
          <w:color w:val="000000"/>
          <w:sz w:val="22"/>
          <w:szCs w:val="22"/>
          <w:highlight w:val="none"/>
        </w:rPr>
      </w:pPr>
      <w:bookmarkStart w:id="15" w:name="_Toc8149"/>
      <w:r>
        <w:rPr>
          <w:rFonts w:hint="eastAsia" w:ascii="宋体" w:hAnsi="宋体" w:cs="宋体"/>
          <w:b/>
          <w:color w:val="000000"/>
          <w:sz w:val="22"/>
          <w:szCs w:val="22"/>
          <w:highlight w:val="none"/>
        </w:rPr>
        <w:t>十一、发布媒介：</w:t>
      </w:r>
      <w:bookmarkEnd w:id="15"/>
    </w:p>
    <w:p w14:paraId="070F4CB6">
      <w:pPr>
        <w:widowControl/>
        <w:snapToGrid w:val="0"/>
        <w:spacing w:line="440" w:lineRule="exact"/>
        <w:ind w:firstLine="440" w:firstLineChars="200"/>
        <w:jc w:val="left"/>
        <w:rPr>
          <w:rFonts w:ascii="宋体" w:hAnsi="宋体" w:cs="宋体"/>
          <w:kern w:val="0"/>
          <w:sz w:val="22"/>
          <w:szCs w:val="22"/>
          <w:highlight w:val="none"/>
        </w:rPr>
      </w:pPr>
      <w:r>
        <w:rPr>
          <w:rFonts w:hint="eastAsia" w:ascii="宋体" w:hAnsi="宋体" w:cs="宋体"/>
          <w:kern w:val="0"/>
          <w:sz w:val="22"/>
          <w:szCs w:val="22"/>
          <w:highlight w:val="none"/>
        </w:rPr>
        <w:t>本次招标公告在浙江海港电子招标采购平台（http://hgdzzb.nbport.com.cn/）、温州港集团有限公司网站（https://www.wzport.com/wzport/wzgzz/yggc/zbgg/index.html）等网站上发布。</w:t>
      </w:r>
    </w:p>
    <w:p w14:paraId="40A92204">
      <w:pPr>
        <w:spacing w:line="440" w:lineRule="exact"/>
        <w:ind w:firstLine="442" w:firstLineChars="200"/>
        <w:jc w:val="left"/>
        <w:rPr>
          <w:rFonts w:ascii="宋体" w:hAnsi="宋体" w:cs="宋体"/>
          <w:b/>
          <w:bCs/>
          <w:sz w:val="22"/>
          <w:szCs w:val="22"/>
          <w:highlight w:val="none"/>
        </w:rPr>
      </w:pPr>
      <w:bookmarkStart w:id="16" w:name="_Toc24460"/>
      <w:r>
        <w:rPr>
          <w:rFonts w:hint="eastAsia" w:ascii="宋体" w:hAnsi="宋体" w:cs="宋体"/>
          <w:b/>
          <w:bCs/>
          <w:sz w:val="22"/>
          <w:szCs w:val="22"/>
          <w:highlight w:val="none"/>
        </w:rPr>
        <w:t>十二、联系方式：</w:t>
      </w:r>
      <w:bookmarkEnd w:id="16"/>
    </w:p>
    <w:p w14:paraId="58B7E45D">
      <w:pPr>
        <w:spacing w:line="440" w:lineRule="exact"/>
        <w:ind w:firstLine="440" w:firstLineChars="200"/>
        <w:jc w:val="left"/>
        <w:rPr>
          <w:rFonts w:ascii="宋体" w:hAnsi="宋体" w:cs="宋体"/>
          <w:sz w:val="22"/>
          <w:szCs w:val="22"/>
          <w:highlight w:val="none"/>
        </w:rPr>
      </w:pPr>
      <w:r>
        <w:rPr>
          <w:rFonts w:hint="eastAsia" w:ascii="宋体" w:hAnsi="宋体" w:cs="宋体"/>
          <w:sz w:val="22"/>
          <w:szCs w:val="22"/>
          <w:highlight w:val="none"/>
        </w:rPr>
        <w:t>1.招标人信息</w:t>
      </w:r>
    </w:p>
    <w:p w14:paraId="12D4DF27">
      <w:pPr>
        <w:spacing w:line="440" w:lineRule="exact"/>
        <w:ind w:firstLine="440" w:firstLineChars="200"/>
        <w:jc w:val="left"/>
        <w:rPr>
          <w:rFonts w:ascii="宋体" w:hAnsi="宋体" w:cs="宋体"/>
          <w:sz w:val="22"/>
          <w:szCs w:val="22"/>
          <w:highlight w:val="none"/>
        </w:rPr>
      </w:pPr>
      <w:r>
        <w:rPr>
          <w:rFonts w:hint="eastAsia" w:ascii="宋体" w:hAnsi="宋体" w:cs="宋体"/>
          <w:sz w:val="22"/>
          <w:szCs w:val="22"/>
          <w:highlight w:val="none"/>
        </w:rPr>
        <w:t>名  称：温州港集团有限公司龙湾港务分公司</w:t>
      </w:r>
    </w:p>
    <w:p w14:paraId="596CA2F6">
      <w:pPr>
        <w:spacing w:line="440" w:lineRule="exact"/>
        <w:ind w:firstLine="440" w:firstLineChars="200"/>
        <w:jc w:val="left"/>
        <w:rPr>
          <w:rFonts w:ascii="宋体" w:hAnsi="宋体" w:cs="宋体"/>
          <w:sz w:val="22"/>
          <w:szCs w:val="22"/>
          <w:highlight w:val="none"/>
        </w:rPr>
      </w:pPr>
      <w:r>
        <w:rPr>
          <w:rFonts w:hint="eastAsia" w:ascii="宋体" w:hAnsi="宋体" w:cs="宋体"/>
          <w:sz w:val="22"/>
          <w:szCs w:val="22"/>
          <w:highlight w:val="none"/>
        </w:rPr>
        <w:t>地  址：浙江省温州市龙湾区机场大道万吨码头</w:t>
      </w:r>
    </w:p>
    <w:p w14:paraId="2F3FC577">
      <w:pPr>
        <w:spacing w:line="440" w:lineRule="exact"/>
        <w:ind w:firstLine="440" w:firstLineChars="200"/>
        <w:jc w:val="left"/>
        <w:rPr>
          <w:rFonts w:ascii="宋体" w:hAnsi="宋体" w:cs="宋体"/>
          <w:color w:val="000000" w:themeColor="text1"/>
          <w:sz w:val="22"/>
          <w:szCs w:val="22"/>
          <w:highlight w:val="none"/>
          <w14:textFill>
            <w14:solidFill>
              <w14:schemeClr w14:val="tx1"/>
            </w14:solidFill>
          </w14:textFill>
        </w:rPr>
      </w:pPr>
      <w:r>
        <w:rPr>
          <w:rFonts w:hint="eastAsia" w:ascii="宋体" w:hAnsi="宋体" w:cs="宋体"/>
          <w:color w:val="000000" w:themeColor="text1"/>
          <w:sz w:val="22"/>
          <w:szCs w:val="22"/>
          <w:highlight w:val="none"/>
          <w14:textFill>
            <w14:solidFill>
              <w14:schemeClr w14:val="tx1"/>
            </w14:solidFill>
          </w14:textFill>
        </w:rPr>
        <w:t>联系人：高先生</w:t>
      </w:r>
    </w:p>
    <w:p w14:paraId="5576666A">
      <w:pPr>
        <w:spacing w:line="440" w:lineRule="exact"/>
        <w:ind w:firstLine="440" w:firstLineChars="200"/>
        <w:jc w:val="left"/>
        <w:rPr>
          <w:rFonts w:ascii="宋体" w:hAnsi="宋体" w:cs="宋体"/>
          <w:color w:val="000000" w:themeColor="text1"/>
          <w:sz w:val="22"/>
          <w:szCs w:val="22"/>
          <w:highlight w:val="none"/>
          <w14:textFill>
            <w14:solidFill>
              <w14:schemeClr w14:val="tx1"/>
            </w14:solidFill>
          </w14:textFill>
        </w:rPr>
      </w:pPr>
      <w:r>
        <w:rPr>
          <w:rFonts w:hint="eastAsia" w:ascii="宋体" w:hAnsi="宋体" w:cs="宋体"/>
          <w:color w:val="000000" w:themeColor="text1"/>
          <w:sz w:val="22"/>
          <w:szCs w:val="22"/>
          <w:highlight w:val="none"/>
          <w14:textFill>
            <w14:solidFill>
              <w14:schemeClr w14:val="tx1"/>
            </w14:solidFill>
          </w14:textFill>
        </w:rPr>
        <w:t>联系方式：0577-56669872</w:t>
      </w:r>
    </w:p>
    <w:p w14:paraId="0DDE25C1">
      <w:pPr>
        <w:spacing w:line="440" w:lineRule="exact"/>
        <w:ind w:firstLine="440" w:firstLineChars="200"/>
        <w:jc w:val="left"/>
        <w:rPr>
          <w:rFonts w:ascii="宋体" w:hAnsi="宋体" w:cs="宋体"/>
          <w:sz w:val="22"/>
          <w:szCs w:val="22"/>
          <w:highlight w:val="none"/>
        </w:rPr>
      </w:pPr>
      <w:r>
        <w:rPr>
          <w:rFonts w:hint="eastAsia" w:ascii="宋体" w:hAnsi="宋体" w:cs="宋体"/>
          <w:sz w:val="22"/>
          <w:szCs w:val="22"/>
          <w:highlight w:val="none"/>
        </w:rPr>
        <w:t>2.招标代理机构信息</w:t>
      </w:r>
    </w:p>
    <w:p w14:paraId="101910CA">
      <w:pPr>
        <w:spacing w:line="440" w:lineRule="exact"/>
        <w:ind w:firstLine="440" w:firstLineChars="200"/>
        <w:jc w:val="left"/>
        <w:rPr>
          <w:rFonts w:ascii="宋体" w:hAnsi="宋体" w:cs="宋体"/>
          <w:sz w:val="22"/>
          <w:szCs w:val="22"/>
          <w:highlight w:val="none"/>
        </w:rPr>
      </w:pPr>
      <w:r>
        <w:rPr>
          <w:rFonts w:hint="eastAsia" w:ascii="宋体" w:hAnsi="宋体" w:cs="宋体"/>
          <w:sz w:val="22"/>
          <w:szCs w:val="22"/>
          <w:highlight w:val="none"/>
        </w:rPr>
        <w:t>名  称：华信咨询设计研究院有限公司</w:t>
      </w:r>
      <w:r>
        <w:rPr>
          <w:rFonts w:hint="eastAsia" w:ascii="宋体" w:hAnsi="宋体" w:cs="宋体"/>
          <w:sz w:val="22"/>
          <w:szCs w:val="22"/>
          <w:highlight w:val="none"/>
        </w:rPr>
        <w:tab/>
      </w:r>
    </w:p>
    <w:p w14:paraId="6A0715DF">
      <w:pPr>
        <w:spacing w:line="440" w:lineRule="exact"/>
        <w:ind w:firstLine="440" w:firstLineChars="200"/>
        <w:jc w:val="left"/>
        <w:rPr>
          <w:rFonts w:ascii="宋体" w:hAnsi="宋体" w:cs="宋体"/>
          <w:sz w:val="22"/>
          <w:szCs w:val="22"/>
          <w:highlight w:val="none"/>
        </w:rPr>
      </w:pPr>
      <w:r>
        <w:rPr>
          <w:rFonts w:hint="eastAsia" w:ascii="宋体" w:hAnsi="宋体" w:cs="宋体"/>
          <w:sz w:val="22"/>
          <w:szCs w:val="22"/>
          <w:highlight w:val="none"/>
        </w:rPr>
        <w:t>地  址：</w:t>
      </w:r>
      <w:r>
        <w:rPr>
          <w:rFonts w:hint="eastAsia" w:ascii="宋体" w:hAnsi="宋体" w:cs="宋体"/>
          <w:color w:val="000000"/>
          <w:sz w:val="22"/>
          <w:szCs w:val="22"/>
          <w:highlight w:val="none"/>
        </w:rPr>
        <w:t>杭州市滨江区春波路999号</w:t>
      </w:r>
    </w:p>
    <w:p w14:paraId="0099D767">
      <w:pPr>
        <w:spacing w:line="440" w:lineRule="exact"/>
        <w:ind w:firstLine="440" w:firstLineChars="200"/>
        <w:jc w:val="left"/>
        <w:rPr>
          <w:rFonts w:ascii="宋体" w:hAnsi="宋体" w:cs="宋体"/>
          <w:sz w:val="22"/>
          <w:szCs w:val="22"/>
          <w:highlight w:val="none"/>
        </w:rPr>
      </w:pPr>
      <w:r>
        <w:rPr>
          <w:rFonts w:hint="eastAsia" w:ascii="宋体" w:hAnsi="宋体" w:cs="宋体"/>
          <w:sz w:val="22"/>
          <w:szCs w:val="22"/>
          <w:highlight w:val="none"/>
        </w:rPr>
        <w:t>联系人：尚云飞、羊奕杭、王鑫霖</w:t>
      </w:r>
    </w:p>
    <w:p w14:paraId="5CDB5331">
      <w:pPr>
        <w:spacing w:line="440" w:lineRule="exact"/>
        <w:ind w:firstLine="440" w:firstLineChars="200"/>
        <w:jc w:val="left"/>
        <w:rPr>
          <w:rFonts w:ascii="宋体" w:hAnsi="宋体" w:cs="宋体"/>
          <w:sz w:val="22"/>
          <w:szCs w:val="22"/>
          <w:highlight w:val="none"/>
        </w:rPr>
      </w:pPr>
      <w:r>
        <w:rPr>
          <w:rFonts w:hint="eastAsia" w:ascii="宋体" w:hAnsi="宋体" w:cs="宋体"/>
          <w:sz w:val="22"/>
          <w:szCs w:val="22"/>
          <w:highlight w:val="none"/>
        </w:rPr>
        <w:t>联系方式：15225996022、15257143905</w:t>
      </w:r>
    </w:p>
    <w:p w14:paraId="4441BD9D">
      <w:pPr>
        <w:spacing w:line="440" w:lineRule="exact"/>
        <w:ind w:firstLine="440" w:firstLineChars="200"/>
        <w:jc w:val="left"/>
        <w:rPr>
          <w:rFonts w:ascii="宋体" w:hAnsi="宋体" w:cs="宋体"/>
          <w:sz w:val="22"/>
          <w:szCs w:val="22"/>
          <w:highlight w:val="none"/>
        </w:rPr>
      </w:pPr>
      <w:r>
        <w:rPr>
          <w:rFonts w:hint="eastAsia" w:ascii="宋体" w:hAnsi="宋体" w:cs="宋体"/>
          <w:color w:val="000000" w:themeColor="text1"/>
          <w:sz w:val="22"/>
          <w:szCs w:val="22"/>
          <w:highlight w:val="none"/>
          <w14:textFill>
            <w14:solidFill>
              <w14:schemeClr w14:val="tx1"/>
            </w14:solidFill>
          </w14:textFill>
        </w:rPr>
        <w:t>异议信息反馈电话/邮箱：18758271840/328814049@qq.com</w:t>
      </w:r>
    </w:p>
    <w:p w14:paraId="4283E2AF">
      <w:pPr>
        <w:spacing w:line="440" w:lineRule="exact"/>
        <w:ind w:firstLine="440" w:firstLineChars="200"/>
        <w:jc w:val="left"/>
        <w:rPr>
          <w:rFonts w:ascii="宋体" w:hAnsi="宋体" w:cs="宋体"/>
          <w:color w:val="000000" w:themeColor="text1"/>
          <w:sz w:val="22"/>
          <w:szCs w:val="22"/>
          <w:highlight w:val="none"/>
          <w14:textFill>
            <w14:solidFill>
              <w14:schemeClr w14:val="tx1"/>
            </w14:solidFill>
          </w14:textFill>
        </w:rPr>
      </w:pPr>
      <w:r>
        <w:rPr>
          <w:rFonts w:hint="eastAsia" w:ascii="宋体" w:hAnsi="宋体" w:cs="宋体"/>
          <w:color w:val="000000" w:themeColor="text1"/>
          <w:sz w:val="22"/>
          <w:szCs w:val="22"/>
          <w:highlight w:val="none"/>
          <w14:textFill>
            <w14:solidFill>
              <w14:schemeClr w14:val="tx1"/>
            </w14:solidFill>
          </w14:textFill>
        </w:rPr>
        <w:t>3.招标监督部门：温州港集团有限公司龙湾港务分公司纪检小组</w:t>
      </w:r>
    </w:p>
    <w:p w14:paraId="13FA4DDF">
      <w:pPr>
        <w:spacing w:line="440" w:lineRule="exact"/>
        <w:ind w:firstLine="440" w:firstLineChars="200"/>
        <w:jc w:val="left"/>
        <w:rPr>
          <w:rFonts w:ascii="宋体" w:hAnsi="宋体" w:cs="宋体"/>
          <w:color w:val="000000" w:themeColor="text1"/>
          <w:sz w:val="22"/>
          <w:szCs w:val="22"/>
          <w:highlight w:val="none"/>
          <w14:textFill>
            <w14:solidFill>
              <w14:schemeClr w14:val="tx1"/>
            </w14:solidFill>
          </w14:textFill>
        </w:rPr>
      </w:pPr>
      <w:r>
        <w:rPr>
          <w:rFonts w:hint="eastAsia" w:ascii="宋体" w:hAnsi="宋体" w:cs="宋体"/>
          <w:color w:val="000000" w:themeColor="text1"/>
          <w:sz w:val="22"/>
          <w:szCs w:val="22"/>
          <w:highlight w:val="none"/>
          <w14:textFill>
            <w14:solidFill>
              <w14:schemeClr w14:val="tx1"/>
            </w14:solidFill>
          </w14:textFill>
        </w:rPr>
        <w:t>联系电话：0577-5666981</w:t>
      </w:r>
      <w:r>
        <w:rPr>
          <w:rFonts w:ascii="宋体" w:hAnsi="宋体" w:cs="宋体"/>
          <w:color w:val="000000" w:themeColor="text1"/>
          <w:sz w:val="22"/>
          <w:szCs w:val="22"/>
          <w:highlight w:val="none"/>
          <w14:textFill>
            <w14:solidFill>
              <w14:schemeClr w14:val="tx1"/>
            </w14:solidFill>
          </w14:textFill>
        </w:rPr>
        <w:t>3</w:t>
      </w:r>
    </w:p>
    <w:p w14:paraId="05E667C5">
      <w:pPr>
        <w:spacing w:line="440" w:lineRule="exact"/>
        <w:ind w:firstLine="440" w:firstLineChars="200"/>
        <w:jc w:val="left"/>
        <w:rPr>
          <w:rFonts w:ascii="宋体" w:hAnsi="宋体" w:cs="宋体"/>
          <w:sz w:val="22"/>
          <w:szCs w:val="22"/>
          <w:highlight w:val="none"/>
        </w:rPr>
      </w:pPr>
      <w:r>
        <w:rPr>
          <w:rFonts w:hint="eastAsia" w:ascii="宋体" w:hAnsi="宋体" w:cs="宋体"/>
          <w:color w:val="000000" w:themeColor="text1"/>
          <w:sz w:val="22"/>
          <w:szCs w:val="22"/>
          <w:highlight w:val="none"/>
          <w14:textFill>
            <w14:solidFill>
              <w14:schemeClr w14:val="tx1"/>
            </w14:solidFill>
          </w14:textFill>
        </w:rPr>
        <w:t>4</w:t>
      </w:r>
      <w:r>
        <w:rPr>
          <w:rFonts w:hint="eastAsia" w:ascii="宋体" w:hAnsi="宋体" w:cs="宋体"/>
          <w:sz w:val="22"/>
          <w:szCs w:val="22"/>
          <w:highlight w:val="none"/>
        </w:rPr>
        <w:t>.电子招标采购平台咨询电话：0574—27680520</w:t>
      </w:r>
    </w:p>
    <w:p w14:paraId="351CEFE6">
      <w:pPr>
        <w:spacing w:line="440" w:lineRule="exact"/>
        <w:ind w:firstLine="440" w:firstLineChars="200"/>
        <w:jc w:val="left"/>
        <w:rPr>
          <w:rFonts w:ascii="宋体" w:hAnsi="宋体" w:cs="宋体"/>
          <w:sz w:val="22"/>
          <w:szCs w:val="22"/>
          <w:highlight w:val="none"/>
        </w:rPr>
      </w:pPr>
      <w:r>
        <w:rPr>
          <w:rFonts w:hint="eastAsia" w:ascii="宋体" w:hAnsi="宋体" w:cs="宋体"/>
          <w:sz w:val="22"/>
          <w:szCs w:val="22"/>
          <w:highlight w:val="none"/>
        </w:rPr>
        <w:t>5.CA咨询热线：400—666—4230</w:t>
      </w:r>
    </w:p>
    <w:p w14:paraId="5E0B1BCF">
      <w:pPr>
        <w:spacing w:line="440" w:lineRule="exact"/>
        <w:ind w:firstLine="440" w:firstLineChars="200"/>
        <w:jc w:val="left"/>
        <w:rPr>
          <w:rFonts w:ascii="宋体" w:hAnsi="宋体" w:cs="宋体"/>
          <w:sz w:val="22"/>
          <w:szCs w:val="22"/>
          <w:highlight w:val="none"/>
        </w:rPr>
      </w:pPr>
    </w:p>
    <w:p w14:paraId="43C2DB29">
      <w:pPr>
        <w:spacing w:line="440" w:lineRule="exact"/>
        <w:ind w:firstLine="440" w:firstLineChars="200"/>
        <w:jc w:val="left"/>
        <w:rPr>
          <w:rFonts w:ascii="宋体" w:hAnsi="宋体" w:cs="宋体"/>
          <w:sz w:val="22"/>
          <w:szCs w:val="22"/>
          <w:highlight w:val="none"/>
        </w:rPr>
      </w:pPr>
    </w:p>
    <w:p w14:paraId="35D728D3">
      <w:pPr>
        <w:spacing w:line="440" w:lineRule="exact"/>
        <w:ind w:firstLine="440" w:firstLineChars="200"/>
        <w:jc w:val="left"/>
        <w:rPr>
          <w:rFonts w:ascii="宋体" w:hAnsi="宋体" w:cs="宋体"/>
          <w:sz w:val="22"/>
          <w:szCs w:val="22"/>
          <w:highlight w:val="none"/>
        </w:rPr>
      </w:pPr>
    </w:p>
    <w:p w14:paraId="4E4704FF">
      <w:pPr>
        <w:rPr>
          <w:rFonts w:hint="eastAsia"/>
          <w:highlight w:val="none"/>
        </w:rPr>
      </w:pPr>
      <w:bookmarkStart w:id="17" w:name="_Toc21689"/>
      <w:r>
        <w:rPr>
          <w:rFonts w:hint="eastAsia"/>
          <w:highlight w:val="none"/>
        </w:rPr>
        <w:br w:type="page"/>
      </w:r>
    </w:p>
    <w:p w14:paraId="36ED2E17">
      <w:pPr>
        <w:pStyle w:val="23"/>
        <w:rPr>
          <w:highlight w:val="none"/>
        </w:rPr>
      </w:pPr>
      <w:r>
        <w:rPr>
          <w:rFonts w:hint="eastAsia"/>
          <w:highlight w:val="none"/>
        </w:rPr>
        <w:t>第二章  招标需求</w:t>
      </w:r>
      <w:bookmarkEnd w:id="11"/>
      <w:bookmarkEnd w:id="17"/>
    </w:p>
    <w:p w14:paraId="34B12616">
      <w:pPr>
        <w:adjustRightInd w:val="0"/>
        <w:spacing w:line="440" w:lineRule="exact"/>
        <w:jc w:val="left"/>
        <w:outlineLvl w:val="2"/>
        <w:rPr>
          <w:rFonts w:ascii="宋体" w:hAnsi="宋体" w:cs="宋体"/>
          <w:b/>
          <w:bCs/>
          <w:sz w:val="22"/>
          <w:szCs w:val="22"/>
          <w:highlight w:val="none"/>
        </w:rPr>
      </w:pPr>
      <w:bookmarkStart w:id="18" w:name="_Toc3329"/>
      <w:bookmarkStart w:id="19" w:name="_Toc22078"/>
      <w:r>
        <w:rPr>
          <w:rFonts w:hint="eastAsia" w:ascii="宋体" w:hAnsi="宋体" w:cs="宋体"/>
          <w:b/>
          <w:bCs/>
          <w:sz w:val="22"/>
          <w:szCs w:val="22"/>
          <w:highlight w:val="none"/>
        </w:rPr>
        <w:t>一、</w:t>
      </w:r>
      <w:bookmarkEnd w:id="18"/>
      <w:r>
        <w:rPr>
          <w:rFonts w:hint="eastAsia" w:ascii="宋体" w:hAnsi="宋体" w:cs="宋体"/>
          <w:b/>
          <w:bCs/>
          <w:sz w:val="22"/>
          <w:szCs w:val="22"/>
          <w:highlight w:val="none"/>
        </w:rPr>
        <w:t>项目背景及概况</w:t>
      </w:r>
      <w:bookmarkEnd w:id="19"/>
    </w:p>
    <w:p w14:paraId="0547A27F">
      <w:pPr>
        <w:adjustRightInd w:val="0"/>
        <w:spacing w:line="440" w:lineRule="exact"/>
        <w:ind w:firstLine="442" w:firstLineChars="200"/>
        <w:jc w:val="left"/>
        <w:rPr>
          <w:rFonts w:ascii="宋体" w:hAnsi="宋体" w:cs="宋体"/>
          <w:b/>
          <w:bCs/>
          <w:sz w:val="22"/>
          <w:szCs w:val="22"/>
          <w:highlight w:val="none"/>
        </w:rPr>
      </w:pPr>
      <w:r>
        <w:rPr>
          <w:rFonts w:hint="eastAsia" w:ascii="宋体" w:hAnsi="宋体" w:cs="宋体"/>
          <w:b/>
          <w:bCs/>
          <w:sz w:val="22"/>
          <w:szCs w:val="22"/>
          <w:highlight w:val="none"/>
        </w:rPr>
        <w:t>1.项目背景</w:t>
      </w:r>
    </w:p>
    <w:p w14:paraId="4188BF59">
      <w:pPr>
        <w:adjustRightInd w:val="0"/>
        <w:spacing w:line="440" w:lineRule="exact"/>
        <w:ind w:firstLine="440" w:firstLineChars="200"/>
        <w:jc w:val="left"/>
        <w:rPr>
          <w:rFonts w:ascii="宋体" w:hAnsi="宋体" w:cs="宋体"/>
          <w:sz w:val="22"/>
          <w:szCs w:val="22"/>
          <w:highlight w:val="none"/>
        </w:rPr>
      </w:pPr>
      <w:r>
        <w:rPr>
          <w:rFonts w:hint="eastAsia" w:ascii="宋体" w:hAnsi="宋体" w:cs="宋体"/>
          <w:sz w:val="22"/>
          <w:szCs w:val="22"/>
          <w:highlight w:val="none"/>
        </w:rPr>
        <w:t>本项目为温州港集团有限公司龙湾港务分公司35吨1号门座式起重机（以下简称35吨门机）回转支承更换以及16吨8号门座式起重机（以下简称16吨门机）臂架头部铰点维修，需对35吨门机回转支承进行更换，具体工作内容包括但不限于：门机回转支承及连接螺栓的拆卸与更换、回转减速箱的拆除与安装、现场清理及与回转支承更换有关的其它工作；需对16吨门机大臂与象鼻梁的铰点（以下简称臂架头部铰点）进行维修，更换铰点处轴、轴承、轴套及其相关部件。</w:t>
      </w:r>
    </w:p>
    <w:p w14:paraId="5FA60114">
      <w:pPr>
        <w:adjustRightInd w:val="0"/>
        <w:spacing w:line="440" w:lineRule="exact"/>
        <w:ind w:firstLine="442" w:firstLineChars="200"/>
        <w:jc w:val="left"/>
        <w:rPr>
          <w:rFonts w:ascii="宋体" w:hAnsi="宋体" w:cs="宋体"/>
          <w:b/>
          <w:bCs/>
          <w:sz w:val="22"/>
          <w:szCs w:val="22"/>
          <w:highlight w:val="none"/>
        </w:rPr>
      </w:pPr>
      <w:r>
        <w:rPr>
          <w:rFonts w:hint="eastAsia" w:ascii="宋体" w:hAnsi="宋体" w:cs="宋体"/>
          <w:b/>
          <w:bCs/>
          <w:sz w:val="22"/>
          <w:szCs w:val="22"/>
          <w:highlight w:val="none"/>
        </w:rPr>
        <w:t>2.门机参数</w:t>
      </w:r>
    </w:p>
    <w:p w14:paraId="2EFD5FE3">
      <w:pPr>
        <w:adjustRightInd w:val="0"/>
        <w:spacing w:line="440" w:lineRule="exact"/>
        <w:ind w:firstLine="442" w:firstLineChars="200"/>
        <w:jc w:val="left"/>
        <w:rPr>
          <w:rFonts w:ascii="宋体" w:hAnsi="宋体" w:cs="宋体"/>
          <w:b/>
          <w:bCs/>
          <w:sz w:val="22"/>
          <w:szCs w:val="22"/>
          <w:highlight w:val="none"/>
        </w:rPr>
      </w:pPr>
      <w:r>
        <w:rPr>
          <w:rFonts w:hint="eastAsia" w:ascii="宋体" w:hAnsi="宋体" w:cs="宋体"/>
          <w:b/>
          <w:bCs/>
          <w:sz w:val="22"/>
          <w:szCs w:val="22"/>
          <w:highlight w:val="none"/>
        </w:rPr>
        <w:t>2.1主要技术参数</w:t>
      </w:r>
    </w:p>
    <w:tbl>
      <w:tblPr>
        <w:tblStyle w:val="30"/>
        <w:tblW w:w="4870"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1310"/>
        <w:gridCol w:w="1085"/>
        <w:gridCol w:w="1073"/>
        <w:gridCol w:w="2419"/>
        <w:gridCol w:w="3712"/>
      </w:tblGrid>
      <w:tr w14:paraId="2C2E5C7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676" w:hRule="exact"/>
          <w:jc w:val="center"/>
        </w:trPr>
        <w:tc>
          <w:tcPr>
            <w:tcW w:w="1247" w:type="pct"/>
            <w:gridSpan w:val="2"/>
            <w:vAlign w:val="center"/>
          </w:tcPr>
          <w:p w14:paraId="4EDC4A0A">
            <w:pPr>
              <w:jc w:val="center"/>
              <w:rPr>
                <w:rFonts w:ascii="宋体" w:hAnsi="宋体" w:cs="宋体"/>
                <w:b/>
                <w:sz w:val="22"/>
                <w:szCs w:val="22"/>
                <w:highlight w:val="none"/>
              </w:rPr>
            </w:pPr>
            <w:r>
              <w:rPr>
                <w:rFonts w:hint="eastAsia" w:ascii="宋体" w:hAnsi="宋体" w:cs="宋体"/>
                <w:b/>
                <w:sz w:val="22"/>
                <w:szCs w:val="22"/>
                <w:highlight w:val="none"/>
              </w:rPr>
              <w:t>设备名称</w:t>
            </w:r>
          </w:p>
        </w:tc>
        <w:tc>
          <w:tcPr>
            <w:tcW w:w="1818" w:type="pct"/>
            <w:gridSpan w:val="2"/>
            <w:vAlign w:val="center"/>
          </w:tcPr>
          <w:p w14:paraId="3E5F14CA">
            <w:pPr>
              <w:jc w:val="center"/>
              <w:rPr>
                <w:rFonts w:ascii="宋体" w:hAnsi="宋体" w:cs="宋体"/>
                <w:b/>
                <w:sz w:val="22"/>
                <w:szCs w:val="22"/>
                <w:highlight w:val="none"/>
              </w:rPr>
            </w:pPr>
            <w:r>
              <w:rPr>
                <w:rFonts w:hint="eastAsia" w:ascii="宋体" w:hAnsi="宋体" w:cs="宋体"/>
                <w:b/>
                <w:sz w:val="22"/>
                <w:szCs w:val="22"/>
                <w:highlight w:val="none"/>
              </w:rPr>
              <w:t>35吨门机</w:t>
            </w:r>
          </w:p>
        </w:tc>
        <w:tc>
          <w:tcPr>
            <w:tcW w:w="1933" w:type="pct"/>
            <w:vAlign w:val="center"/>
          </w:tcPr>
          <w:p w14:paraId="3BF30114">
            <w:pPr>
              <w:jc w:val="center"/>
              <w:rPr>
                <w:rFonts w:ascii="宋体" w:hAnsi="宋体" w:cs="宋体"/>
                <w:b/>
                <w:sz w:val="22"/>
                <w:szCs w:val="22"/>
                <w:highlight w:val="none"/>
              </w:rPr>
            </w:pPr>
            <w:r>
              <w:rPr>
                <w:rFonts w:hint="eastAsia" w:ascii="宋体" w:hAnsi="宋体" w:cs="宋体"/>
                <w:b/>
                <w:sz w:val="22"/>
                <w:szCs w:val="22"/>
                <w:highlight w:val="none"/>
              </w:rPr>
              <w:t>16吨门机</w:t>
            </w:r>
          </w:p>
        </w:tc>
      </w:tr>
      <w:tr w14:paraId="515B051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exact"/>
          <w:jc w:val="center"/>
        </w:trPr>
        <w:tc>
          <w:tcPr>
            <w:tcW w:w="1247" w:type="pct"/>
            <w:gridSpan w:val="2"/>
            <w:vAlign w:val="center"/>
          </w:tcPr>
          <w:p w14:paraId="073B33A4">
            <w:pPr>
              <w:jc w:val="center"/>
              <w:rPr>
                <w:rFonts w:ascii="宋体" w:hAnsi="宋体" w:cs="宋体"/>
                <w:sz w:val="22"/>
                <w:szCs w:val="22"/>
                <w:highlight w:val="none"/>
              </w:rPr>
            </w:pPr>
            <w:r>
              <w:rPr>
                <w:rFonts w:hint="eastAsia" w:ascii="宋体" w:hAnsi="宋体" w:cs="宋体"/>
                <w:sz w:val="22"/>
                <w:szCs w:val="22"/>
                <w:highlight w:val="none"/>
              </w:rPr>
              <w:t>型号</w:t>
            </w:r>
          </w:p>
        </w:tc>
        <w:tc>
          <w:tcPr>
            <w:tcW w:w="1818" w:type="pct"/>
            <w:gridSpan w:val="2"/>
            <w:vAlign w:val="center"/>
          </w:tcPr>
          <w:p w14:paraId="6D765EFF">
            <w:pPr>
              <w:jc w:val="center"/>
              <w:rPr>
                <w:rFonts w:ascii="宋体" w:hAnsi="宋体" w:cs="宋体"/>
                <w:sz w:val="22"/>
                <w:szCs w:val="22"/>
                <w:highlight w:val="none"/>
              </w:rPr>
            </w:pPr>
            <w:r>
              <w:rPr>
                <w:rFonts w:hint="eastAsia" w:ascii="宋体" w:hAnsi="宋体" w:cs="宋体"/>
                <w:sz w:val="22"/>
                <w:szCs w:val="22"/>
                <w:highlight w:val="none"/>
              </w:rPr>
              <w:t>DYM3530</w:t>
            </w:r>
          </w:p>
        </w:tc>
        <w:tc>
          <w:tcPr>
            <w:tcW w:w="1933" w:type="pct"/>
            <w:vAlign w:val="center"/>
          </w:tcPr>
          <w:p w14:paraId="25DE28CC">
            <w:pPr>
              <w:jc w:val="center"/>
              <w:rPr>
                <w:rFonts w:ascii="宋体" w:hAnsi="宋体" w:cs="宋体"/>
                <w:sz w:val="22"/>
                <w:szCs w:val="22"/>
                <w:highlight w:val="none"/>
              </w:rPr>
            </w:pPr>
            <w:r>
              <w:rPr>
                <w:rFonts w:hint="eastAsia" w:ascii="宋体" w:hAnsi="宋体" w:cs="宋体"/>
                <w:sz w:val="22"/>
                <w:szCs w:val="22"/>
                <w:highlight w:val="none"/>
              </w:rPr>
              <w:t>AHJ1630B</w:t>
            </w:r>
          </w:p>
        </w:tc>
      </w:tr>
      <w:tr w14:paraId="193BB1D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exact"/>
          <w:jc w:val="center"/>
        </w:trPr>
        <w:tc>
          <w:tcPr>
            <w:tcW w:w="1247" w:type="pct"/>
            <w:gridSpan w:val="2"/>
            <w:vAlign w:val="center"/>
          </w:tcPr>
          <w:p w14:paraId="0AA31789">
            <w:pPr>
              <w:jc w:val="center"/>
              <w:rPr>
                <w:rFonts w:ascii="宋体" w:hAnsi="宋体" w:cs="宋体"/>
                <w:sz w:val="22"/>
                <w:szCs w:val="22"/>
                <w:highlight w:val="none"/>
              </w:rPr>
            </w:pPr>
            <w:r>
              <w:rPr>
                <w:rFonts w:hint="eastAsia" w:ascii="宋体" w:hAnsi="宋体" w:cs="宋体"/>
                <w:sz w:val="22"/>
                <w:szCs w:val="22"/>
                <w:highlight w:val="none"/>
              </w:rPr>
              <w:t>生产厂家</w:t>
            </w:r>
          </w:p>
        </w:tc>
        <w:tc>
          <w:tcPr>
            <w:tcW w:w="1818" w:type="pct"/>
            <w:gridSpan w:val="2"/>
            <w:vAlign w:val="center"/>
          </w:tcPr>
          <w:p w14:paraId="06F86EDF">
            <w:pPr>
              <w:jc w:val="center"/>
              <w:rPr>
                <w:rFonts w:ascii="宋体" w:hAnsi="宋体" w:cs="宋体"/>
                <w:sz w:val="22"/>
                <w:szCs w:val="22"/>
                <w:highlight w:val="none"/>
              </w:rPr>
            </w:pPr>
            <w:r>
              <w:rPr>
                <w:rFonts w:hint="eastAsia" w:ascii="宋体" w:hAnsi="宋体" w:cs="宋体"/>
                <w:sz w:val="22"/>
                <w:szCs w:val="22"/>
                <w:highlight w:val="none"/>
              </w:rPr>
              <w:t>上海港联机械技术有限公司</w:t>
            </w:r>
          </w:p>
        </w:tc>
        <w:tc>
          <w:tcPr>
            <w:tcW w:w="1933" w:type="pct"/>
            <w:vAlign w:val="center"/>
          </w:tcPr>
          <w:p w14:paraId="5212E355">
            <w:pPr>
              <w:jc w:val="center"/>
              <w:rPr>
                <w:rFonts w:ascii="宋体" w:hAnsi="宋体" w:cs="宋体"/>
                <w:sz w:val="22"/>
                <w:szCs w:val="22"/>
                <w:highlight w:val="none"/>
              </w:rPr>
            </w:pPr>
            <w:r>
              <w:rPr>
                <w:rFonts w:hint="eastAsia" w:ascii="宋体" w:hAnsi="宋体" w:cs="宋体"/>
                <w:sz w:val="22"/>
                <w:szCs w:val="22"/>
                <w:highlight w:val="none"/>
              </w:rPr>
              <w:t>上海港联机械技术有限公司</w:t>
            </w:r>
          </w:p>
        </w:tc>
      </w:tr>
      <w:tr w14:paraId="7A93128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exact"/>
          <w:jc w:val="center"/>
        </w:trPr>
        <w:tc>
          <w:tcPr>
            <w:tcW w:w="682" w:type="pct"/>
            <w:vMerge w:val="restart"/>
            <w:vAlign w:val="center"/>
          </w:tcPr>
          <w:p w14:paraId="1548FA79">
            <w:pPr>
              <w:jc w:val="center"/>
              <w:rPr>
                <w:rFonts w:ascii="宋体" w:hAnsi="宋体" w:cs="宋体"/>
                <w:sz w:val="22"/>
                <w:szCs w:val="22"/>
                <w:highlight w:val="none"/>
              </w:rPr>
            </w:pPr>
            <w:r>
              <w:rPr>
                <w:rFonts w:hint="eastAsia" w:ascii="宋体" w:hAnsi="宋体" w:cs="宋体"/>
                <w:sz w:val="22"/>
                <w:szCs w:val="22"/>
                <w:highlight w:val="none"/>
              </w:rPr>
              <w:t>额定起重量</w:t>
            </w:r>
          </w:p>
        </w:tc>
        <w:tc>
          <w:tcPr>
            <w:tcW w:w="565" w:type="pct"/>
            <w:vAlign w:val="center"/>
          </w:tcPr>
          <w:p w14:paraId="54A050EE">
            <w:pPr>
              <w:jc w:val="center"/>
              <w:rPr>
                <w:rFonts w:ascii="宋体" w:hAnsi="宋体" w:cs="宋体"/>
                <w:sz w:val="22"/>
                <w:szCs w:val="22"/>
                <w:highlight w:val="none"/>
              </w:rPr>
            </w:pPr>
            <w:r>
              <w:rPr>
                <w:rFonts w:hint="eastAsia" w:ascii="宋体" w:hAnsi="宋体" w:cs="宋体"/>
                <w:sz w:val="22"/>
                <w:szCs w:val="22"/>
                <w:highlight w:val="none"/>
              </w:rPr>
              <w:t>吊钩</w:t>
            </w:r>
          </w:p>
        </w:tc>
        <w:tc>
          <w:tcPr>
            <w:tcW w:w="1818" w:type="pct"/>
            <w:gridSpan w:val="2"/>
            <w:vAlign w:val="center"/>
          </w:tcPr>
          <w:p w14:paraId="565AAD27">
            <w:pPr>
              <w:jc w:val="center"/>
              <w:rPr>
                <w:rFonts w:ascii="宋体" w:hAnsi="宋体" w:cs="宋体"/>
                <w:sz w:val="22"/>
                <w:szCs w:val="22"/>
                <w:highlight w:val="none"/>
              </w:rPr>
            </w:pPr>
            <w:r>
              <w:rPr>
                <w:rFonts w:hint="eastAsia" w:ascii="宋体" w:hAnsi="宋体" w:cs="宋体"/>
                <w:sz w:val="22"/>
                <w:szCs w:val="22"/>
                <w:highlight w:val="none"/>
              </w:rPr>
              <w:t>35t</w:t>
            </w:r>
          </w:p>
        </w:tc>
        <w:tc>
          <w:tcPr>
            <w:tcW w:w="1933" w:type="pct"/>
            <w:vAlign w:val="center"/>
          </w:tcPr>
          <w:p w14:paraId="59A115CF">
            <w:pPr>
              <w:jc w:val="center"/>
              <w:rPr>
                <w:rFonts w:ascii="宋体" w:hAnsi="宋体" w:cs="宋体"/>
                <w:sz w:val="22"/>
                <w:szCs w:val="22"/>
                <w:highlight w:val="none"/>
              </w:rPr>
            </w:pPr>
            <w:r>
              <w:rPr>
                <w:rFonts w:hint="eastAsia" w:ascii="宋体" w:hAnsi="宋体" w:cs="宋体"/>
                <w:sz w:val="22"/>
                <w:szCs w:val="22"/>
                <w:highlight w:val="none"/>
              </w:rPr>
              <w:t>25t</w:t>
            </w:r>
          </w:p>
        </w:tc>
      </w:tr>
      <w:tr w14:paraId="0E0FAE1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exact"/>
          <w:jc w:val="center"/>
        </w:trPr>
        <w:tc>
          <w:tcPr>
            <w:tcW w:w="682" w:type="pct"/>
            <w:vMerge w:val="continue"/>
            <w:vAlign w:val="center"/>
          </w:tcPr>
          <w:p w14:paraId="2AAB3570">
            <w:pPr>
              <w:jc w:val="center"/>
              <w:rPr>
                <w:rFonts w:ascii="宋体" w:hAnsi="宋体" w:cs="宋体"/>
                <w:sz w:val="22"/>
                <w:szCs w:val="22"/>
                <w:highlight w:val="none"/>
              </w:rPr>
            </w:pPr>
          </w:p>
        </w:tc>
        <w:tc>
          <w:tcPr>
            <w:tcW w:w="565" w:type="pct"/>
            <w:vAlign w:val="center"/>
          </w:tcPr>
          <w:p w14:paraId="290812F5">
            <w:pPr>
              <w:jc w:val="center"/>
              <w:rPr>
                <w:rFonts w:ascii="宋体" w:hAnsi="宋体" w:cs="宋体"/>
                <w:sz w:val="22"/>
                <w:szCs w:val="22"/>
                <w:highlight w:val="none"/>
              </w:rPr>
            </w:pPr>
            <w:r>
              <w:rPr>
                <w:rFonts w:hint="eastAsia" w:ascii="宋体" w:hAnsi="宋体" w:cs="宋体"/>
                <w:sz w:val="22"/>
                <w:szCs w:val="22"/>
                <w:highlight w:val="none"/>
              </w:rPr>
              <w:t>抓斗</w:t>
            </w:r>
          </w:p>
        </w:tc>
        <w:tc>
          <w:tcPr>
            <w:tcW w:w="1818" w:type="pct"/>
            <w:gridSpan w:val="2"/>
            <w:vAlign w:val="center"/>
          </w:tcPr>
          <w:p w14:paraId="4C5857F8">
            <w:pPr>
              <w:jc w:val="center"/>
              <w:rPr>
                <w:rFonts w:ascii="宋体" w:hAnsi="宋体" w:cs="宋体"/>
                <w:sz w:val="22"/>
                <w:szCs w:val="22"/>
                <w:highlight w:val="none"/>
              </w:rPr>
            </w:pPr>
            <w:r>
              <w:rPr>
                <w:rFonts w:hint="eastAsia" w:ascii="宋体" w:hAnsi="宋体" w:cs="宋体"/>
                <w:sz w:val="22"/>
                <w:szCs w:val="22"/>
                <w:highlight w:val="none"/>
              </w:rPr>
              <w:t>16t</w:t>
            </w:r>
          </w:p>
        </w:tc>
        <w:tc>
          <w:tcPr>
            <w:tcW w:w="1933" w:type="pct"/>
            <w:vAlign w:val="center"/>
          </w:tcPr>
          <w:p w14:paraId="7CFECB4B">
            <w:pPr>
              <w:jc w:val="center"/>
              <w:rPr>
                <w:rFonts w:ascii="宋体" w:hAnsi="宋体" w:cs="宋体"/>
                <w:sz w:val="22"/>
                <w:szCs w:val="22"/>
                <w:highlight w:val="none"/>
              </w:rPr>
            </w:pPr>
            <w:r>
              <w:rPr>
                <w:rFonts w:hint="eastAsia" w:ascii="宋体" w:hAnsi="宋体" w:cs="宋体"/>
                <w:sz w:val="22"/>
                <w:szCs w:val="22"/>
                <w:highlight w:val="none"/>
              </w:rPr>
              <w:t>16t</w:t>
            </w:r>
          </w:p>
        </w:tc>
      </w:tr>
      <w:tr w14:paraId="75E4DBB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exact"/>
          <w:jc w:val="center"/>
        </w:trPr>
        <w:tc>
          <w:tcPr>
            <w:tcW w:w="1247" w:type="pct"/>
            <w:gridSpan w:val="2"/>
            <w:vMerge w:val="restart"/>
            <w:vAlign w:val="center"/>
          </w:tcPr>
          <w:p w14:paraId="07852095">
            <w:pPr>
              <w:jc w:val="center"/>
              <w:rPr>
                <w:rFonts w:ascii="宋体" w:hAnsi="宋体" w:cs="宋体"/>
                <w:sz w:val="22"/>
                <w:szCs w:val="22"/>
                <w:highlight w:val="none"/>
              </w:rPr>
            </w:pPr>
            <w:r>
              <w:rPr>
                <w:rFonts w:hint="eastAsia" w:ascii="宋体" w:hAnsi="宋体" w:cs="宋体"/>
                <w:sz w:val="22"/>
                <w:szCs w:val="22"/>
                <w:highlight w:val="none"/>
              </w:rPr>
              <w:t>作业幅度</w:t>
            </w:r>
          </w:p>
        </w:tc>
        <w:tc>
          <w:tcPr>
            <w:tcW w:w="1818" w:type="pct"/>
            <w:gridSpan w:val="2"/>
            <w:vAlign w:val="center"/>
          </w:tcPr>
          <w:p w14:paraId="75173B4D">
            <w:pPr>
              <w:jc w:val="center"/>
              <w:rPr>
                <w:rFonts w:ascii="宋体" w:hAnsi="宋体" w:cs="宋体"/>
                <w:sz w:val="22"/>
                <w:szCs w:val="22"/>
                <w:highlight w:val="none"/>
              </w:rPr>
            </w:pPr>
            <w:r>
              <w:rPr>
                <w:rFonts w:hint="eastAsia" w:ascii="宋体" w:hAnsi="宋体" w:cs="宋体"/>
                <w:sz w:val="22"/>
                <w:szCs w:val="22"/>
                <w:highlight w:val="none"/>
              </w:rPr>
              <w:t>Max 30m</w:t>
            </w:r>
          </w:p>
        </w:tc>
        <w:tc>
          <w:tcPr>
            <w:tcW w:w="1933" w:type="pct"/>
            <w:vAlign w:val="center"/>
          </w:tcPr>
          <w:p w14:paraId="3A96214A">
            <w:pPr>
              <w:jc w:val="center"/>
              <w:rPr>
                <w:rFonts w:ascii="宋体" w:hAnsi="宋体" w:cs="宋体"/>
                <w:sz w:val="22"/>
                <w:szCs w:val="22"/>
                <w:highlight w:val="none"/>
              </w:rPr>
            </w:pPr>
            <w:r>
              <w:rPr>
                <w:rFonts w:hint="eastAsia" w:ascii="宋体" w:hAnsi="宋体" w:cs="宋体"/>
                <w:sz w:val="22"/>
                <w:szCs w:val="22"/>
                <w:highlight w:val="none"/>
              </w:rPr>
              <w:t>Max 30m</w:t>
            </w:r>
          </w:p>
        </w:tc>
      </w:tr>
      <w:tr w14:paraId="63BBFB0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exact"/>
          <w:jc w:val="center"/>
        </w:trPr>
        <w:tc>
          <w:tcPr>
            <w:tcW w:w="1247" w:type="pct"/>
            <w:gridSpan w:val="2"/>
            <w:vMerge w:val="continue"/>
            <w:vAlign w:val="center"/>
          </w:tcPr>
          <w:p w14:paraId="7DFA171C">
            <w:pPr>
              <w:jc w:val="center"/>
              <w:rPr>
                <w:rFonts w:ascii="宋体" w:hAnsi="宋体" w:cs="宋体"/>
                <w:sz w:val="22"/>
                <w:szCs w:val="22"/>
                <w:highlight w:val="none"/>
              </w:rPr>
            </w:pPr>
          </w:p>
        </w:tc>
        <w:tc>
          <w:tcPr>
            <w:tcW w:w="1818" w:type="pct"/>
            <w:gridSpan w:val="2"/>
            <w:vAlign w:val="center"/>
          </w:tcPr>
          <w:p w14:paraId="20B12EAA">
            <w:pPr>
              <w:jc w:val="center"/>
              <w:rPr>
                <w:rFonts w:ascii="宋体" w:hAnsi="宋体" w:cs="宋体"/>
                <w:sz w:val="22"/>
                <w:szCs w:val="22"/>
                <w:highlight w:val="none"/>
              </w:rPr>
            </w:pPr>
            <w:r>
              <w:rPr>
                <w:rFonts w:hint="eastAsia" w:ascii="宋体" w:hAnsi="宋体" w:cs="宋体"/>
                <w:sz w:val="22"/>
                <w:szCs w:val="22"/>
                <w:highlight w:val="none"/>
              </w:rPr>
              <w:t>Min 11m</w:t>
            </w:r>
          </w:p>
        </w:tc>
        <w:tc>
          <w:tcPr>
            <w:tcW w:w="1933" w:type="pct"/>
            <w:vAlign w:val="center"/>
          </w:tcPr>
          <w:p w14:paraId="4C6E01FE">
            <w:pPr>
              <w:jc w:val="center"/>
              <w:rPr>
                <w:rFonts w:ascii="宋体" w:hAnsi="宋体" w:cs="宋体"/>
                <w:sz w:val="22"/>
                <w:szCs w:val="22"/>
                <w:highlight w:val="none"/>
              </w:rPr>
            </w:pPr>
            <w:r>
              <w:rPr>
                <w:rFonts w:hint="eastAsia" w:ascii="宋体" w:hAnsi="宋体" w:cs="宋体"/>
                <w:sz w:val="22"/>
                <w:szCs w:val="22"/>
                <w:highlight w:val="none"/>
              </w:rPr>
              <w:t>Min 9m</w:t>
            </w:r>
          </w:p>
        </w:tc>
      </w:tr>
      <w:tr w14:paraId="5C93D37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exact"/>
          <w:jc w:val="center"/>
        </w:trPr>
        <w:tc>
          <w:tcPr>
            <w:tcW w:w="682" w:type="pct"/>
            <w:vMerge w:val="restart"/>
            <w:vAlign w:val="center"/>
          </w:tcPr>
          <w:p w14:paraId="5FD49CCD">
            <w:pPr>
              <w:jc w:val="center"/>
              <w:rPr>
                <w:rFonts w:ascii="宋体" w:hAnsi="宋体" w:cs="宋体"/>
                <w:sz w:val="22"/>
                <w:szCs w:val="22"/>
                <w:highlight w:val="none"/>
              </w:rPr>
            </w:pPr>
            <w:r>
              <w:rPr>
                <w:rFonts w:hint="eastAsia" w:ascii="宋体" w:hAnsi="宋体" w:cs="宋体"/>
                <w:sz w:val="22"/>
                <w:szCs w:val="22"/>
                <w:highlight w:val="none"/>
              </w:rPr>
              <w:t>额定速度</w:t>
            </w:r>
          </w:p>
        </w:tc>
        <w:tc>
          <w:tcPr>
            <w:tcW w:w="565" w:type="pct"/>
            <w:vMerge w:val="restart"/>
            <w:vAlign w:val="center"/>
          </w:tcPr>
          <w:p w14:paraId="48ED3A70">
            <w:pPr>
              <w:jc w:val="center"/>
              <w:rPr>
                <w:rFonts w:ascii="宋体" w:hAnsi="宋体" w:cs="宋体"/>
                <w:sz w:val="22"/>
                <w:szCs w:val="22"/>
                <w:highlight w:val="none"/>
              </w:rPr>
            </w:pPr>
            <w:r>
              <w:rPr>
                <w:rFonts w:hint="eastAsia" w:ascii="宋体" w:hAnsi="宋体" w:cs="宋体"/>
                <w:sz w:val="22"/>
                <w:szCs w:val="22"/>
                <w:highlight w:val="none"/>
              </w:rPr>
              <w:t>起升</w:t>
            </w:r>
          </w:p>
        </w:tc>
        <w:tc>
          <w:tcPr>
            <w:tcW w:w="558" w:type="pct"/>
            <w:vAlign w:val="center"/>
          </w:tcPr>
          <w:p w14:paraId="60A1D044">
            <w:pPr>
              <w:jc w:val="center"/>
              <w:rPr>
                <w:rFonts w:ascii="宋体" w:hAnsi="宋体" w:cs="宋体"/>
                <w:sz w:val="22"/>
                <w:szCs w:val="22"/>
                <w:highlight w:val="none"/>
              </w:rPr>
            </w:pPr>
            <w:r>
              <w:rPr>
                <w:rFonts w:hint="eastAsia" w:ascii="宋体" w:hAnsi="宋体" w:cs="宋体"/>
                <w:sz w:val="22"/>
                <w:szCs w:val="22"/>
                <w:highlight w:val="none"/>
              </w:rPr>
              <w:t>吊钩</w:t>
            </w:r>
          </w:p>
        </w:tc>
        <w:tc>
          <w:tcPr>
            <w:tcW w:w="1260" w:type="pct"/>
            <w:vAlign w:val="center"/>
          </w:tcPr>
          <w:p w14:paraId="1D2F5F58">
            <w:pPr>
              <w:jc w:val="center"/>
              <w:rPr>
                <w:rFonts w:ascii="宋体" w:hAnsi="宋体" w:cs="宋体"/>
                <w:sz w:val="22"/>
                <w:szCs w:val="22"/>
                <w:highlight w:val="none"/>
              </w:rPr>
            </w:pPr>
            <w:r>
              <w:rPr>
                <w:rFonts w:hint="eastAsia" w:ascii="宋体" w:hAnsi="宋体" w:cs="宋体"/>
                <w:sz w:val="22"/>
                <w:szCs w:val="22"/>
                <w:highlight w:val="none"/>
              </w:rPr>
              <w:t>16m/min</w:t>
            </w:r>
          </w:p>
        </w:tc>
        <w:tc>
          <w:tcPr>
            <w:tcW w:w="1933" w:type="pct"/>
            <w:vAlign w:val="center"/>
          </w:tcPr>
          <w:p w14:paraId="7A92BC5C">
            <w:pPr>
              <w:jc w:val="center"/>
              <w:rPr>
                <w:rFonts w:ascii="宋体" w:hAnsi="宋体" w:cs="宋体"/>
                <w:sz w:val="22"/>
                <w:szCs w:val="22"/>
                <w:highlight w:val="none"/>
              </w:rPr>
            </w:pPr>
            <w:r>
              <w:rPr>
                <w:rFonts w:hint="eastAsia" w:ascii="宋体" w:hAnsi="宋体" w:cs="宋体"/>
                <w:sz w:val="22"/>
                <w:szCs w:val="22"/>
                <w:highlight w:val="none"/>
              </w:rPr>
              <w:t>35m/min</w:t>
            </w:r>
          </w:p>
        </w:tc>
      </w:tr>
      <w:tr w14:paraId="0A32610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exact"/>
          <w:jc w:val="center"/>
        </w:trPr>
        <w:tc>
          <w:tcPr>
            <w:tcW w:w="682" w:type="pct"/>
            <w:vMerge w:val="continue"/>
            <w:vAlign w:val="center"/>
          </w:tcPr>
          <w:p w14:paraId="46BD4C85">
            <w:pPr>
              <w:jc w:val="center"/>
              <w:rPr>
                <w:rFonts w:ascii="宋体" w:hAnsi="宋体" w:cs="宋体"/>
                <w:sz w:val="22"/>
                <w:szCs w:val="22"/>
                <w:highlight w:val="none"/>
              </w:rPr>
            </w:pPr>
          </w:p>
        </w:tc>
        <w:tc>
          <w:tcPr>
            <w:tcW w:w="565" w:type="pct"/>
            <w:vMerge w:val="continue"/>
            <w:vAlign w:val="center"/>
          </w:tcPr>
          <w:p w14:paraId="639D9A7F">
            <w:pPr>
              <w:jc w:val="center"/>
              <w:rPr>
                <w:rFonts w:ascii="宋体" w:hAnsi="宋体" w:cs="宋体"/>
                <w:sz w:val="22"/>
                <w:szCs w:val="22"/>
                <w:highlight w:val="none"/>
              </w:rPr>
            </w:pPr>
          </w:p>
        </w:tc>
        <w:tc>
          <w:tcPr>
            <w:tcW w:w="558" w:type="pct"/>
            <w:vAlign w:val="center"/>
          </w:tcPr>
          <w:p w14:paraId="4EA0C648">
            <w:pPr>
              <w:jc w:val="center"/>
              <w:rPr>
                <w:rFonts w:ascii="宋体" w:hAnsi="宋体" w:cs="宋体"/>
                <w:sz w:val="22"/>
                <w:szCs w:val="22"/>
                <w:highlight w:val="none"/>
              </w:rPr>
            </w:pPr>
            <w:r>
              <w:rPr>
                <w:rFonts w:hint="eastAsia" w:ascii="宋体" w:hAnsi="宋体" w:cs="宋体"/>
                <w:sz w:val="22"/>
                <w:szCs w:val="22"/>
                <w:highlight w:val="none"/>
              </w:rPr>
              <w:t>抓斗</w:t>
            </w:r>
          </w:p>
        </w:tc>
        <w:tc>
          <w:tcPr>
            <w:tcW w:w="1260" w:type="pct"/>
            <w:vAlign w:val="center"/>
          </w:tcPr>
          <w:p w14:paraId="0F62E2AA">
            <w:pPr>
              <w:jc w:val="center"/>
              <w:rPr>
                <w:rFonts w:ascii="宋体" w:hAnsi="宋体" w:cs="宋体"/>
                <w:sz w:val="22"/>
                <w:szCs w:val="22"/>
                <w:highlight w:val="none"/>
              </w:rPr>
            </w:pPr>
            <w:r>
              <w:rPr>
                <w:rFonts w:hint="eastAsia" w:ascii="宋体" w:hAnsi="宋体" w:cs="宋体"/>
                <w:sz w:val="22"/>
                <w:szCs w:val="22"/>
                <w:highlight w:val="none"/>
              </w:rPr>
              <w:t>31m/min</w:t>
            </w:r>
          </w:p>
        </w:tc>
        <w:tc>
          <w:tcPr>
            <w:tcW w:w="1933" w:type="pct"/>
            <w:vAlign w:val="center"/>
          </w:tcPr>
          <w:p w14:paraId="7FCD3CEA">
            <w:pPr>
              <w:jc w:val="center"/>
              <w:rPr>
                <w:rFonts w:ascii="宋体" w:hAnsi="宋体" w:cs="宋体"/>
                <w:sz w:val="22"/>
                <w:szCs w:val="22"/>
                <w:highlight w:val="none"/>
              </w:rPr>
            </w:pPr>
            <w:r>
              <w:rPr>
                <w:rFonts w:hint="eastAsia" w:ascii="宋体" w:hAnsi="宋体" w:cs="宋体"/>
                <w:sz w:val="22"/>
                <w:szCs w:val="22"/>
                <w:highlight w:val="none"/>
              </w:rPr>
              <w:t>70m/min</w:t>
            </w:r>
          </w:p>
        </w:tc>
      </w:tr>
      <w:tr w14:paraId="043CCDB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exact"/>
          <w:jc w:val="center"/>
        </w:trPr>
        <w:tc>
          <w:tcPr>
            <w:tcW w:w="682" w:type="pct"/>
            <w:vMerge w:val="continue"/>
            <w:vAlign w:val="center"/>
          </w:tcPr>
          <w:p w14:paraId="5DA7E1D8">
            <w:pPr>
              <w:jc w:val="center"/>
              <w:rPr>
                <w:rFonts w:ascii="宋体" w:hAnsi="宋体" w:cs="宋体"/>
                <w:sz w:val="22"/>
                <w:szCs w:val="22"/>
                <w:highlight w:val="none"/>
              </w:rPr>
            </w:pPr>
          </w:p>
        </w:tc>
        <w:tc>
          <w:tcPr>
            <w:tcW w:w="1124" w:type="pct"/>
            <w:gridSpan w:val="2"/>
            <w:vAlign w:val="center"/>
          </w:tcPr>
          <w:p w14:paraId="32EB081C">
            <w:pPr>
              <w:jc w:val="center"/>
              <w:rPr>
                <w:rFonts w:ascii="宋体" w:hAnsi="宋体" w:cs="宋体"/>
                <w:sz w:val="22"/>
                <w:szCs w:val="22"/>
                <w:highlight w:val="none"/>
              </w:rPr>
            </w:pPr>
            <w:r>
              <w:rPr>
                <w:rFonts w:hint="eastAsia" w:ascii="宋体" w:hAnsi="宋体" w:cs="宋体"/>
                <w:sz w:val="22"/>
                <w:szCs w:val="22"/>
                <w:highlight w:val="none"/>
              </w:rPr>
              <w:t>变幅</w:t>
            </w:r>
          </w:p>
        </w:tc>
        <w:tc>
          <w:tcPr>
            <w:tcW w:w="1260" w:type="pct"/>
            <w:vAlign w:val="center"/>
          </w:tcPr>
          <w:p w14:paraId="3E27E871">
            <w:pPr>
              <w:jc w:val="center"/>
              <w:rPr>
                <w:rFonts w:ascii="宋体" w:hAnsi="宋体" w:cs="宋体"/>
                <w:sz w:val="22"/>
                <w:szCs w:val="22"/>
                <w:highlight w:val="none"/>
              </w:rPr>
            </w:pPr>
            <w:r>
              <w:rPr>
                <w:rFonts w:hint="eastAsia" w:ascii="宋体" w:hAnsi="宋体" w:cs="宋体"/>
                <w:sz w:val="22"/>
                <w:szCs w:val="22"/>
                <w:highlight w:val="none"/>
              </w:rPr>
              <w:t>21m/min</w:t>
            </w:r>
          </w:p>
        </w:tc>
        <w:tc>
          <w:tcPr>
            <w:tcW w:w="1933" w:type="pct"/>
            <w:vAlign w:val="center"/>
          </w:tcPr>
          <w:p w14:paraId="11937CBF">
            <w:pPr>
              <w:jc w:val="center"/>
              <w:rPr>
                <w:rFonts w:ascii="宋体" w:hAnsi="宋体" w:cs="宋体"/>
                <w:sz w:val="22"/>
                <w:szCs w:val="22"/>
                <w:highlight w:val="none"/>
              </w:rPr>
            </w:pPr>
            <w:r>
              <w:rPr>
                <w:rFonts w:hint="eastAsia" w:ascii="宋体" w:hAnsi="宋体" w:cs="宋体"/>
                <w:sz w:val="22"/>
                <w:szCs w:val="22"/>
                <w:highlight w:val="none"/>
              </w:rPr>
              <w:t>50m/min</w:t>
            </w:r>
          </w:p>
        </w:tc>
      </w:tr>
      <w:tr w14:paraId="009FB01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exact"/>
          <w:jc w:val="center"/>
        </w:trPr>
        <w:tc>
          <w:tcPr>
            <w:tcW w:w="682" w:type="pct"/>
            <w:vMerge w:val="continue"/>
            <w:vAlign w:val="center"/>
          </w:tcPr>
          <w:p w14:paraId="2943322D">
            <w:pPr>
              <w:jc w:val="center"/>
              <w:rPr>
                <w:rFonts w:ascii="宋体" w:hAnsi="宋体" w:cs="宋体"/>
                <w:sz w:val="22"/>
                <w:szCs w:val="22"/>
                <w:highlight w:val="none"/>
              </w:rPr>
            </w:pPr>
          </w:p>
        </w:tc>
        <w:tc>
          <w:tcPr>
            <w:tcW w:w="1124" w:type="pct"/>
            <w:gridSpan w:val="2"/>
            <w:vAlign w:val="center"/>
          </w:tcPr>
          <w:p w14:paraId="4A596479">
            <w:pPr>
              <w:jc w:val="center"/>
              <w:rPr>
                <w:rFonts w:ascii="宋体" w:hAnsi="宋体" w:cs="宋体"/>
                <w:sz w:val="22"/>
                <w:szCs w:val="22"/>
                <w:highlight w:val="none"/>
              </w:rPr>
            </w:pPr>
            <w:r>
              <w:rPr>
                <w:rFonts w:hint="eastAsia" w:ascii="宋体" w:hAnsi="宋体" w:cs="宋体"/>
                <w:sz w:val="22"/>
                <w:szCs w:val="22"/>
                <w:highlight w:val="none"/>
              </w:rPr>
              <w:t>回转</w:t>
            </w:r>
          </w:p>
        </w:tc>
        <w:tc>
          <w:tcPr>
            <w:tcW w:w="1260" w:type="pct"/>
            <w:vAlign w:val="center"/>
          </w:tcPr>
          <w:p w14:paraId="15CC62BE">
            <w:pPr>
              <w:jc w:val="center"/>
              <w:rPr>
                <w:rFonts w:ascii="宋体" w:hAnsi="宋体" w:cs="宋体"/>
                <w:sz w:val="22"/>
                <w:szCs w:val="22"/>
                <w:highlight w:val="none"/>
              </w:rPr>
            </w:pPr>
            <w:r>
              <w:rPr>
                <w:rFonts w:hint="eastAsia" w:ascii="宋体" w:hAnsi="宋体" w:cs="宋体"/>
                <w:sz w:val="22"/>
                <w:szCs w:val="22"/>
                <w:highlight w:val="none"/>
              </w:rPr>
              <w:t>1.34r/min</w:t>
            </w:r>
          </w:p>
        </w:tc>
        <w:tc>
          <w:tcPr>
            <w:tcW w:w="1933" w:type="pct"/>
            <w:vAlign w:val="center"/>
          </w:tcPr>
          <w:p w14:paraId="57398E08">
            <w:pPr>
              <w:jc w:val="center"/>
              <w:rPr>
                <w:rFonts w:ascii="宋体" w:hAnsi="宋体" w:cs="宋体"/>
                <w:sz w:val="22"/>
                <w:szCs w:val="22"/>
                <w:highlight w:val="none"/>
              </w:rPr>
            </w:pPr>
            <w:r>
              <w:rPr>
                <w:rFonts w:hint="eastAsia" w:ascii="宋体" w:hAnsi="宋体" w:cs="宋体"/>
                <w:sz w:val="22"/>
                <w:szCs w:val="22"/>
                <w:highlight w:val="none"/>
              </w:rPr>
              <w:t>1.4r/min</w:t>
            </w:r>
          </w:p>
        </w:tc>
      </w:tr>
      <w:tr w14:paraId="5401C83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exact"/>
          <w:jc w:val="center"/>
        </w:trPr>
        <w:tc>
          <w:tcPr>
            <w:tcW w:w="682" w:type="pct"/>
            <w:vMerge w:val="continue"/>
            <w:vAlign w:val="center"/>
          </w:tcPr>
          <w:p w14:paraId="35A50C63">
            <w:pPr>
              <w:jc w:val="center"/>
              <w:rPr>
                <w:rFonts w:ascii="宋体" w:hAnsi="宋体" w:cs="宋体"/>
                <w:sz w:val="22"/>
                <w:szCs w:val="22"/>
                <w:highlight w:val="none"/>
              </w:rPr>
            </w:pPr>
          </w:p>
        </w:tc>
        <w:tc>
          <w:tcPr>
            <w:tcW w:w="1124" w:type="pct"/>
            <w:gridSpan w:val="2"/>
            <w:vAlign w:val="center"/>
          </w:tcPr>
          <w:p w14:paraId="6797BF71">
            <w:pPr>
              <w:jc w:val="center"/>
              <w:rPr>
                <w:rFonts w:ascii="宋体" w:hAnsi="宋体" w:cs="宋体"/>
                <w:sz w:val="22"/>
                <w:szCs w:val="22"/>
                <w:highlight w:val="none"/>
              </w:rPr>
            </w:pPr>
            <w:r>
              <w:rPr>
                <w:rFonts w:hint="eastAsia" w:ascii="宋体" w:hAnsi="宋体" w:cs="宋体"/>
                <w:sz w:val="22"/>
                <w:szCs w:val="22"/>
                <w:highlight w:val="none"/>
              </w:rPr>
              <w:t>行走</w:t>
            </w:r>
          </w:p>
        </w:tc>
        <w:tc>
          <w:tcPr>
            <w:tcW w:w="1260" w:type="pct"/>
            <w:vAlign w:val="center"/>
          </w:tcPr>
          <w:p w14:paraId="5F7F7E84">
            <w:pPr>
              <w:jc w:val="center"/>
              <w:rPr>
                <w:rFonts w:ascii="宋体" w:hAnsi="宋体" w:cs="宋体"/>
                <w:sz w:val="22"/>
                <w:szCs w:val="22"/>
                <w:highlight w:val="none"/>
              </w:rPr>
            </w:pPr>
            <w:r>
              <w:rPr>
                <w:rFonts w:hint="eastAsia" w:ascii="宋体" w:hAnsi="宋体" w:cs="宋体"/>
                <w:sz w:val="22"/>
                <w:szCs w:val="22"/>
                <w:highlight w:val="none"/>
              </w:rPr>
              <w:t>27m/min</w:t>
            </w:r>
          </w:p>
        </w:tc>
        <w:tc>
          <w:tcPr>
            <w:tcW w:w="1933" w:type="pct"/>
            <w:vAlign w:val="center"/>
          </w:tcPr>
          <w:p w14:paraId="27261170">
            <w:pPr>
              <w:jc w:val="center"/>
              <w:rPr>
                <w:rFonts w:ascii="宋体" w:hAnsi="宋体" w:cs="宋体"/>
                <w:sz w:val="22"/>
                <w:szCs w:val="22"/>
                <w:highlight w:val="none"/>
              </w:rPr>
            </w:pPr>
            <w:r>
              <w:rPr>
                <w:rFonts w:hint="eastAsia" w:ascii="宋体" w:hAnsi="宋体" w:cs="宋体"/>
                <w:sz w:val="22"/>
                <w:szCs w:val="22"/>
                <w:highlight w:val="none"/>
              </w:rPr>
              <w:t>26m/min</w:t>
            </w:r>
          </w:p>
        </w:tc>
      </w:tr>
      <w:tr w14:paraId="7FCB1F0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exact"/>
          <w:jc w:val="center"/>
        </w:trPr>
        <w:tc>
          <w:tcPr>
            <w:tcW w:w="1247" w:type="pct"/>
            <w:gridSpan w:val="2"/>
            <w:vAlign w:val="center"/>
          </w:tcPr>
          <w:p w14:paraId="285B67C9">
            <w:pPr>
              <w:jc w:val="center"/>
              <w:rPr>
                <w:rFonts w:ascii="宋体" w:hAnsi="宋体" w:cs="宋体"/>
                <w:sz w:val="22"/>
                <w:szCs w:val="22"/>
                <w:highlight w:val="none"/>
              </w:rPr>
            </w:pPr>
            <w:r>
              <w:rPr>
                <w:rFonts w:hint="eastAsia" w:ascii="宋体" w:hAnsi="宋体" w:cs="宋体"/>
                <w:sz w:val="22"/>
                <w:szCs w:val="22"/>
                <w:highlight w:val="none"/>
              </w:rPr>
              <w:t>大车轨距</w:t>
            </w:r>
          </w:p>
        </w:tc>
        <w:tc>
          <w:tcPr>
            <w:tcW w:w="1818" w:type="pct"/>
            <w:gridSpan w:val="2"/>
            <w:vAlign w:val="center"/>
          </w:tcPr>
          <w:p w14:paraId="1B74C3FA">
            <w:pPr>
              <w:jc w:val="center"/>
              <w:rPr>
                <w:rFonts w:ascii="宋体" w:hAnsi="宋体" w:cs="宋体"/>
                <w:sz w:val="22"/>
                <w:szCs w:val="22"/>
                <w:highlight w:val="none"/>
              </w:rPr>
            </w:pPr>
            <w:r>
              <w:rPr>
                <w:rFonts w:hint="eastAsia" w:ascii="宋体" w:hAnsi="宋体" w:cs="宋体"/>
                <w:sz w:val="22"/>
                <w:szCs w:val="22"/>
                <w:highlight w:val="none"/>
              </w:rPr>
              <w:t>10.5m</w:t>
            </w:r>
          </w:p>
        </w:tc>
        <w:tc>
          <w:tcPr>
            <w:tcW w:w="1933" w:type="pct"/>
            <w:vAlign w:val="center"/>
          </w:tcPr>
          <w:p w14:paraId="42163E08">
            <w:pPr>
              <w:jc w:val="center"/>
              <w:rPr>
                <w:rFonts w:ascii="宋体" w:hAnsi="宋体" w:cs="宋体"/>
                <w:sz w:val="22"/>
                <w:szCs w:val="22"/>
                <w:highlight w:val="none"/>
              </w:rPr>
            </w:pPr>
            <w:r>
              <w:rPr>
                <w:rFonts w:hint="eastAsia" w:ascii="宋体" w:hAnsi="宋体" w:cs="宋体"/>
                <w:sz w:val="22"/>
                <w:szCs w:val="22"/>
                <w:highlight w:val="none"/>
              </w:rPr>
              <w:t>10.5m</w:t>
            </w:r>
          </w:p>
        </w:tc>
      </w:tr>
      <w:tr w14:paraId="42F9BC8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exact"/>
          <w:jc w:val="center"/>
        </w:trPr>
        <w:tc>
          <w:tcPr>
            <w:tcW w:w="1247" w:type="pct"/>
            <w:gridSpan w:val="2"/>
            <w:vAlign w:val="center"/>
          </w:tcPr>
          <w:p w14:paraId="3AA4F0EE">
            <w:pPr>
              <w:jc w:val="center"/>
              <w:rPr>
                <w:rFonts w:ascii="宋体" w:hAnsi="宋体" w:cs="宋体"/>
                <w:sz w:val="22"/>
                <w:szCs w:val="22"/>
                <w:highlight w:val="none"/>
              </w:rPr>
            </w:pPr>
            <w:r>
              <w:rPr>
                <w:rFonts w:hint="eastAsia" w:ascii="宋体" w:hAnsi="宋体" w:cs="宋体"/>
                <w:sz w:val="22"/>
                <w:szCs w:val="22"/>
                <w:highlight w:val="none"/>
              </w:rPr>
              <w:t>基距</w:t>
            </w:r>
          </w:p>
        </w:tc>
        <w:tc>
          <w:tcPr>
            <w:tcW w:w="1818" w:type="pct"/>
            <w:gridSpan w:val="2"/>
            <w:vAlign w:val="center"/>
          </w:tcPr>
          <w:p w14:paraId="4B522BB2">
            <w:pPr>
              <w:jc w:val="center"/>
              <w:rPr>
                <w:rFonts w:ascii="宋体" w:hAnsi="宋体" w:cs="宋体"/>
                <w:sz w:val="22"/>
                <w:szCs w:val="22"/>
                <w:highlight w:val="none"/>
              </w:rPr>
            </w:pPr>
            <w:r>
              <w:rPr>
                <w:rFonts w:hint="eastAsia" w:ascii="宋体" w:hAnsi="宋体" w:cs="宋体"/>
                <w:sz w:val="22"/>
                <w:szCs w:val="22"/>
                <w:highlight w:val="none"/>
              </w:rPr>
              <w:t>10.5m</w:t>
            </w:r>
          </w:p>
        </w:tc>
        <w:tc>
          <w:tcPr>
            <w:tcW w:w="1933" w:type="pct"/>
            <w:vAlign w:val="center"/>
          </w:tcPr>
          <w:p w14:paraId="2F5CE9E3">
            <w:pPr>
              <w:jc w:val="center"/>
              <w:rPr>
                <w:rFonts w:ascii="宋体" w:hAnsi="宋体" w:cs="宋体"/>
                <w:sz w:val="22"/>
                <w:szCs w:val="22"/>
                <w:highlight w:val="none"/>
              </w:rPr>
            </w:pPr>
            <w:r>
              <w:rPr>
                <w:rFonts w:hint="eastAsia" w:ascii="宋体" w:hAnsi="宋体" w:cs="宋体"/>
                <w:sz w:val="22"/>
                <w:szCs w:val="22"/>
                <w:highlight w:val="none"/>
              </w:rPr>
              <w:t>10.5m</w:t>
            </w:r>
          </w:p>
        </w:tc>
      </w:tr>
      <w:tr w14:paraId="51E464A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exact"/>
          <w:jc w:val="center"/>
        </w:trPr>
        <w:tc>
          <w:tcPr>
            <w:tcW w:w="682" w:type="pct"/>
            <w:vMerge w:val="restart"/>
            <w:vAlign w:val="center"/>
          </w:tcPr>
          <w:p w14:paraId="2A1EF127">
            <w:pPr>
              <w:jc w:val="center"/>
              <w:rPr>
                <w:rFonts w:ascii="宋体" w:hAnsi="宋体" w:cs="宋体"/>
                <w:sz w:val="22"/>
                <w:szCs w:val="22"/>
                <w:highlight w:val="none"/>
              </w:rPr>
            </w:pPr>
            <w:r>
              <w:rPr>
                <w:rFonts w:hint="eastAsia" w:ascii="宋体" w:hAnsi="宋体" w:cs="宋体"/>
                <w:sz w:val="22"/>
                <w:szCs w:val="22"/>
                <w:highlight w:val="none"/>
              </w:rPr>
              <w:t>起升高度</w:t>
            </w:r>
          </w:p>
        </w:tc>
        <w:tc>
          <w:tcPr>
            <w:tcW w:w="565" w:type="pct"/>
            <w:vAlign w:val="center"/>
          </w:tcPr>
          <w:p w14:paraId="27D7C944">
            <w:pPr>
              <w:jc w:val="center"/>
              <w:rPr>
                <w:rFonts w:ascii="宋体" w:hAnsi="宋体" w:cs="宋体"/>
                <w:sz w:val="22"/>
                <w:szCs w:val="22"/>
                <w:highlight w:val="none"/>
              </w:rPr>
            </w:pPr>
            <w:r>
              <w:rPr>
                <w:rFonts w:hint="eastAsia" w:ascii="宋体" w:hAnsi="宋体" w:cs="宋体"/>
                <w:sz w:val="22"/>
                <w:szCs w:val="22"/>
                <w:highlight w:val="none"/>
              </w:rPr>
              <w:t>轨上</w:t>
            </w:r>
          </w:p>
        </w:tc>
        <w:tc>
          <w:tcPr>
            <w:tcW w:w="1818" w:type="pct"/>
            <w:gridSpan w:val="2"/>
            <w:vAlign w:val="center"/>
          </w:tcPr>
          <w:p w14:paraId="385584FD">
            <w:pPr>
              <w:jc w:val="center"/>
              <w:rPr>
                <w:rFonts w:ascii="宋体" w:hAnsi="宋体" w:cs="宋体"/>
                <w:sz w:val="22"/>
                <w:szCs w:val="22"/>
                <w:highlight w:val="none"/>
              </w:rPr>
            </w:pPr>
            <w:r>
              <w:rPr>
                <w:rFonts w:hint="eastAsia" w:ascii="宋体" w:hAnsi="宋体" w:cs="宋体"/>
                <w:sz w:val="22"/>
                <w:szCs w:val="22"/>
                <w:highlight w:val="none"/>
              </w:rPr>
              <w:t>吊钩：25m    抓斗：16m</w:t>
            </w:r>
          </w:p>
        </w:tc>
        <w:tc>
          <w:tcPr>
            <w:tcW w:w="1933" w:type="pct"/>
            <w:vAlign w:val="center"/>
          </w:tcPr>
          <w:p w14:paraId="2149B597">
            <w:pPr>
              <w:jc w:val="center"/>
              <w:rPr>
                <w:rFonts w:ascii="宋体" w:hAnsi="宋体" w:cs="宋体"/>
                <w:sz w:val="22"/>
                <w:szCs w:val="22"/>
                <w:highlight w:val="none"/>
              </w:rPr>
            </w:pPr>
            <w:r>
              <w:rPr>
                <w:rFonts w:hint="eastAsia" w:ascii="宋体" w:hAnsi="宋体" w:cs="宋体"/>
                <w:sz w:val="22"/>
                <w:szCs w:val="22"/>
                <w:highlight w:val="none"/>
              </w:rPr>
              <w:t>吊钩：23m    抓斗：15m</w:t>
            </w:r>
          </w:p>
        </w:tc>
      </w:tr>
      <w:tr w14:paraId="65C2584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exact"/>
          <w:jc w:val="center"/>
        </w:trPr>
        <w:tc>
          <w:tcPr>
            <w:tcW w:w="682" w:type="pct"/>
            <w:vMerge w:val="continue"/>
            <w:vAlign w:val="center"/>
          </w:tcPr>
          <w:p w14:paraId="08E15864">
            <w:pPr>
              <w:jc w:val="center"/>
              <w:rPr>
                <w:rFonts w:ascii="宋体" w:hAnsi="宋体" w:cs="宋体"/>
                <w:sz w:val="22"/>
                <w:szCs w:val="22"/>
                <w:highlight w:val="none"/>
              </w:rPr>
            </w:pPr>
          </w:p>
        </w:tc>
        <w:tc>
          <w:tcPr>
            <w:tcW w:w="565" w:type="pct"/>
            <w:vAlign w:val="center"/>
          </w:tcPr>
          <w:p w14:paraId="72EEA15B">
            <w:pPr>
              <w:jc w:val="center"/>
              <w:rPr>
                <w:rFonts w:ascii="宋体" w:hAnsi="宋体" w:cs="宋体"/>
                <w:sz w:val="22"/>
                <w:szCs w:val="22"/>
                <w:highlight w:val="none"/>
              </w:rPr>
            </w:pPr>
            <w:r>
              <w:rPr>
                <w:rFonts w:hint="eastAsia" w:ascii="宋体" w:hAnsi="宋体" w:cs="宋体"/>
                <w:sz w:val="22"/>
                <w:szCs w:val="22"/>
                <w:highlight w:val="none"/>
              </w:rPr>
              <w:t>轨下</w:t>
            </w:r>
          </w:p>
        </w:tc>
        <w:tc>
          <w:tcPr>
            <w:tcW w:w="1818" w:type="pct"/>
            <w:gridSpan w:val="2"/>
            <w:vAlign w:val="center"/>
          </w:tcPr>
          <w:p w14:paraId="17E434C6">
            <w:pPr>
              <w:jc w:val="center"/>
              <w:rPr>
                <w:rFonts w:ascii="宋体" w:hAnsi="宋体" w:cs="宋体"/>
                <w:sz w:val="22"/>
                <w:szCs w:val="22"/>
                <w:highlight w:val="none"/>
              </w:rPr>
            </w:pPr>
            <w:r>
              <w:rPr>
                <w:rFonts w:hint="eastAsia" w:ascii="宋体" w:hAnsi="宋体" w:cs="宋体"/>
                <w:sz w:val="22"/>
                <w:szCs w:val="22"/>
                <w:highlight w:val="none"/>
              </w:rPr>
              <w:t>12m</w:t>
            </w:r>
          </w:p>
        </w:tc>
        <w:tc>
          <w:tcPr>
            <w:tcW w:w="1933" w:type="pct"/>
            <w:vAlign w:val="center"/>
          </w:tcPr>
          <w:p w14:paraId="3F7A7662">
            <w:pPr>
              <w:jc w:val="center"/>
              <w:rPr>
                <w:rFonts w:ascii="宋体" w:hAnsi="宋体" w:cs="宋体"/>
                <w:sz w:val="22"/>
                <w:szCs w:val="22"/>
                <w:highlight w:val="none"/>
              </w:rPr>
            </w:pPr>
            <w:r>
              <w:rPr>
                <w:rFonts w:hint="eastAsia" w:ascii="宋体" w:hAnsi="宋体" w:cs="宋体"/>
                <w:sz w:val="22"/>
                <w:szCs w:val="22"/>
                <w:highlight w:val="none"/>
              </w:rPr>
              <w:t>15m</w:t>
            </w:r>
          </w:p>
        </w:tc>
      </w:tr>
      <w:tr w14:paraId="2FBDBB6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exact"/>
          <w:jc w:val="center"/>
        </w:trPr>
        <w:tc>
          <w:tcPr>
            <w:tcW w:w="1247" w:type="pct"/>
            <w:gridSpan w:val="2"/>
            <w:vAlign w:val="center"/>
          </w:tcPr>
          <w:p w14:paraId="2985E7E3">
            <w:pPr>
              <w:jc w:val="center"/>
              <w:rPr>
                <w:rFonts w:ascii="宋体" w:hAnsi="宋体" w:cs="宋体"/>
                <w:sz w:val="22"/>
                <w:szCs w:val="22"/>
                <w:highlight w:val="none"/>
              </w:rPr>
            </w:pPr>
            <w:r>
              <w:rPr>
                <w:rFonts w:hint="eastAsia" w:ascii="宋体" w:hAnsi="宋体" w:cs="宋体"/>
                <w:sz w:val="22"/>
                <w:szCs w:val="22"/>
                <w:highlight w:val="none"/>
              </w:rPr>
              <w:t>最大轮压</w:t>
            </w:r>
          </w:p>
        </w:tc>
        <w:tc>
          <w:tcPr>
            <w:tcW w:w="1818" w:type="pct"/>
            <w:gridSpan w:val="2"/>
            <w:vAlign w:val="center"/>
          </w:tcPr>
          <w:p w14:paraId="2C2C3896">
            <w:pPr>
              <w:jc w:val="center"/>
              <w:rPr>
                <w:rFonts w:ascii="宋体" w:hAnsi="宋体" w:cs="宋体"/>
                <w:sz w:val="22"/>
                <w:szCs w:val="22"/>
                <w:highlight w:val="none"/>
              </w:rPr>
            </w:pPr>
            <w:r>
              <w:rPr>
                <w:rFonts w:hint="eastAsia" w:ascii="宋体" w:hAnsi="宋体" w:cs="宋体"/>
                <w:sz w:val="22"/>
                <w:szCs w:val="22"/>
                <w:highlight w:val="none"/>
              </w:rPr>
              <w:t>22t</w:t>
            </w:r>
          </w:p>
        </w:tc>
        <w:tc>
          <w:tcPr>
            <w:tcW w:w="1933" w:type="pct"/>
            <w:vAlign w:val="center"/>
          </w:tcPr>
          <w:p w14:paraId="2AAFE04C">
            <w:pPr>
              <w:jc w:val="center"/>
              <w:rPr>
                <w:rFonts w:ascii="宋体" w:hAnsi="宋体" w:cs="宋体"/>
                <w:sz w:val="22"/>
                <w:szCs w:val="22"/>
                <w:highlight w:val="none"/>
              </w:rPr>
            </w:pPr>
            <w:r>
              <w:rPr>
                <w:rFonts w:hint="eastAsia" w:ascii="宋体" w:hAnsi="宋体" w:cs="宋体"/>
                <w:sz w:val="22"/>
                <w:szCs w:val="22"/>
                <w:highlight w:val="none"/>
              </w:rPr>
              <w:t>25t</w:t>
            </w:r>
          </w:p>
        </w:tc>
      </w:tr>
      <w:tr w14:paraId="7293643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exact"/>
          <w:jc w:val="center"/>
        </w:trPr>
        <w:tc>
          <w:tcPr>
            <w:tcW w:w="1247" w:type="pct"/>
            <w:gridSpan w:val="2"/>
            <w:vAlign w:val="center"/>
          </w:tcPr>
          <w:p w14:paraId="6FB48A24">
            <w:pPr>
              <w:jc w:val="center"/>
              <w:rPr>
                <w:rFonts w:ascii="宋体" w:hAnsi="宋体" w:cs="宋体"/>
                <w:sz w:val="22"/>
                <w:szCs w:val="22"/>
                <w:highlight w:val="none"/>
              </w:rPr>
            </w:pPr>
            <w:r>
              <w:rPr>
                <w:rFonts w:hint="eastAsia" w:ascii="宋体" w:hAnsi="宋体" w:cs="宋体"/>
                <w:sz w:val="22"/>
                <w:szCs w:val="22"/>
                <w:highlight w:val="none"/>
              </w:rPr>
              <w:t>外形尺寸</w:t>
            </w:r>
          </w:p>
        </w:tc>
        <w:tc>
          <w:tcPr>
            <w:tcW w:w="1818" w:type="pct"/>
            <w:gridSpan w:val="2"/>
            <w:vAlign w:val="center"/>
          </w:tcPr>
          <w:p w14:paraId="04A304D7">
            <w:pPr>
              <w:jc w:val="center"/>
              <w:rPr>
                <w:rFonts w:ascii="宋体" w:hAnsi="宋体" w:cs="宋体"/>
                <w:sz w:val="22"/>
                <w:szCs w:val="22"/>
                <w:highlight w:val="none"/>
              </w:rPr>
            </w:pPr>
            <w:r>
              <w:rPr>
                <w:rFonts w:hint="eastAsia" w:ascii="宋体" w:hAnsi="宋体" w:cs="宋体"/>
                <w:sz w:val="22"/>
                <w:szCs w:val="22"/>
                <w:highlight w:val="none"/>
              </w:rPr>
              <w:t>16750*16000*46000mm</w:t>
            </w:r>
          </w:p>
        </w:tc>
        <w:tc>
          <w:tcPr>
            <w:tcW w:w="1933" w:type="pct"/>
            <w:vAlign w:val="center"/>
          </w:tcPr>
          <w:p w14:paraId="0971EABA">
            <w:pPr>
              <w:jc w:val="center"/>
              <w:rPr>
                <w:rFonts w:ascii="宋体" w:hAnsi="宋体" w:cs="宋体"/>
                <w:sz w:val="22"/>
                <w:szCs w:val="22"/>
                <w:highlight w:val="none"/>
              </w:rPr>
            </w:pPr>
            <w:r>
              <w:rPr>
                <w:rFonts w:hint="eastAsia" w:ascii="宋体" w:hAnsi="宋体" w:cs="宋体"/>
                <w:sz w:val="22"/>
                <w:szCs w:val="22"/>
                <w:highlight w:val="none"/>
              </w:rPr>
              <w:t>16350*15000*47000mm</w:t>
            </w:r>
          </w:p>
        </w:tc>
      </w:tr>
      <w:tr w14:paraId="547F2AC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exact"/>
          <w:jc w:val="center"/>
        </w:trPr>
        <w:tc>
          <w:tcPr>
            <w:tcW w:w="1247" w:type="pct"/>
            <w:gridSpan w:val="2"/>
            <w:vAlign w:val="center"/>
          </w:tcPr>
          <w:p w14:paraId="07D8CD29">
            <w:pPr>
              <w:jc w:val="center"/>
              <w:rPr>
                <w:rFonts w:ascii="宋体" w:hAnsi="宋体" w:cs="宋体"/>
                <w:sz w:val="22"/>
                <w:szCs w:val="22"/>
                <w:highlight w:val="none"/>
              </w:rPr>
            </w:pPr>
            <w:r>
              <w:rPr>
                <w:rFonts w:hint="eastAsia" w:ascii="宋体" w:hAnsi="宋体" w:cs="宋体"/>
                <w:sz w:val="22"/>
                <w:szCs w:val="22"/>
                <w:highlight w:val="none"/>
              </w:rPr>
              <w:t>电源</w:t>
            </w:r>
          </w:p>
        </w:tc>
        <w:tc>
          <w:tcPr>
            <w:tcW w:w="1818" w:type="pct"/>
            <w:gridSpan w:val="2"/>
            <w:vAlign w:val="center"/>
          </w:tcPr>
          <w:p w14:paraId="7342759A">
            <w:pPr>
              <w:jc w:val="center"/>
              <w:rPr>
                <w:rFonts w:ascii="宋体" w:hAnsi="宋体" w:cs="宋体"/>
                <w:sz w:val="22"/>
                <w:szCs w:val="22"/>
                <w:highlight w:val="none"/>
              </w:rPr>
            </w:pPr>
            <w:r>
              <w:rPr>
                <w:rFonts w:hint="eastAsia" w:ascii="宋体" w:hAnsi="宋体" w:cs="宋体"/>
                <w:sz w:val="22"/>
                <w:szCs w:val="22"/>
                <w:highlight w:val="none"/>
              </w:rPr>
              <w:t>AC 380V 50Hz</w:t>
            </w:r>
          </w:p>
        </w:tc>
        <w:tc>
          <w:tcPr>
            <w:tcW w:w="1933" w:type="pct"/>
            <w:vAlign w:val="center"/>
          </w:tcPr>
          <w:p w14:paraId="5BE69F2D">
            <w:pPr>
              <w:jc w:val="center"/>
              <w:rPr>
                <w:rFonts w:ascii="宋体" w:hAnsi="宋体" w:cs="宋体"/>
                <w:sz w:val="22"/>
                <w:szCs w:val="22"/>
                <w:highlight w:val="none"/>
              </w:rPr>
            </w:pPr>
            <w:r>
              <w:rPr>
                <w:rFonts w:hint="eastAsia" w:ascii="宋体" w:hAnsi="宋体" w:cs="宋体"/>
                <w:sz w:val="22"/>
                <w:szCs w:val="22"/>
                <w:highlight w:val="none"/>
              </w:rPr>
              <w:t>AC 380V 50Hz</w:t>
            </w:r>
          </w:p>
        </w:tc>
      </w:tr>
      <w:tr w14:paraId="7E8E2CD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exact"/>
          <w:jc w:val="center"/>
        </w:trPr>
        <w:tc>
          <w:tcPr>
            <w:tcW w:w="1247" w:type="pct"/>
            <w:gridSpan w:val="2"/>
            <w:vAlign w:val="center"/>
          </w:tcPr>
          <w:p w14:paraId="46843718">
            <w:pPr>
              <w:jc w:val="center"/>
              <w:rPr>
                <w:rFonts w:ascii="宋体" w:hAnsi="宋体" w:cs="宋体"/>
                <w:sz w:val="22"/>
                <w:szCs w:val="22"/>
                <w:highlight w:val="none"/>
              </w:rPr>
            </w:pPr>
            <w:r>
              <w:rPr>
                <w:rFonts w:hint="eastAsia" w:ascii="宋体" w:hAnsi="宋体" w:cs="宋体"/>
                <w:sz w:val="22"/>
                <w:szCs w:val="22"/>
                <w:highlight w:val="none"/>
              </w:rPr>
              <w:t>整机自重</w:t>
            </w:r>
          </w:p>
        </w:tc>
        <w:tc>
          <w:tcPr>
            <w:tcW w:w="1818" w:type="pct"/>
            <w:gridSpan w:val="2"/>
            <w:vAlign w:val="center"/>
          </w:tcPr>
          <w:p w14:paraId="0E9DDFC0">
            <w:pPr>
              <w:jc w:val="center"/>
              <w:rPr>
                <w:rFonts w:ascii="宋体" w:hAnsi="宋体" w:cs="宋体"/>
                <w:sz w:val="22"/>
                <w:szCs w:val="22"/>
                <w:highlight w:val="none"/>
              </w:rPr>
            </w:pPr>
            <w:r>
              <w:rPr>
                <w:rFonts w:hint="eastAsia" w:ascii="宋体" w:hAnsi="宋体" w:cs="宋体"/>
                <w:sz w:val="22"/>
                <w:szCs w:val="22"/>
                <w:highlight w:val="none"/>
              </w:rPr>
              <w:t>≈240t</w:t>
            </w:r>
          </w:p>
        </w:tc>
        <w:tc>
          <w:tcPr>
            <w:tcW w:w="1933" w:type="pct"/>
            <w:vAlign w:val="center"/>
          </w:tcPr>
          <w:p w14:paraId="28479BA2">
            <w:pPr>
              <w:jc w:val="center"/>
              <w:rPr>
                <w:rFonts w:ascii="宋体" w:hAnsi="宋体" w:cs="宋体"/>
                <w:sz w:val="22"/>
                <w:szCs w:val="22"/>
                <w:highlight w:val="none"/>
              </w:rPr>
            </w:pPr>
            <w:r>
              <w:rPr>
                <w:rFonts w:hint="eastAsia" w:ascii="宋体" w:hAnsi="宋体" w:cs="宋体"/>
                <w:sz w:val="22"/>
                <w:szCs w:val="22"/>
                <w:highlight w:val="none"/>
              </w:rPr>
              <w:t>≈246t</w:t>
            </w:r>
          </w:p>
        </w:tc>
      </w:tr>
      <w:tr w14:paraId="5E34832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exact"/>
          <w:jc w:val="center"/>
        </w:trPr>
        <w:tc>
          <w:tcPr>
            <w:tcW w:w="1247" w:type="pct"/>
            <w:gridSpan w:val="2"/>
            <w:vAlign w:val="center"/>
          </w:tcPr>
          <w:p w14:paraId="7DEE1C5E">
            <w:pPr>
              <w:jc w:val="center"/>
              <w:rPr>
                <w:rFonts w:ascii="宋体" w:hAnsi="宋体" w:cs="宋体"/>
                <w:sz w:val="22"/>
                <w:szCs w:val="22"/>
                <w:highlight w:val="none"/>
              </w:rPr>
            </w:pPr>
            <w:r>
              <w:rPr>
                <w:rFonts w:hint="eastAsia" w:ascii="宋体" w:hAnsi="宋体" w:cs="宋体"/>
                <w:sz w:val="22"/>
                <w:szCs w:val="22"/>
                <w:highlight w:val="none"/>
              </w:rPr>
              <w:t>工作级别</w:t>
            </w:r>
          </w:p>
        </w:tc>
        <w:tc>
          <w:tcPr>
            <w:tcW w:w="1818" w:type="pct"/>
            <w:gridSpan w:val="2"/>
            <w:vAlign w:val="center"/>
          </w:tcPr>
          <w:p w14:paraId="6D7F8CFC">
            <w:pPr>
              <w:jc w:val="center"/>
              <w:rPr>
                <w:rFonts w:ascii="宋体" w:hAnsi="宋体" w:cs="宋体"/>
                <w:sz w:val="22"/>
                <w:szCs w:val="22"/>
                <w:highlight w:val="none"/>
              </w:rPr>
            </w:pPr>
            <w:r>
              <w:rPr>
                <w:rFonts w:hint="eastAsia" w:ascii="宋体" w:hAnsi="宋体" w:cs="宋体"/>
                <w:sz w:val="22"/>
                <w:szCs w:val="22"/>
                <w:highlight w:val="none"/>
              </w:rPr>
              <w:t>A8</w:t>
            </w:r>
          </w:p>
        </w:tc>
        <w:tc>
          <w:tcPr>
            <w:tcW w:w="1933" w:type="pct"/>
            <w:vAlign w:val="center"/>
          </w:tcPr>
          <w:p w14:paraId="0BF7ED27">
            <w:pPr>
              <w:jc w:val="center"/>
              <w:rPr>
                <w:rFonts w:ascii="宋体" w:hAnsi="宋体" w:cs="宋体"/>
                <w:sz w:val="22"/>
                <w:szCs w:val="22"/>
                <w:highlight w:val="none"/>
              </w:rPr>
            </w:pPr>
            <w:r>
              <w:rPr>
                <w:rFonts w:hint="eastAsia" w:ascii="宋体" w:hAnsi="宋体" w:cs="宋体"/>
                <w:sz w:val="22"/>
                <w:szCs w:val="22"/>
                <w:highlight w:val="none"/>
              </w:rPr>
              <w:t>A8</w:t>
            </w:r>
          </w:p>
        </w:tc>
      </w:tr>
    </w:tbl>
    <w:p w14:paraId="4D13B233">
      <w:pPr>
        <w:adjustRightInd w:val="0"/>
        <w:spacing w:line="440" w:lineRule="exact"/>
        <w:ind w:firstLine="442" w:firstLineChars="200"/>
        <w:jc w:val="left"/>
        <w:rPr>
          <w:rFonts w:ascii="宋体" w:hAnsi="宋体" w:cs="宋体"/>
          <w:b/>
          <w:bCs/>
          <w:sz w:val="22"/>
          <w:szCs w:val="22"/>
          <w:highlight w:val="none"/>
        </w:rPr>
      </w:pPr>
      <w:r>
        <w:rPr>
          <w:rFonts w:hint="eastAsia" w:ascii="宋体" w:hAnsi="宋体" w:cs="宋体"/>
          <w:b/>
          <w:bCs/>
          <w:sz w:val="22"/>
          <w:szCs w:val="22"/>
          <w:highlight w:val="none"/>
        </w:rPr>
        <w:t>2.2门机相关参考图纸（具体可见附件PDF版本）</w:t>
      </w:r>
    </w:p>
    <w:p w14:paraId="4BF87B53">
      <w:pPr>
        <w:adjustRightInd w:val="0"/>
        <w:spacing w:line="440" w:lineRule="exact"/>
        <w:ind w:firstLine="442" w:firstLineChars="200"/>
        <w:jc w:val="left"/>
        <w:rPr>
          <w:rFonts w:ascii="宋体" w:hAnsi="宋体" w:cs="宋体"/>
          <w:b/>
          <w:bCs/>
          <w:sz w:val="22"/>
          <w:szCs w:val="22"/>
          <w:highlight w:val="none"/>
        </w:rPr>
      </w:pPr>
      <w:r>
        <w:rPr>
          <w:rFonts w:hint="eastAsia" w:ascii="宋体" w:hAnsi="宋体" w:cs="宋体"/>
          <w:b/>
          <w:bCs/>
          <w:sz w:val="22"/>
          <w:szCs w:val="22"/>
          <w:highlight w:val="none"/>
        </w:rPr>
        <w:t>①35吨门机：</w:t>
      </w:r>
    </w:p>
    <w:p w14:paraId="26417591">
      <w:pPr>
        <w:adjustRightInd w:val="0"/>
        <w:spacing w:before="156" w:beforeLines="50" w:after="156" w:afterLines="50"/>
        <w:ind w:firstLine="440" w:firstLineChars="200"/>
        <w:jc w:val="left"/>
        <w:rPr>
          <w:rFonts w:ascii="宋体" w:hAnsi="宋体" w:cs="宋体"/>
          <w:sz w:val="22"/>
          <w:highlight w:val="none"/>
        </w:rPr>
      </w:pPr>
      <w:r>
        <w:rPr>
          <w:rFonts w:hint="eastAsia" w:ascii="宋体" w:hAnsi="宋体" w:cs="宋体"/>
          <w:sz w:val="22"/>
          <w:highlight w:val="none"/>
        </w:rPr>
        <w:t>总图：</w:t>
      </w:r>
      <w:r>
        <w:rPr>
          <w:rFonts w:ascii="宋体" w:hAnsi="宋体" w:cs="宋体"/>
          <w:sz w:val="22"/>
          <w:highlight w:val="none"/>
        </w:rPr>
        <w:br w:type="textWrapping"/>
      </w:r>
      <w:r>
        <w:rPr>
          <w:rFonts w:ascii="宋体" w:hAnsi="宋体" w:cs="宋体"/>
          <w:sz w:val="22"/>
          <w:highlight w:val="none"/>
        </w:rPr>
        <w:drawing>
          <wp:inline distT="0" distB="0" distL="0" distR="0">
            <wp:extent cx="5172075" cy="3808095"/>
            <wp:effectExtent l="0" t="0" r="0" b="1905"/>
            <wp:docPr id="2" name="图片 2" descr="D:\微信\WeChat Files\wxid_6043970439212\FileStorage\Temp\7e0486e842b462aaaee414053ab27f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D:\微信\WeChat Files\wxid_6043970439212\FileStorage\Temp\7e0486e842b462aaaee414053ab27f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5183883" cy="3817083"/>
                    </a:xfrm>
                    <a:prstGeom prst="rect">
                      <a:avLst/>
                    </a:prstGeom>
                    <a:noFill/>
                    <a:ln>
                      <a:noFill/>
                    </a:ln>
                  </pic:spPr>
                </pic:pic>
              </a:graphicData>
            </a:graphic>
          </wp:inline>
        </w:drawing>
      </w:r>
    </w:p>
    <w:p w14:paraId="450C42DE">
      <w:pPr>
        <w:adjustRightInd w:val="0"/>
        <w:spacing w:before="156" w:beforeLines="50" w:after="156" w:afterLines="50"/>
        <w:ind w:firstLine="440" w:firstLineChars="200"/>
        <w:jc w:val="left"/>
        <w:rPr>
          <w:rFonts w:ascii="宋体" w:hAnsi="宋体" w:cs="宋体"/>
          <w:sz w:val="22"/>
          <w:highlight w:val="none"/>
        </w:rPr>
      </w:pPr>
      <w:r>
        <w:rPr>
          <w:rFonts w:hint="eastAsia" w:ascii="宋体" w:hAnsi="宋体" w:cs="宋体"/>
          <w:sz w:val="22"/>
          <w:highlight w:val="none"/>
        </w:rPr>
        <w:t>布线图：</w:t>
      </w:r>
    </w:p>
    <w:p w14:paraId="50F3B3DD">
      <w:pPr>
        <w:adjustRightInd w:val="0"/>
        <w:jc w:val="left"/>
        <w:rPr>
          <w:rFonts w:ascii="宋体" w:hAnsi="宋体" w:cs="宋体"/>
          <w:sz w:val="22"/>
          <w:highlight w:val="none"/>
        </w:rPr>
      </w:pPr>
      <w:r>
        <w:rPr>
          <w:rFonts w:ascii="宋体" w:hAnsi="宋体" w:cs="宋体"/>
          <w:sz w:val="22"/>
          <w:highlight w:val="none"/>
        </w:rPr>
        <w:drawing>
          <wp:inline distT="0" distB="0" distL="0" distR="0">
            <wp:extent cx="5238750" cy="3838575"/>
            <wp:effectExtent l="0" t="0" r="0" b="0"/>
            <wp:docPr id="3" name="图片 3" descr="D:\微信\WeChat Files\wxid_6043970439212\FileStorage\Temp\298e754a2ff703285003d97bba54a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D:\微信\WeChat Files\wxid_6043970439212\FileStorage\Temp\298e754a2ff703285003d97bba54a2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5238750" cy="3839202"/>
                    </a:xfrm>
                    <a:prstGeom prst="rect">
                      <a:avLst/>
                    </a:prstGeom>
                    <a:noFill/>
                    <a:ln>
                      <a:noFill/>
                    </a:ln>
                  </pic:spPr>
                </pic:pic>
              </a:graphicData>
            </a:graphic>
          </wp:inline>
        </w:drawing>
      </w:r>
    </w:p>
    <w:p w14:paraId="296D66B3">
      <w:pPr>
        <w:adjustRightInd w:val="0"/>
        <w:spacing w:before="156" w:beforeLines="50" w:after="156" w:afterLines="50"/>
        <w:ind w:firstLine="440" w:firstLineChars="200"/>
        <w:jc w:val="left"/>
        <w:rPr>
          <w:rFonts w:ascii="宋体" w:hAnsi="宋体" w:cs="宋体"/>
          <w:sz w:val="22"/>
          <w:highlight w:val="none"/>
        </w:rPr>
      </w:pPr>
      <w:r>
        <w:rPr>
          <w:rFonts w:hint="eastAsia" w:ascii="宋体" w:hAnsi="宋体" w:cs="宋体"/>
          <w:sz w:val="22"/>
          <w:highlight w:val="none"/>
        </w:rPr>
        <w:t>旋转机构图：</w:t>
      </w:r>
    </w:p>
    <w:p w14:paraId="119A44FB">
      <w:pPr>
        <w:adjustRightInd w:val="0"/>
        <w:spacing w:line="440" w:lineRule="exact"/>
        <w:jc w:val="left"/>
        <w:rPr>
          <w:rFonts w:ascii="宋体" w:hAnsi="宋体" w:cs="宋体"/>
          <w:sz w:val="22"/>
          <w:highlight w:val="none"/>
        </w:rPr>
      </w:pPr>
      <w:r>
        <w:rPr>
          <w:rFonts w:ascii="宋体" w:hAnsi="宋体" w:cs="宋体"/>
          <w:sz w:val="22"/>
          <w:highlight w:val="none"/>
        </w:rPr>
        <w:drawing>
          <wp:anchor distT="0" distB="0" distL="114300" distR="114300" simplePos="0" relativeHeight="251660288" behindDoc="0" locked="0" layoutInCell="1" allowOverlap="1">
            <wp:simplePos x="0" y="0"/>
            <wp:positionH relativeFrom="column">
              <wp:posOffset>47625</wp:posOffset>
            </wp:positionH>
            <wp:positionV relativeFrom="paragraph">
              <wp:posOffset>101600</wp:posOffset>
            </wp:positionV>
            <wp:extent cx="5274310" cy="3909695"/>
            <wp:effectExtent l="0" t="0" r="2540" b="5080"/>
            <wp:wrapNone/>
            <wp:docPr id="4" name="图片 4" descr="D:\微信\WeChat Files\wxid_6043970439212\FileStorage\Temp\ff98a73f96ff547a606b54ff3fa05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D:\微信\WeChat Files\wxid_6043970439212\FileStorage\Temp\ff98a73f96ff547a606b54ff3fa059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5274310" cy="3909656"/>
                    </a:xfrm>
                    <a:prstGeom prst="rect">
                      <a:avLst/>
                    </a:prstGeom>
                    <a:noFill/>
                    <a:ln>
                      <a:noFill/>
                    </a:ln>
                  </pic:spPr>
                </pic:pic>
              </a:graphicData>
            </a:graphic>
          </wp:anchor>
        </w:drawing>
      </w:r>
    </w:p>
    <w:p w14:paraId="7C99D3B8">
      <w:pPr>
        <w:adjustRightInd w:val="0"/>
        <w:spacing w:line="440" w:lineRule="exact"/>
        <w:jc w:val="left"/>
        <w:rPr>
          <w:rFonts w:ascii="宋体" w:hAnsi="宋体" w:cs="宋体"/>
          <w:sz w:val="22"/>
          <w:highlight w:val="none"/>
        </w:rPr>
      </w:pPr>
    </w:p>
    <w:p w14:paraId="11F384AF">
      <w:pPr>
        <w:adjustRightInd w:val="0"/>
        <w:spacing w:line="440" w:lineRule="exact"/>
        <w:jc w:val="left"/>
        <w:rPr>
          <w:rFonts w:ascii="宋体" w:hAnsi="宋体" w:cs="宋体"/>
          <w:sz w:val="22"/>
          <w:highlight w:val="none"/>
        </w:rPr>
      </w:pPr>
    </w:p>
    <w:p w14:paraId="6AFC0AD4">
      <w:pPr>
        <w:adjustRightInd w:val="0"/>
        <w:spacing w:line="440" w:lineRule="exact"/>
        <w:jc w:val="left"/>
        <w:rPr>
          <w:rFonts w:ascii="宋体" w:hAnsi="宋体" w:cs="宋体"/>
          <w:sz w:val="22"/>
          <w:highlight w:val="none"/>
        </w:rPr>
      </w:pPr>
    </w:p>
    <w:p w14:paraId="0C91674F">
      <w:pPr>
        <w:adjustRightInd w:val="0"/>
        <w:spacing w:line="440" w:lineRule="exact"/>
        <w:jc w:val="left"/>
        <w:rPr>
          <w:rFonts w:ascii="宋体" w:hAnsi="宋体" w:cs="宋体"/>
          <w:sz w:val="22"/>
          <w:highlight w:val="none"/>
        </w:rPr>
      </w:pPr>
    </w:p>
    <w:p w14:paraId="07E9293C">
      <w:pPr>
        <w:adjustRightInd w:val="0"/>
        <w:spacing w:line="440" w:lineRule="exact"/>
        <w:jc w:val="left"/>
        <w:rPr>
          <w:rFonts w:ascii="宋体" w:hAnsi="宋体" w:cs="宋体"/>
          <w:sz w:val="22"/>
          <w:highlight w:val="none"/>
        </w:rPr>
      </w:pPr>
    </w:p>
    <w:p w14:paraId="6EB40847">
      <w:pPr>
        <w:adjustRightInd w:val="0"/>
        <w:spacing w:line="440" w:lineRule="exact"/>
        <w:jc w:val="left"/>
        <w:rPr>
          <w:rFonts w:ascii="宋体" w:hAnsi="宋体" w:cs="宋体"/>
          <w:sz w:val="22"/>
          <w:highlight w:val="none"/>
        </w:rPr>
      </w:pPr>
    </w:p>
    <w:p w14:paraId="19679898">
      <w:pPr>
        <w:adjustRightInd w:val="0"/>
        <w:spacing w:line="440" w:lineRule="exact"/>
        <w:jc w:val="left"/>
        <w:rPr>
          <w:rFonts w:ascii="宋体" w:hAnsi="宋体" w:cs="宋体"/>
          <w:sz w:val="22"/>
          <w:highlight w:val="none"/>
        </w:rPr>
      </w:pPr>
    </w:p>
    <w:p w14:paraId="2CC02FA1">
      <w:pPr>
        <w:adjustRightInd w:val="0"/>
        <w:spacing w:line="440" w:lineRule="exact"/>
        <w:jc w:val="left"/>
        <w:rPr>
          <w:rFonts w:ascii="宋体" w:hAnsi="宋体" w:cs="宋体"/>
          <w:sz w:val="22"/>
          <w:highlight w:val="none"/>
        </w:rPr>
      </w:pPr>
    </w:p>
    <w:p w14:paraId="15D82775">
      <w:pPr>
        <w:adjustRightInd w:val="0"/>
        <w:spacing w:line="440" w:lineRule="exact"/>
        <w:jc w:val="left"/>
        <w:rPr>
          <w:rFonts w:ascii="宋体" w:hAnsi="宋体" w:cs="宋体"/>
          <w:sz w:val="22"/>
          <w:highlight w:val="none"/>
        </w:rPr>
      </w:pPr>
    </w:p>
    <w:p w14:paraId="78044C57">
      <w:pPr>
        <w:adjustRightInd w:val="0"/>
        <w:spacing w:line="440" w:lineRule="exact"/>
        <w:jc w:val="left"/>
        <w:rPr>
          <w:rFonts w:ascii="宋体" w:hAnsi="宋体" w:cs="宋体"/>
          <w:sz w:val="22"/>
          <w:highlight w:val="none"/>
        </w:rPr>
      </w:pPr>
    </w:p>
    <w:p w14:paraId="330BEBE5">
      <w:pPr>
        <w:adjustRightInd w:val="0"/>
        <w:spacing w:line="440" w:lineRule="exact"/>
        <w:jc w:val="left"/>
        <w:rPr>
          <w:rFonts w:ascii="宋体" w:hAnsi="宋体" w:cs="宋体"/>
          <w:sz w:val="22"/>
          <w:highlight w:val="none"/>
        </w:rPr>
      </w:pPr>
    </w:p>
    <w:p w14:paraId="27B55555">
      <w:pPr>
        <w:adjustRightInd w:val="0"/>
        <w:spacing w:line="440" w:lineRule="exact"/>
        <w:jc w:val="left"/>
        <w:rPr>
          <w:rFonts w:ascii="宋体" w:hAnsi="宋体" w:cs="宋体"/>
          <w:sz w:val="22"/>
          <w:highlight w:val="none"/>
        </w:rPr>
      </w:pPr>
    </w:p>
    <w:p w14:paraId="647AE361">
      <w:pPr>
        <w:adjustRightInd w:val="0"/>
        <w:spacing w:line="440" w:lineRule="exact"/>
        <w:jc w:val="left"/>
        <w:rPr>
          <w:rFonts w:ascii="宋体" w:hAnsi="宋体" w:cs="宋体"/>
          <w:sz w:val="22"/>
          <w:highlight w:val="none"/>
        </w:rPr>
      </w:pPr>
    </w:p>
    <w:p w14:paraId="78C3F3F8">
      <w:pPr>
        <w:adjustRightInd w:val="0"/>
        <w:spacing w:before="156" w:beforeLines="50" w:line="440" w:lineRule="exact"/>
        <w:ind w:firstLine="442" w:firstLineChars="200"/>
        <w:jc w:val="left"/>
        <w:rPr>
          <w:rFonts w:ascii="宋体" w:hAnsi="宋体" w:cs="宋体"/>
          <w:b/>
          <w:bCs/>
          <w:sz w:val="22"/>
          <w:szCs w:val="22"/>
          <w:highlight w:val="none"/>
        </w:rPr>
      </w:pPr>
      <w:r>
        <w:rPr>
          <w:rFonts w:hint="eastAsia" w:ascii="宋体" w:hAnsi="宋体" w:cs="宋体"/>
          <w:b/>
          <w:bCs/>
          <w:sz w:val="22"/>
          <w:szCs w:val="22"/>
          <w:highlight w:val="none"/>
        </w:rPr>
        <w:t>②16吨门机：</w:t>
      </w:r>
    </w:p>
    <w:p w14:paraId="694341E6">
      <w:pPr>
        <w:adjustRightInd w:val="0"/>
        <w:spacing w:before="156" w:beforeLines="50" w:after="156" w:afterLines="50"/>
        <w:ind w:firstLine="440" w:firstLineChars="200"/>
        <w:jc w:val="left"/>
        <w:rPr>
          <w:rFonts w:ascii="宋体" w:hAnsi="宋体" w:cs="宋体"/>
          <w:sz w:val="22"/>
          <w:highlight w:val="none"/>
        </w:rPr>
      </w:pPr>
      <w:r>
        <w:rPr>
          <w:rFonts w:hint="eastAsia" w:ascii="宋体" w:hAnsi="宋体" w:cs="宋体"/>
          <w:sz w:val="22"/>
          <w:highlight w:val="none"/>
        </w:rPr>
        <w:t>总图：</w:t>
      </w:r>
    </w:p>
    <w:p w14:paraId="3929DC78">
      <w:pPr>
        <w:adjustRightInd w:val="0"/>
        <w:spacing w:line="440" w:lineRule="exact"/>
        <w:jc w:val="left"/>
        <w:rPr>
          <w:rFonts w:ascii="宋体" w:hAnsi="宋体" w:cs="宋体"/>
          <w:sz w:val="22"/>
          <w:highlight w:val="none"/>
        </w:rPr>
      </w:pPr>
      <w:r>
        <w:rPr>
          <w:rFonts w:ascii="宋体" w:hAnsi="宋体" w:cs="宋体"/>
          <w:sz w:val="22"/>
          <w:highlight w:val="none"/>
        </w:rPr>
        <w:drawing>
          <wp:anchor distT="0" distB="0" distL="114300" distR="114300" simplePos="0" relativeHeight="251661312" behindDoc="0" locked="0" layoutInCell="1" allowOverlap="1">
            <wp:simplePos x="0" y="0"/>
            <wp:positionH relativeFrom="column">
              <wp:posOffset>152400</wp:posOffset>
            </wp:positionH>
            <wp:positionV relativeFrom="paragraph">
              <wp:posOffset>50800</wp:posOffset>
            </wp:positionV>
            <wp:extent cx="4857750" cy="3648075"/>
            <wp:effectExtent l="0" t="0" r="0" b="0"/>
            <wp:wrapNone/>
            <wp:docPr id="5" name="图片 5" descr="D:\微信\WeChat Files\wxid_6043970439212\FileStorage\Temp\40d1e4e570291653bfe623e8c850e8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D:\微信\WeChat Files\wxid_6043970439212\FileStorage\Temp\40d1e4e570291653bfe623e8c850e8c.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4867415" cy="3655032"/>
                    </a:xfrm>
                    <a:prstGeom prst="rect">
                      <a:avLst/>
                    </a:prstGeom>
                    <a:noFill/>
                    <a:ln>
                      <a:noFill/>
                    </a:ln>
                  </pic:spPr>
                </pic:pic>
              </a:graphicData>
            </a:graphic>
          </wp:anchor>
        </w:drawing>
      </w:r>
    </w:p>
    <w:p w14:paraId="4C8B1A4A">
      <w:pPr>
        <w:adjustRightInd w:val="0"/>
        <w:spacing w:line="440" w:lineRule="exact"/>
        <w:jc w:val="left"/>
        <w:rPr>
          <w:rFonts w:ascii="宋体" w:hAnsi="宋体" w:cs="宋体"/>
          <w:sz w:val="22"/>
          <w:highlight w:val="none"/>
        </w:rPr>
      </w:pPr>
    </w:p>
    <w:p w14:paraId="3A75BDFE">
      <w:pPr>
        <w:adjustRightInd w:val="0"/>
        <w:spacing w:line="440" w:lineRule="exact"/>
        <w:jc w:val="left"/>
        <w:rPr>
          <w:rFonts w:ascii="宋体" w:hAnsi="宋体" w:cs="宋体"/>
          <w:sz w:val="22"/>
          <w:highlight w:val="none"/>
        </w:rPr>
      </w:pPr>
    </w:p>
    <w:p w14:paraId="5835A436">
      <w:pPr>
        <w:adjustRightInd w:val="0"/>
        <w:spacing w:line="440" w:lineRule="exact"/>
        <w:jc w:val="left"/>
        <w:rPr>
          <w:rFonts w:ascii="宋体" w:hAnsi="宋体" w:cs="宋体"/>
          <w:sz w:val="22"/>
          <w:highlight w:val="none"/>
        </w:rPr>
      </w:pPr>
    </w:p>
    <w:p w14:paraId="39897DF4">
      <w:pPr>
        <w:adjustRightInd w:val="0"/>
        <w:spacing w:line="440" w:lineRule="exact"/>
        <w:jc w:val="left"/>
        <w:rPr>
          <w:rFonts w:ascii="宋体" w:hAnsi="宋体" w:cs="宋体"/>
          <w:sz w:val="22"/>
          <w:highlight w:val="none"/>
        </w:rPr>
      </w:pPr>
    </w:p>
    <w:p w14:paraId="4AC2BCF4">
      <w:pPr>
        <w:adjustRightInd w:val="0"/>
        <w:spacing w:line="440" w:lineRule="exact"/>
        <w:jc w:val="left"/>
        <w:rPr>
          <w:rFonts w:ascii="宋体" w:hAnsi="宋体" w:cs="宋体"/>
          <w:sz w:val="22"/>
          <w:highlight w:val="none"/>
        </w:rPr>
      </w:pPr>
    </w:p>
    <w:p w14:paraId="69E2E927">
      <w:pPr>
        <w:adjustRightInd w:val="0"/>
        <w:spacing w:line="440" w:lineRule="exact"/>
        <w:jc w:val="left"/>
        <w:rPr>
          <w:rFonts w:ascii="宋体" w:hAnsi="宋体" w:cs="宋体"/>
          <w:sz w:val="22"/>
          <w:highlight w:val="none"/>
        </w:rPr>
      </w:pPr>
    </w:p>
    <w:p w14:paraId="4D478CFB">
      <w:pPr>
        <w:adjustRightInd w:val="0"/>
        <w:spacing w:line="440" w:lineRule="exact"/>
        <w:jc w:val="left"/>
        <w:rPr>
          <w:rFonts w:ascii="宋体" w:hAnsi="宋体" w:cs="宋体"/>
          <w:sz w:val="22"/>
          <w:highlight w:val="none"/>
        </w:rPr>
      </w:pPr>
    </w:p>
    <w:p w14:paraId="4D6BEED4">
      <w:pPr>
        <w:adjustRightInd w:val="0"/>
        <w:spacing w:line="440" w:lineRule="exact"/>
        <w:jc w:val="left"/>
        <w:rPr>
          <w:rFonts w:ascii="宋体" w:hAnsi="宋体" w:cs="宋体"/>
          <w:sz w:val="22"/>
          <w:highlight w:val="none"/>
        </w:rPr>
      </w:pPr>
    </w:p>
    <w:p w14:paraId="7BDF7CBF">
      <w:pPr>
        <w:adjustRightInd w:val="0"/>
        <w:spacing w:line="440" w:lineRule="exact"/>
        <w:jc w:val="left"/>
        <w:rPr>
          <w:rFonts w:ascii="宋体" w:hAnsi="宋体" w:cs="宋体"/>
          <w:sz w:val="22"/>
          <w:highlight w:val="none"/>
        </w:rPr>
      </w:pPr>
    </w:p>
    <w:p w14:paraId="2B48E658">
      <w:pPr>
        <w:adjustRightInd w:val="0"/>
        <w:spacing w:line="440" w:lineRule="exact"/>
        <w:jc w:val="left"/>
        <w:rPr>
          <w:rFonts w:ascii="宋体" w:hAnsi="宋体" w:cs="宋体"/>
          <w:sz w:val="22"/>
          <w:highlight w:val="none"/>
        </w:rPr>
      </w:pPr>
    </w:p>
    <w:p w14:paraId="281188E8">
      <w:pPr>
        <w:adjustRightInd w:val="0"/>
        <w:spacing w:line="440" w:lineRule="exact"/>
        <w:jc w:val="left"/>
        <w:rPr>
          <w:rFonts w:ascii="宋体" w:hAnsi="宋体" w:cs="宋体"/>
          <w:sz w:val="22"/>
          <w:highlight w:val="none"/>
        </w:rPr>
      </w:pPr>
    </w:p>
    <w:p w14:paraId="20CCAE64">
      <w:pPr>
        <w:adjustRightInd w:val="0"/>
        <w:spacing w:line="440" w:lineRule="exact"/>
        <w:jc w:val="left"/>
        <w:rPr>
          <w:rFonts w:ascii="宋体" w:hAnsi="宋体" w:cs="宋体"/>
          <w:sz w:val="22"/>
          <w:highlight w:val="none"/>
        </w:rPr>
      </w:pPr>
    </w:p>
    <w:p w14:paraId="320185FB">
      <w:pPr>
        <w:adjustRightInd w:val="0"/>
        <w:spacing w:before="156" w:beforeLines="50" w:after="156" w:afterLines="50"/>
        <w:ind w:firstLine="440" w:firstLineChars="200"/>
        <w:jc w:val="left"/>
        <w:rPr>
          <w:rFonts w:ascii="宋体" w:hAnsi="宋体" w:cs="宋体"/>
          <w:sz w:val="22"/>
          <w:highlight w:val="none"/>
        </w:rPr>
      </w:pPr>
    </w:p>
    <w:p w14:paraId="52D785D2">
      <w:pPr>
        <w:adjustRightInd w:val="0"/>
        <w:spacing w:before="156" w:beforeLines="50" w:after="156" w:afterLines="50"/>
        <w:ind w:firstLine="440" w:firstLineChars="200"/>
        <w:jc w:val="left"/>
        <w:rPr>
          <w:rFonts w:hint="eastAsia" w:ascii="宋体" w:hAnsi="宋体" w:cs="宋体"/>
          <w:sz w:val="22"/>
          <w:highlight w:val="none"/>
        </w:rPr>
      </w:pPr>
    </w:p>
    <w:p w14:paraId="25F8809D">
      <w:pPr>
        <w:adjustRightInd w:val="0"/>
        <w:spacing w:before="156" w:beforeLines="50" w:after="156" w:afterLines="50"/>
        <w:ind w:firstLine="440" w:firstLineChars="200"/>
        <w:jc w:val="left"/>
        <w:rPr>
          <w:rFonts w:ascii="宋体" w:hAnsi="宋体" w:cs="宋体"/>
          <w:sz w:val="22"/>
          <w:highlight w:val="none"/>
        </w:rPr>
      </w:pPr>
      <w:r>
        <w:rPr>
          <w:rFonts w:hint="eastAsia" w:ascii="宋体" w:hAnsi="宋体" w:cs="宋体"/>
          <w:sz w:val="22"/>
          <w:highlight w:val="none"/>
        </w:rPr>
        <w:t>臂架系统图：</w:t>
      </w:r>
    </w:p>
    <w:p w14:paraId="2BFAEB4F">
      <w:pPr>
        <w:adjustRightInd w:val="0"/>
        <w:spacing w:line="440" w:lineRule="exact"/>
        <w:jc w:val="left"/>
        <w:rPr>
          <w:rFonts w:ascii="宋体" w:hAnsi="宋体" w:cs="宋体"/>
          <w:sz w:val="22"/>
          <w:highlight w:val="none"/>
        </w:rPr>
      </w:pPr>
      <w:r>
        <w:rPr>
          <w:rFonts w:ascii="宋体" w:hAnsi="宋体" w:cs="宋体"/>
          <w:sz w:val="22"/>
          <w:highlight w:val="none"/>
        </w:rPr>
        <w:drawing>
          <wp:anchor distT="0" distB="0" distL="114300" distR="114300" simplePos="0" relativeHeight="251662336" behindDoc="0" locked="0" layoutInCell="1" allowOverlap="1">
            <wp:simplePos x="0" y="0"/>
            <wp:positionH relativeFrom="column">
              <wp:posOffset>152400</wp:posOffset>
            </wp:positionH>
            <wp:positionV relativeFrom="paragraph">
              <wp:posOffset>15875</wp:posOffset>
            </wp:positionV>
            <wp:extent cx="4857750" cy="3823335"/>
            <wp:effectExtent l="0" t="0" r="0" b="5715"/>
            <wp:wrapNone/>
            <wp:docPr id="6" name="图片 6" descr="D:\微信\WeChat Files\wxid_6043970439212\FileStorage\Temp\657415082f19b5683dd0575aaa49c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D:\微信\WeChat Files\wxid_6043970439212\FileStorage\Temp\657415082f19b5683dd0575aaa49ca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4872183" cy="3834691"/>
                    </a:xfrm>
                    <a:prstGeom prst="rect">
                      <a:avLst/>
                    </a:prstGeom>
                    <a:noFill/>
                    <a:ln>
                      <a:noFill/>
                    </a:ln>
                  </pic:spPr>
                </pic:pic>
              </a:graphicData>
            </a:graphic>
          </wp:anchor>
        </w:drawing>
      </w:r>
    </w:p>
    <w:p w14:paraId="752ADF3A">
      <w:pPr>
        <w:adjustRightInd w:val="0"/>
        <w:spacing w:line="440" w:lineRule="exact"/>
        <w:jc w:val="left"/>
        <w:rPr>
          <w:rFonts w:ascii="宋体" w:hAnsi="宋体" w:cs="宋体"/>
          <w:sz w:val="22"/>
          <w:highlight w:val="none"/>
        </w:rPr>
      </w:pPr>
    </w:p>
    <w:p w14:paraId="618AFB03">
      <w:pPr>
        <w:adjustRightInd w:val="0"/>
        <w:spacing w:line="440" w:lineRule="exact"/>
        <w:jc w:val="left"/>
        <w:rPr>
          <w:rFonts w:ascii="宋体" w:hAnsi="宋体" w:cs="宋体"/>
          <w:sz w:val="22"/>
          <w:highlight w:val="none"/>
        </w:rPr>
      </w:pPr>
    </w:p>
    <w:p w14:paraId="301B7D3D">
      <w:pPr>
        <w:adjustRightInd w:val="0"/>
        <w:spacing w:line="440" w:lineRule="exact"/>
        <w:jc w:val="left"/>
        <w:rPr>
          <w:rFonts w:ascii="宋体" w:hAnsi="宋体" w:cs="宋体"/>
          <w:sz w:val="22"/>
          <w:highlight w:val="none"/>
        </w:rPr>
      </w:pPr>
    </w:p>
    <w:p w14:paraId="7A70C355">
      <w:pPr>
        <w:adjustRightInd w:val="0"/>
        <w:spacing w:line="440" w:lineRule="exact"/>
        <w:jc w:val="left"/>
        <w:rPr>
          <w:rFonts w:ascii="宋体" w:hAnsi="宋体" w:cs="宋体"/>
          <w:sz w:val="22"/>
          <w:highlight w:val="none"/>
        </w:rPr>
      </w:pPr>
    </w:p>
    <w:p w14:paraId="3056B0FA">
      <w:pPr>
        <w:adjustRightInd w:val="0"/>
        <w:spacing w:line="440" w:lineRule="exact"/>
        <w:jc w:val="left"/>
        <w:rPr>
          <w:rFonts w:ascii="宋体" w:hAnsi="宋体" w:cs="宋体"/>
          <w:sz w:val="22"/>
          <w:highlight w:val="none"/>
        </w:rPr>
      </w:pPr>
    </w:p>
    <w:p w14:paraId="1D94F994">
      <w:pPr>
        <w:adjustRightInd w:val="0"/>
        <w:spacing w:line="440" w:lineRule="exact"/>
        <w:jc w:val="left"/>
        <w:rPr>
          <w:rFonts w:ascii="宋体" w:hAnsi="宋体" w:cs="宋体"/>
          <w:sz w:val="22"/>
          <w:highlight w:val="none"/>
        </w:rPr>
      </w:pPr>
    </w:p>
    <w:p w14:paraId="03300C70">
      <w:pPr>
        <w:adjustRightInd w:val="0"/>
        <w:spacing w:line="440" w:lineRule="exact"/>
        <w:jc w:val="left"/>
        <w:rPr>
          <w:rFonts w:ascii="宋体" w:hAnsi="宋体" w:cs="宋体"/>
          <w:sz w:val="22"/>
          <w:highlight w:val="none"/>
        </w:rPr>
      </w:pPr>
    </w:p>
    <w:p w14:paraId="04552DF9">
      <w:pPr>
        <w:adjustRightInd w:val="0"/>
        <w:spacing w:line="440" w:lineRule="exact"/>
        <w:jc w:val="left"/>
        <w:rPr>
          <w:rFonts w:ascii="宋体" w:hAnsi="宋体" w:cs="宋体"/>
          <w:sz w:val="22"/>
          <w:highlight w:val="none"/>
        </w:rPr>
      </w:pPr>
    </w:p>
    <w:p w14:paraId="4F2C33FE">
      <w:pPr>
        <w:adjustRightInd w:val="0"/>
        <w:spacing w:line="440" w:lineRule="exact"/>
        <w:jc w:val="left"/>
        <w:rPr>
          <w:rFonts w:ascii="宋体" w:hAnsi="宋体" w:cs="宋体"/>
          <w:sz w:val="22"/>
          <w:highlight w:val="none"/>
        </w:rPr>
      </w:pPr>
    </w:p>
    <w:p w14:paraId="75E0BEAB">
      <w:pPr>
        <w:adjustRightInd w:val="0"/>
        <w:spacing w:line="440" w:lineRule="exact"/>
        <w:jc w:val="left"/>
        <w:rPr>
          <w:rFonts w:ascii="宋体" w:hAnsi="宋体" w:cs="宋体"/>
          <w:sz w:val="22"/>
          <w:highlight w:val="none"/>
        </w:rPr>
      </w:pPr>
    </w:p>
    <w:p w14:paraId="37B89C6C">
      <w:pPr>
        <w:adjustRightInd w:val="0"/>
        <w:spacing w:line="440" w:lineRule="exact"/>
        <w:jc w:val="left"/>
        <w:rPr>
          <w:rFonts w:ascii="宋体" w:hAnsi="宋体" w:cs="宋体"/>
          <w:sz w:val="22"/>
          <w:highlight w:val="none"/>
        </w:rPr>
      </w:pPr>
    </w:p>
    <w:p w14:paraId="03B0B830">
      <w:pPr>
        <w:adjustRightInd w:val="0"/>
        <w:spacing w:line="440" w:lineRule="exact"/>
        <w:jc w:val="left"/>
        <w:rPr>
          <w:rFonts w:ascii="宋体" w:hAnsi="宋体" w:cs="宋体"/>
          <w:sz w:val="22"/>
          <w:highlight w:val="none"/>
        </w:rPr>
      </w:pPr>
    </w:p>
    <w:p w14:paraId="39C0D18E">
      <w:pPr>
        <w:adjustRightInd w:val="0"/>
        <w:spacing w:line="440" w:lineRule="exact"/>
        <w:jc w:val="left"/>
        <w:rPr>
          <w:rFonts w:ascii="宋体" w:hAnsi="宋体" w:cs="宋体"/>
          <w:sz w:val="22"/>
          <w:highlight w:val="none"/>
        </w:rPr>
      </w:pPr>
    </w:p>
    <w:p w14:paraId="7F36855C">
      <w:pPr>
        <w:adjustRightInd w:val="0"/>
        <w:spacing w:line="440" w:lineRule="exact"/>
        <w:jc w:val="left"/>
        <w:rPr>
          <w:rFonts w:ascii="宋体" w:hAnsi="宋体" w:cs="宋体"/>
          <w:sz w:val="22"/>
          <w:highlight w:val="none"/>
        </w:rPr>
      </w:pPr>
      <w:r>
        <w:rPr>
          <w:rFonts w:hint="eastAsia" w:ascii="宋体" w:hAnsi="宋体" w:cs="宋体"/>
          <w:sz w:val="22"/>
          <w:highlight w:val="none"/>
        </w:rPr>
        <w:br w:type="page"/>
      </w:r>
    </w:p>
    <w:p w14:paraId="73BF646D">
      <w:pPr>
        <w:adjustRightInd w:val="0"/>
        <w:spacing w:line="440" w:lineRule="exact"/>
        <w:jc w:val="left"/>
        <w:outlineLvl w:val="2"/>
        <w:rPr>
          <w:rFonts w:ascii="宋体" w:hAnsi="宋体" w:cs="宋体"/>
          <w:b/>
          <w:bCs/>
          <w:sz w:val="22"/>
          <w:szCs w:val="22"/>
          <w:highlight w:val="none"/>
        </w:rPr>
      </w:pPr>
      <w:bookmarkStart w:id="20" w:name="_Toc10709"/>
      <w:bookmarkStart w:id="21" w:name="_Toc24397"/>
      <w:r>
        <w:rPr>
          <w:rFonts w:hint="eastAsia" w:ascii="宋体" w:hAnsi="宋体" w:cs="宋体"/>
          <w:b/>
          <w:bCs/>
          <w:sz w:val="22"/>
          <w:szCs w:val="22"/>
          <w:highlight w:val="none"/>
        </w:rPr>
        <w:t>二、项目内容及供货要求</w:t>
      </w:r>
      <w:bookmarkEnd w:id="20"/>
    </w:p>
    <w:p w14:paraId="41CE0EB4">
      <w:pPr>
        <w:adjustRightInd w:val="0"/>
        <w:spacing w:line="440" w:lineRule="exact"/>
        <w:ind w:firstLine="442" w:firstLineChars="200"/>
        <w:jc w:val="left"/>
        <w:rPr>
          <w:rFonts w:ascii="宋体" w:hAnsi="宋体" w:cs="宋体"/>
          <w:sz w:val="22"/>
          <w:szCs w:val="22"/>
          <w:highlight w:val="none"/>
        </w:rPr>
      </w:pPr>
      <w:r>
        <w:rPr>
          <w:rFonts w:hint="eastAsia" w:ascii="宋体" w:hAnsi="宋体" w:cs="宋体"/>
          <w:b/>
          <w:bCs/>
          <w:sz w:val="22"/>
          <w:szCs w:val="22"/>
          <w:highlight w:val="none"/>
        </w:rPr>
        <w:t>1.项目内容</w:t>
      </w:r>
    </w:p>
    <w:p w14:paraId="1BA5D354">
      <w:pPr>
        <w:adjustRightInd w:val="0"/>
        <w:spacing w:line="440" w:lineRule="exact"/>
        <w:ind w:firstLine="440" w:firstLineChars="200"/>
        <w:jc w:val="left"/>
        <w:rPr>
          <w:highlight w:val="none"/>
        </w:rPr>
      </w:pPr>
      <w:r>
        <w:rPr>
          <w:rFonts w:hint="eastAsia" w:ascii="宋体" w:hAnsi="宋体" w:cs="宋体"/>
          <w:sz w:val="22"/>
          <w:szCs w:val="22"/>
          <w:highlight w:val="none"/>
        </w:rPr>
        <w:t>1.1本项目为交钥匙工程，本次报价是包含招标文件规定的完成本项目所需的人工费、材料费、汽车吊租赁费、保险费、调试、施工方案审查费、检测检验费、13%增值税税金及项目涉及的一切服务和辅材等全部工作的总费用（含平台交易服务费）。现场安装、调试所需叉车、用电、用水、齿轮油、锂基脂均不含在投标报价内，由招标人负责，招标人不再另行支付其它任何费用。</w:t>
      </w:r>
    </w:p>
    <w:p w14:paraId="6CBC5799">
      <w:pPr>
        <w:adjustRightInd w:val="0"/>
        <w:spacing w:line="440" w:lineRule="exact"/>
        <w:ind w:firstLine="440" w:firstLineChars="200"/>
        <w:jc w:val="left"/>
        <w:rPr>
          <w:rFonts w:ascii="宋体" w:hAnsi="宋体" w:cs="宋体"/>
          <w:sz w:val="22"/>
          <w:szCs w:val="22"/>
          <w:highlight w:val="none"/>
        </w:rPr>
      </w:pPr>
      <w:r>
        <w:rPr>
          <w:rFonts w:hint="eastAsia" w:ascii="宋体" w:hAnsi="宋体" w:cs="宋体"/>
          <w:sz w:val="22"/>
          <w:szCs w:val="22"/>
          <w:highlight w:val="none"/>
        </w:rPr>
        <w:t>1.2具体工作内容：</w:t>
      </w:r>
    </w:p>
    <w:tbl>
      <w:tblPr>
        <w:tblStyle w:val="3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0"/>
        <w:gridCol w:w="6759"/>
      </w:tblGrid>
      <w:tr w14:paraId="393237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jc w:val="center"/>
        </w:trPr>
        <w:tc>
          <w:tcPr>
            <w:tcW w:w="2760" w:type="dxa"/>
            <w:vAlign w:val="center"/>
          </w:tcPr>
          <w:p w14:paraId="3F35D501">
            <w:pPr>
              <w:adjustRightInd w:val="0"/>
              <w:spacing w:line="440" w:lineRule="exact"/>
              <w:jc w:val="center"/>
              <w:rPr>
                <w:rFonts w:ascii="宋体" w:hAnsi="宋体" w:cs="宋体"/>
                <w:sz w:val="22"/>
                <w:szCs w:val="22"/>
                <w:highlight w:val="none"/>
              </w:rPr>
            </w:pPr>
            <w:r>
              <w:rPr>
                <w:rFonts w:hint="eastAsia" w:ascii="宋体" w:hAnsi="宋体" w:cs="宋体"/>
                <w:sz w:val="22"/>
                <w:szCs w:val="22"/>
                <w:highlight w:val="none"/>
              </w:rPr>
              <w:t>设备名称</w:t>
            </w:r>
          </w:p>
        </w:tc>
        <w:tc>
          <w:tcPr>
            <w:tcW w:w="6759" w:type="dxa"/>
            <w:vAlign w:val="center"/>
          </w:tcPr>
          <w:p w14:paraId="3F4E7570">
            <w:pPr>
              <w:adjustRightInd w:val="0"/>
              <w:spacing w:line="440" w:lineRule="exact"/>
              <w:jc w:val="center"/>
              <w:rPr>
                <w:rFonts w:ascii="宋体" w:hAnsi="宋体" w:cs="宋体"/>
                <w:sz w:val="22"/>
                <w:szCs w:val="22"/>
                <w:highlight w:val="none"/>
              </w:rPr>
            </w:pPr>
            <w:r>
              <w:rPr>
                <w:rFonts w:hint="eastAsia" w:ascii="宋体" w:hAnsi="宋体" w:cs="宋体"/>
                <w:sz w:val="22"/>
                <w:szCs w:val="22"/>
                <w:highlight w:val="none"/>
              </w:rPr>
              <w:t>维修及项目内容</w:t>
            </w:r>
          </w:p>
        </w:tc>
      </w:tr>
      <w:tr w14:paraId="2401B4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2760" w:type="dxa"/>
            <w:vAlign w:val="center"/>
          </w:tcPr>
          <w:p w14:paraId="0658C65B">
            <w:pPr>
              <w:adjustRightInd w:val="0"/>
              <w:spacing w:line="440" w:lineRule="exact"/>
              <w:jc w:val="center"/>
              <w:rPr>
                <w:rFonts w:ascii="宋体" w:hAnsi="宋体" w:cs="宋体"/>
                <w:sz w:val="22"/>
                <w:szCs w:val="22"/>
                <w:highlight w:val="none"/>
              </w:rPr>
            </w:pPr>
            <w:r>
              <w:rPr>
                <w:rFonts w:hint="eastAsia" w:ascii="宋体" w:hAnsi="宋体" w:cs="宋体"/>
                <w:sz w:val="22"/>
                <w:szCs w:val="22"/>
                <w:highlight w:val="none"/>
              </w:rPr>
              <w:t>35吨门机</w:t>
            </w:r>
          </w:p>
        </w:tc>
        <w:tc>
          <w:tcPr>
            <w:tcW w:w="6759" w:type="dxa"/>
          </w:tcPr>
          <w:p w14:paraId="6C60A07F">
            <w:pPr>
              <w:adjustRightInd w:val="0"/>
              <w:spacing w:line="440" w:lineRule="exact"/>
              <w:rPr>
                <w:rFonts w:ascii="宋体" w:hAnsi="宋体" w:cs="宋体"/>
                <w:sz w:val="22"/>
                <w:szCs w:val="22"/>
                <w:highlight w:val="none"/>
              </w:rPr>
            </w:pPr>
            <w:r>
              <w:rPr>
                <w:rFonts w:hint="eastAsia" w:ascii="宋体" w:hAnsi="宋体" w:cs="宋体"/>
                <w:sz w:val="22"/>
                <w:szCs w:val="22"/>
                <w:highlight w:val="none"/>
              </w:rPr>
              <w:t>包括但不限于：回转支承及连接螺栓的拆卸与更换；回转减速箱的拆卸与安装；电缆拆除与重新接线；施工方案审查；完工后调试、检测检验、现场清理；以及回转支承更换有关的其它工作。</w:t>
            </w:r>
          </w:p>
        </w:tc>
      </w:tr>
      <w:tr w14:paraId="06105F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2760" w:type="dxa"/>
            <w:vAlign w:val="center"/>
          </w:tcPr>
          <w:p w14:paraId="3B098760">
            <w:pPr>
              <w:adjustRightInd w:val="0"/>
              <w:spacing w:line="440" w:lineRule="exact"/>
              <w:jc w:val="center"/>
              <w:rPr>
                <w:rFonts w:ascii="宋体" w:hAnsi="宋体" w:cs="宋体"/>
                <w:sz w:val="22"/>
                <w:szCs w:val="22"/>
                <w:highlight w:val="none"/>
              </w:rPr>
            </w:pPr>
            <w:r>
              <w:rPr>
                <w:rFonts w:hint="eastAsia" w:ascii="宋体" w:hAnsi="宋体" w:cs="宋体"/>
                <w:sz w:val="22"/>
                <w:szCs w:val="22"/>
                <w:highlight w:val="none"/>
              </w:rPr>
              <w:t>16吨门机</w:t>
            </w:r>
          </w:p>
        </w:tc>
        <w:tc>
          <w:tcPr>
            <w:tcW w:w="6759" w:type="dxa"/>
          </w:tcPr>
          <w:p w14:paraId="3E19600D">
            <w:pPr>
              <w:adjustRightInd w:val="0"/>
              <w:spacing w:line="440" w:lineRule="exact"/>
              <w:rPr>
                <w:rFonts w:ascii="宋体" w:hAnsi="宋体" w:cs="宋体"/>
                <w:sz w:val="22"/>
                <w:szCs w:val="22"/>
                <w:highlight w:val="none"/>
              </w:rPr>
            </w:pPr>
            <w:r>
              <w:rPr>
                <w:rFonts w:hint="eastAsia" w:ascii="宋体" w:hAnsi="宋体" w:cs="宋体"/>
                <w:sz w:val="22"/>
                <w:szCs w:val="22"/>
                <w:highlight w:val="none"/>
              </w:rPr>
              <w:t>包括但不限于：臂架头部铰点（2处，对应为16吨门机臂架系统图序号6）轴、轴承、轴套及其相关部件更换；臂架头部铰点孔镗孔修复（如需）；施工方案审查；完工后调试、检测检验、现场清理；以及臂架头部铰点维修有关的其它工作。</w:t>
            </w:r>
          </w:p>
        </w:tc>
      </w:tr>
    </w:tbl>
    <w:p w14:paraId="5194C6AF">
      <w:pPr>
        <w:adjustRightInd w:val="0"/>
        <w:spacing w:line="440" w:lineRule="exact"/>
        <w:ind w:firstLine="442" w:firstLineChars="200"/>
        <w:jc w:val="left"/>
        <w:rPr>
          <w:rFonts w:ascii="宋体" w:hAnsi="宋体" w:cs="宋体"/>
          <w:b/>
          <w:bCs/>
          <w:sz w:val="22"/>
          <w:szCs w:val="22"/>
          <w:highlight w:val="none"/>
        </w:rPr>
      </w:pPr>
      <w:r>
        <w:rPr>
          <w:rFonts w:hint="eastAsia" w:ascii="宋体" w:hAnsi="宋体" w:cs="宋体"/>
          <w:b/>
          <w:bCs/>
          <w:sz w:val="22"/>
          <w:szCs w:val="22"/>
          <w:highlight w:val="none"/>
        </w:rPr>
        <w:t>2.项目工期</w:t>
      </w:r>
    </w:p>
    <w:p w14:paraId="56FFD93C">
      <w:pPr>
        <w:adjustRightInd w:val="0"/>
        <w:spacing w:line="440" w:lineRule="exact"/>
        <w:ind w:firstLine="440" w:firstLineChars="200"/>
        <w:jc w:val="left"/>
        <w:rPr>
          <w:rFonts w:ascii="宋体" w:hAnsi="宋体" w:cs="宋体"/>
          <w:sz w:val="22"/>
          <w:szCs w:val="22"/>
          <w:highlight w:val="none"/>
        </w:rPr>
      </w:pPr>
      <w:r>
        <w:rPr>
          <w:rFonts w:hint="eastAsia" w:ascii="宋体" w:hAnsi="宋体" w:cs="宋体"/>
          <w:sz w:val="22"/>
          <w:szCs w:val="22"/>
          <w:highlight w:val="none"/>
        </w:rPr>
        <w:t>①35吨门机回转支承需在合同签订后60日历天内完成到港并验收通过。②两台设备现场维修工期为：接到招标人书面通知之日起30日历天内完成安装调试并通过招标人验收。</w:t>
      </w:r>
    </w:p>
    <w:p w14:paraId="56862749">
      <w:pPr>
        <w:adjustRightInd w:val="0"/>
        <w:spacing w:line="440" w:lineRule="exact"/>
        <w:ind w:firstLine="442" w:firstLineChars="200"/>
        <w:jc w:val="left"/>
        <w:rPr>
          <w:rFonts w:ascii="宋体" w:hAnsi="宋体" w:cs="宋体"/>
          <w:b/>
          <w:bCs/>
          <w:sz w:val="22"/>
          <w:szCs w:val="22"/>
          <w:highlight w:val="none"/>
        </w:rPr>
      </w:pPr>
      <w:r>
        <w:rPr>
          <w:rFonts w:hint="eastAsia" w:ascii="宋体" w:hAnsi="宋体" w:cs="宋体"/>
          <w:b/>
          <w:bCs/>
          <w:sz w:val="22"/>
          <w:szCs w:val="22"/>
          <w:highlight w:val="none"/>
        </w:rPr>
        <w:t>3.主要零部件及材料要求</w:t>
      </w:r>
    </w:p>
    <w:p w14:paraId="240C09AC">
      <w:pPr>
        <w:adjustRightInd w:val="0"/>
        <w:spacing w:line="440" w:lineRule="exact"/>
        <w:ind w:firstLine="440" w:firstLineChars="200"/>
        <w:jc w:val="left"/>
        <w:rPr>
          <w:rFonts w:ascii="宋体" w:hAnsi="宋体" w:cs="宋体"/>
          <w:sz w:val="22"/>
          <w:szCs w:val="22"/>
          <w:highlight w:val="none"/>
        </w:rPr>
      </w:pPr>
      <w:r>
        <w:rPr>
          <w:rFonts w:hint="eastAsia" w:ascii="宋体" w:hAnsi="宋体" w:cs="宋体"/>
          <w:sz w:val="22"/>
          <w:szCs w:val="22"/>
          <w:highlight w:val="none"/>
        </w:rPr>
        <w:t>中标人使用的配件及材料，必须符合国家/行业标准且保证设备能正常使用，否则应无条件进行更换，由此产生的一切费用由中标人承担。</w:t>
      </w:r>
    </w:p>
    <w:p w14:paraId="128572EE">
      <w:pPr>
        <w:adjustRightInd w:val="0"/>
        <w:spacing w:line="440" w:lineRule="exact"/>
        <w:ind w:firstLine="442" w:firstLineChars="200"/>
        <w:jc w:val="left"/>
        <w:rPr>
          <w:rFonts w:ascii="宋体" w:hAnsi="宋体" w:cs="宋体"/>
          <w:b/>
          <w:bCs/>
          <w:sz w:val="22"/>
          <w:szCs w:val="22"/>
          <w:highlight w:val="none"/>
        </w:rPr>
      </w:pPr>
      <w:r>
        <w:rPr>
          <w:rFonts w:hint="eastAsia" w:ascii="宋体" w:hAnsi="宋体" w:cs="宋体"/>
          <w:b/>
          <w:bCs/>
          <w:sz w:val="22"/>
          <w:szCs w:val="22"/>
          <w:highlight w:val="none"/>
        </w:rPr>
        <w:t>4.更换部件要求</w:t>
      </w:r>
    </w:p>
    <w:p w14:paraId="0E9F4753">
      <w:pPr>
        <w:adjustRightInd w:val="0"/>
        <w:spacing w:line="440" w:lineRule="exact"/>
        <w:ind w:firstLine="440" w:firstLineChars="200"/>
        <w:jc w:val="left"/>
        <w:rPr>
          <w:rFonts w:ascii="宋体" w:hAnsi="宋体" w:cs="宋体"/>
          <w:sz w:val="22"/>
          <w:szCs w:val="22"/>
          <w:highlight w:val="none"/>
        </w:rPr>
      </w:pPr>
      <w:r>
        <w:rPr>
          <w:rFonts w:hint="eastAsia" w:ascii="宋体" w:hAnsi="宋体" w:cs="宋体"/>
          <w:sz w:val="22"/>
          <w:szCs w:val="22"/>
          <w:highlight w:val="none"/>
        </w:rPr>
        <w:t>本项目所需更换主要部件品牌要求如下：</w:t>
      </w:r>
    </w:p>
    <w:tbl>
      <w:tblPr>
        <w:tblStyle w:val="31"/>
        <w:tblW w:w="486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69"/>
        <w:gridCol w:w="1878"/>
        <w:gridCol w:w="2133"/>
        <w:gridCol w:w="874"/>
        <w:gridCol w:w="3243"/>
      </w:tblGrid>
      <w:tr w14:paraId="519A28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6" w:hRule="atLeast"/>
          <w:jc w:val="center"/>
        </w:trPr>
        <w:tc>
          <w:tcPr>
            <w:tcW w:w="765" w:type="pct"/>
            <w:vAlign w:val="center"/>
          </w:tcPr>
          <w:p w14:paraId="475CECC9">
            <w:pPr>
              <w:tabs>
                <w:tab w:val="left" w:pos="386"/>
              </w:tabs>
              <w:spacing w:line="440" w:lineRule="exact"/>
              <w:jc w:val="center"/>
              <w:rPr>
                <w:rFonts w:ascii="宋体" w:hAnsi="宋体" w:cs="宋体"/>
                <w:kern w:val="0"/>
                <w:sz w:val="22"/>
                <w:szCs w:val="22"/>
                <w:highlight w:val="none"/>
              </w:rPr>
            </w:pPr>
            <w:r>
              <w:rPr>
                <w:rFonts w:hint="eastAsia" w:ascii="宋体" w:hAnsi="宋体" w:cs="宋体"/>
                <w:kern w:val="0"/>
                <w:sz w:val="22"/>
                <w:szCs w:val="22"/>
                <w:highlight w:val="none"/>
              </w:rPr>
              <w:t>设备名称</w:t>
            </w:r>
          </w:p>
        </w:tc>
        <w:tc>
          <w:tcPr>
            <w:tcW w:w="978" w:type="pct"/>
            <w:vAlign w:val="center"/>
          </w:tcPr>
          <w:p w14:paraId="7D3B9EEF">
            <w:pPr>
              <w:tabs>
                <w:tab w:val="left" w:pos="386"/>
              </w:tabs>
              <w:spacing w:line="440" w:lineRule="exact"/>
              <w:jc w:val="center"/>
              <w:rPr>
                <w:rFonts w:ascii="宋体" w:hAnsi="宋体" w:cs="宋体"/>
                <w:kern w:val="0"/>
                <w:sz w:val="22"/>
                <w:szCs w:val="22"/>
                <w:highlight w:val="none"/>
              </w:rPr>
            </w:pPr>
            <w:r>
              <w:rPr>
                <w:rFonts w:hint="eastAsia" w:ascii="宋体" w:hAnsi="宋体" w:cs="宋体"/>
                <w:kern w:val="0"/>
                <w:sz w:val="22"/>
                <w:szCs w:val="22"/>
                <w:highlight w:val="none"/>
              </w:rPr>
              <w:t>部件名称</w:t>
            </w:r>
          </w:p>
        </w:tc>
        <w:tc>
          <w:tcPr>
            <w:tcW w:w="1111" w:type="pct"/>
            <w:vAlign w:val="center"/>
          </w:tcPr>
          <w:p w14:paraId="4194C0E5">
            <w:pPr>
              <w:tabs>
                <w:tab w:val="left" w:pos="386"/>
              </w:tabs>
              <w:spacing w:line="440" w:lineRule="exact"/>
              <w:jc w:val="center"/>
              <w:rPr>
                <w:rFonts w:ascii="宋体" w:hAnsi="宋体" w:cs="宋体"/>
                <w:kern w:val="0"/>
                <w:sz w:val="22"/>
                <w:szCs w:val="22"/>
                <w:highlight w:val="none"/>
              </w:rPr>
            </w:pPr>
            <w:r>
              <w:rPr>
                <w:rFonts w:hint="eastAsia" w:ascii="宋体" w:hAnsi="宋体" w:cs="宋体"/>
                <w:kern w:val="0"/>
                <w:sz w:val="22"/>
                <w:szCs w:val="22"/>
                <w:highlight w:val="none"/>
              </w:rPr>
              <w:t>现有规格型号</w:t>
            </w:r>
          </w:p>
        </w:tc>
        <w:tc>
          <w:tcPr>
            <w:tcW w:w="455" w:type="pct"/>
            <w:vAlign w:val="center"/>
          </w:tcPr>
          <w:p w14:paraId="6D483826">
            <w:pPr>
              <w:tabs>
                <w:tab w:val="left" w:pos="386"/>
              </w:tabs>
              <w:spacing w:line="440" w:lineRule="exact"/>
              <w:jc w:val="center"/>
              <w:rPr>
                <w:rFonts w:ascii="宋体" w:hAnsi="宋体" w:cs="宋体"/>
                <w:kern w:val="0"/>
                <w:sz w:val="22"/>
                <w:szCs w:val="22"/>
                <w:highlight w:val="none"/>
              </w:rPr>
            </w:pPr>
            <w:r>
              <w:rPr>
                <w:rFonts w:hint="eastAsia" w:ascii="宋体" w:hAnsi="宋体" w:cs="宋体"/>
                <w:kern w:val="0"/>
                <w:sz w:val="22"/>
                <w:szCs w:val="22"/>
                <w:highlight w:val="none"/>
              </w:rPr>
              <w:t>数量</w:t>
            </w:r>
          </w:p>
        </w:tc>
        <w:tc>
          <w:tcPr>
            <w:tcW w:w="1689" w:type="pct"/>
            <w:vAlign w:val="center"/>
          </w:tcPr>
          <w:p w14:paraId="5AC85C29">
            <w:pPr>
              <w:tabs>
                <w:tab w:val="left" w:pos="386"/>
              </w:tabs>
              <w:spacing w:line="440" w:lineRule="exact"/>
              <w:jc w:val="center"/>
              <w:rPr>
                <w:rFonts w:ascii="宋体" w:hAnsi="宋体" w:cs="宋体"/>
                <w:kern w:val="0"/>
                <w:sz w:val="22"/>
                <w:szCs w:val="22"/>
                <w:highlight w:val="none"/>
              </w:rPr>
            </w:pPr>
            <w:r>
              <w:rPr>
                <w:rFonts w:hint="eastAsia" w:ascii="宋体" w:hAnsi="宋体" w:cs="宋体"/>
                <w:kern w:val="0"/>
                <w:sz w:val="22"/>
                <w:szCs w:val="22"/>
                <w:highlight w:val="none"/>
              </w:rPr>
              <w:t>推荐品牌</w:t>
            </w:r>
          </w:p>
        </w:tc>
      </w:tr>
      <w:tr w14:paraId="3D97DC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9" w:hRule="atLeast"/>
          <w:jc w:val="center"/>
        </w:trPr>
        <w:tc>
          <w:tcPr>
            <w:tcW w:w="765" w:type="pct"/>
            <w:vMerge w:val="restart"/>
            <w:vAlign w:val="center"/>
          </w:tcPr>
          <w:p w14:paraId="5FC86987">
            <w:pPr>
              <w:tabs>
                <w:tab w:val="left" w:pos="386"/>
              </w:tabs>
              <w:spacing w:line="440" w:lineRule="exact"/>
              <w:jc w:val="center"/>
              <w:rPr>
                <w:rFonts w:ascii="宋体" w:hAnsi="宋体" w:cs="宋体"/>
                <w:kern w:val="0"/>
                <w:sz w:val="22"/>
                <w:szCs w:val="22"/>
                <w:highlight w:val="none"/>
              </w:rPr>
            </w:pPr>
            <w:r>
              <w:rPr>
                <w:rFonts w:ascii="宋体" w:hAnsi="宋体" w:cs="宋体"/>
                <w:kern w:val="0"/>
                <w:sz w:val="22"/>
                <w:szCs w:val="22"/>
                <w:highlight w:val="none"/>
              </w:rPr>
              <w:t>35</w:t>
            </w:r>
            <w:r>
              <w:rPr>
                <w:rFonts w:hint="eastAsia" w:ascii="宋体" w:hAnsi="宋体" w:cs="宋体"/>
                <w:kern w:val="0"/>
                <w:sz w:val="22"/>
                <w:szCs w:val="22"/>
                <w:highlight w:val="none"/>
              </w:rPr>
              <w:t>吨门机</w:t>
            </w:r>
          </w:p>
        </w:tc>
        <w:tc>
          <w:tcPr>
            <w:tcW w:w="978" w:type="pct"/>
            <w:vAlign w:val="center"/>
          </w:tcPr>
          <w:p w14:paraId="08C0544D">
            <w:pPr>
              <w:tabs>
                <w:tab w:val="left" w:pos="386"/>
              </w:tabs>
              <w:spacing w:line="440" w:lineRule="exact"/>
              <w:jc w:val="center"/>
              <w:rPr>
                <w:rFonts w:ascii="宋体" w:hAnsi="宋体" w:cs="宋体"/>
                <w:kern w:val="0"/>
                <w:sz w:val="22"/>
                <w:szCs w:val="22"/>
                <w:highlight w:val="none"/>
              </w:rPr>
            </w:pPr>
            <w:r>
              <w:rPr>
                <w:rFonts w:hint="eastAsia" w:ascii="宋体" w:hAnsi="宋体" w:cs="宋体"/>
                <w:kern w:val="0"/>
                <w:sz w:val="22"/>
                <w:szCs w:val="22"/>
                <w:highlight w:val="none"/>
              </w:rPr>
              <w:t>回转支承</w:t>
            </w:r>
          </w:p>
        </w:tc>
        <w:tc>
          <w:tcPr>
            <w:tcW w:w="1111" w:type="pct"/>
            <w:vAlign w:val="center"/>
          </w:tcPr>
          <w:p w14:paraId="3495CA15">
            <w:pPr>
              <w:tabs>
                <w:tab w:val="left" w:pos="386"/>
              </w:tabs>
              <w:spacing w:line="440" w:lineRule="exact"/>
              <w:jc w:val="center"/>
              <w:rPr>
                <w:rFonts w:ascii="宋体" w:hAnsi="宋体" w:cs="宋体"/>
                <w:kern w:val="0"/>
                <w:sz w:val="22"/>
                <w:szCs w:val="22"/>
                <w:highlight w:val="none"/>
              </w:rPr>
            </w:pPr>
            <w:r>
              <w:rPr>
                <w:rFonts w:ascii="宋体" w:hAnsi="宋体" w:cs="宋体"/>
                <w:kern w:val="0"/>
                <w:sz w:val="22"/>
                <w:szCs w:val="22"/>
                <w:highlight w:val="none"/>
              </w:rPr>
              <w:t>022.60.3150</w:t>
            </w:r>
          </w:p>
        </w:tc>
        <w:tc>
          <w:tcPr>
            <w:tcW w:w="455" w:type="pct"/>
            <w:vAlign w:val="center"/>
          </w:tcPr>
          <w:p w14:paraId="1F7EB1A4">
            <w:pPr>
              <w:tabs>
                <w:tab w:val="left" w:pos="386"/>
              </w:tabs>
              <w:spacing w:line="440" w:lineRule="exact"/>
              <w:jc w:val="center"/>
              <w:rPr>
                <w:rFonts w:ascii="宋体" w:hAnsi="宋体" w:cs="宋体"/>
                <w:kern w:val="0"/>
                <w:sz w:val="22"/>
                <w:szCs w:val="22"/>
                <w:highlight w:val="none"/>
              </w:rPr>
            </w:pPr>
            <w:r>
              <w:rPr>
                <w:rFonts w:hint="eastAsia" w:ascii="宋体" w:hAnsi="宋体" w:cs="宋体"/>
                <w:kern w:val="0"/>
                <w:sz w:val="22"/>
                <w:szCs w:val="22"/>
                <w:highlight w:val="none"/>
              </w:rPr>
              <w:t>1台</w:t>
            </w:r>
          </w:p>
        </w:tc>
        <w:tc>
          <w:tcPr>
            <w:tcW w:w="1689" w:type="pct"/>
            <w:vAlign w:val="center"/>
          </w:tcPr>
          <w:p w14:paraId="5847748E">
            <w:pPr>
              <w:tabs>
                <w:tab w:val="left" w:pos="386"/>
              </w:tabs>
              <w:spacing w:line="440" w:lineRule="exact"/>
              <w:rPr>
                <w:rFonts w:ascii="宋体" w:hAnsi="宋体" w:cs="宋体"/>
                <w:kern w:val="0"/>
                <w:sz w:val="22"/>
                <w:szCs w:val="22"/>
                <w:highlight w:val="none"/>
              </w:rPr>
            </w:pPr>
            <w:r>
              <w:rPr>
                <w:rFonts w:hint="eastAsia" w:ascii="宋体" w:hAnsi="宋体" w:cs="宋体"/>
                <w:kern w:val="0"/>
                <w:sz w:val="22"/>
                <w:szCs w:val="22"/>
                <w:highlight w:val="none"/>
              </w:rPr>
              <w:t>罗特艾德轴承、洛阳轴承、嘉维轴承或相当于同等档次的其他品牌</w:t>
            </w:r>
          </w:p>
        </w:tc>
      </w:tr>
      <w:tr w14:paraId="5CA443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3" w:hRule="atLeast"/>
          <w:jc w:val="center"/>
        </w:trPr>
        <w:tc>
          <w:tcPr>
            <w:tcW w:w="765" w:type="pct"/>
            <w:vMerge w:val="continue"/>
            <w:vAlign w:val="center"/>
          </w:tcPr>
          <w:p w14:paraId="74C8AFFF">
            <w:pPr>
              <w:tabs>
                <w:tab w:val="left" w:pos="386"/>
              </w:tabs>
              <w:spacing w:line="440" w:lineRule="exact"/>
              <w:jc w:val="center"/>
              <w:rPr>
                <w:rFonts w:ascii="宋体" w:hAnsi="宋体" w:cs="宋体"/>
                <w:kern w:val="0"/>
                <w:sz w:val="22"/>
                <w:szCs w:val="22"/>
                <w:highlight w:val="none"/>
              </w:rPr>
            </w:pPr>
          </w:p>
        </w:tc>
        <w:tc>
          <w:tcPr>
            <w:tcW w:w="978" w:type="pct"/>
            <w:vAlign w:val="center"/>
          </w:tcPr>
          <w:p w14:paraId="3CA3AAC5">
            <w:pPr>
              <w:tabs>
                <w:tab w:val="left" w:pos="386"/>
              </w:tabs>
              <w:spacing w:line="440" w:lineRule="exact"/>
              <w:jc w:val="center"/>
              <w:rPr>
                <w:rFonts w:ascii="宋体" w:hAnsi="宋体" w:cs="宋体"/>
                <w:kern w:val="0"/>
                <w:sz w:val="22"/>
                <w:szCs w:val="22"/>
                <w:highlight w:val="none"/>
              </w:rPr>
            </w:pPr>
            <w:r>
              <w:rPr>
                <w:rFonts w:hint="eastAsia" w:ascii="宋体" w:hAnsi="宋体" w:cs="宋体"/>
                <w:kern w:val="0"/>
                <w:sz w:val="22"/>
                <w:szCs w:val="22"/>
                <w:highlight w:val="none"/>
              </w:rPr>
              <w:t>回转支承安装螺栓、螺母、垫片</w:t>
            </w:r>
          </w:p>
        </w:tc>
        <w:tc>
          <w:tcPr>
            <w:tcW w:w="1111" w:type="pct"/>
            <w:vAlign w:val="center"/>
          </w:tcPr>
          <w:p w14:paraId="6DA3CACE">
            <w:pPr>
              <w:tabs>
                <w:tab w:val="left" w:pos="386"/>
              </w:tabs>
              <w:spacing w:line="440" w:lineRule="exact"/>
              <w:jc w:val="center"/>
              <w:rPr>
                <w:rFonts w:ascii="宋体" w:hAnsi="宋体" w:cs="宋体"/>
                <w:kern w:val="0"/>
                <w:sz w:val="22"/>
                <w:szCs w:val="22"/>
                <w:highlight w:val="none"/>
              </w:rPr>
            </w:pPr>
            <w:r>
              <w:rPr>
                <w:rFonts w:hint="eastAsia" w:ascii="宋体" w:hAnsi="宋体" w:cs="宋体"/>
                <w:kern w:val="0"/>
                <w:sz w:val="22"/>
                <w:szCs w:val="22"/>
                <w:highlight w:val="none"/>
              </w:rPr>
              <w:t>M</w:t>
            </w:r>
            <w:r>
              <w:rPr>
                <w:rFonts w:ascii="宋体" w:hAnsi="宋体" w:cs="宋体"/>
                <w:kern w:val="0"/>
                <w:sz w:val="22"/>
                <w:szCs w:val="22"/>
                <w:highlight w:val="none"/>
              </w:rPr>
              <w:t>42</w:t>
            </w:r>
            <w:r>
              <w:rPr>
                <w:rFonts w:hint="eastAsia" w:ascii="宋体" w:hAnsi="宋体" w:cs="宋体"/>
                <w:kern w:val="0"/>
                <w:sz w:val="22"/>
                <w:szCs w:val="22"/>
                <w:highlight w:val="none"/>
              </w:rPr>
              <w:t>*3</w:t>
            </w:r>
            <w:r>
              <w:rPr>
                <w:rFonts w:ascii="宋体" w:hAnsi="宋体" w:cs="宋体"/>
                <w:kern w:val="0"/>
                <w:sz w:val="22"/>
                <w:szCs w:val="22"/>
                <w:highlight w:val="none"/>
              </w:rPr>
              <w:t>5</w:t>
            </w:r>
            <w:r>
              <w:rPr>
                <w:rFonts w:hint="eastAsia" w:ascii="宋体" w:hAnsi="宋体" w:cs="宋体"/>
                <w:kern w:val="0"/>
                <w:sz w:val="22"/>
                <w:szCs w:val="22"/>
                <w:highlight w:val="none"/>
              </w:rPr>
              <w:t>0（10.9级）</w:t>
            </w:r>
          </w:p>
        </w:tc>
        <w:tc>
          <w:tcPr>
            <w:tcW w:w="455" w:type="pct"/>
            <w:vAlign w:val="center"/>
          </w:tcPr>
          <w:p w14:paraId="662AE0EE">
            <w:pPr>
              <w:tabs>
                <w:tab w:val="left" w:pos="386"/>
              </w:tabs>
              <w:spacing w:line="440" w:lineRule="exact"/>
              <w:jc w:val="center"/>
              <w:rPr>
                <w:rFonts w:ascii="宋体" w:hAnsi="宋体" w:cs="宋体"/>
                <w:kern w:val="0"/>
                <w:sz w:val="22"/>
                <w:szCs w:val="22"/>
                <w:highlight w:val="none"/>
              </w:rPr>
            </w:pPr>
            <w:r>
              <w:rPr>
                <w:rFonts w:ascii="宋体" w:hAnsi="宋体" w:cs="宋体"/>
                <w:kern w:val="0"/>
                <w:sz w:val="22"/>
                <w:szCs w:val="22"/>
                <w:highlight w:val="none"/>
              </w:rPr>
              <w:t>56</w:t>
            </w:r>
            <w:r>
              <w:rPr>
                <w:rFonts w:hint="eastAsia" w:ascii="宋体" w:hAnsi="宋体" w:cs="宋体"/>
                <w:kern w:val="0"/>
                <w:sz w:val="22"/>
                <w:szCs w:val="22"/>
                <w:highlight w:val="none"/>
              </w:rPr>
              <w:t>套</w:t>
            </w:r>
          </w:p>
        </w:tc>
        <w:tc>
          <w:tcPr>
            <w:tcW w:w="1689" w:type="pct"/>
            <w:vAlign w:val="center"/>
          </w:tcPr>
          <w:p w14:paraId="14472128">
            <w:pPr>
              <w:tabs>
                <w:tab w:val="left" w:pos="386"/>
              </w:tabs>
              <w:spacing w:line="440" w:lineRule="exact"/>
              <w:rPr>
                <w:rFonts w:ascii="宋体" w:hAnsi="宋体" w:cs="宋体"/>
                <w:kern w:val="0"/>
                <w:sz w:val="22"/>
                <w:szCs w:val="22"/>
                <w:highlight w:val="none"/>
              </w:rPr>
            </w:pPr>
            <w:r>
              <w:rPr>
                <w:rFonts w:hint="eastAsia" w:ascii="宋体" w:hAnsi="宋体" w:cs="宋体"/>
                <w:kern w:val="0"/>
                <w:sz w:val="22"/>
                <w:szCs w:val="22"/>
                <w:highlight w:val="none"/>
              </w:rPr>
              <w:t>阿斯米、亚螺、宁力或相当于同等档次的其他品牌</w:t>
            </w:r>
          </w:p>
        </w:tc>
      </w:tr>
      <w:tr w14:paraId="1E4CF2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3" w:hRule="atLeast"/>
          <w:jc w:val="center"/>
        </w:trPr>
        <w:tc>
          <w:tcPr>
            <w:tcW w:w="765" w:type="pct"/>
            <w:vAlign w:val="center"/>
          </w:tcPr>
          <w:p w14:paraId="561D0D99">
            <w:pPr>
              <w:tabs>
                <w:tab w:val="left" w:pos="386"/>
              </w:tabs>
              <w:spacing w:line="440" w:lineRule="exact"/>
              <w:jc w:val="center"/>
              <w:rPr>
                <w:rFonts w:ascii="宋体" w:hAnsi="宋体" w:cs="宋体"/>
                <w:kern w:val="0"/>
                <w:sz w:val="22"/>
                <w:szCs w:val="22"/>
                <w:highlight w:val="none"/>
              </w:rPr>
            </w:pPr>
            <w:r>
              <w:rPr>
                <w:rFonts w:hint="eastAsia" w:ascii="宋体" w:hAnsi="宋体" w:cs="宋体"/>
                <w:kern w:val="0"/>
                <w:sz w:val="22"/>
                <w:szCs w:val="22"/>
                <w:highlight w:val="none"/>
              </w:rPr>
              <w:t>1</w:t>
            </w:r>
            <w:r>
              <w:rPr>
                <w:rFonts w:ascii="宋体" w:hAnsi="宋体" w:cs="宋体"/>
                <w:kern w:val="0"/>
                <w:sz w:val="22"/>
                <w:szCs w:val="22"/>
                <w:highlight w:val="none"/>
              </w:rPr>
              <w:t>6</w:t>
            </w:r>
            <w:r>
              <w:rPr>
                <w:rFonts w:hint="eastAsia" w:ascii="宋体" w:hAnsi="宋体" w:cs="宋体"/>
                <w:kern w:val="0"/>
                <w:sz w:val="22"/>
                <w:szCs w:val="22"/>
                <w:highlight w:val="none"/>
              </w:rPr>
              <w:t>吨门机</w:t>
            </w:r>
          </w:p>
        </w:tc>
        <w:tc>
          <w:tcPr>
            <w:tcW w:w="978" w:type="pct"/>
            <w:vAlign w:val="center"/>
          </w:tcPr>
          <w:p w14:paraId="5AD36E2E">
            <w:pPr>
              <w:tabs>
                <w:tab w:val="left" w:pos="386"/>
              </w:tabs>
              <w:spacing w:line="440" w:lineRule="exact"/>
              <w:jc w:val="center"/>
              <w:rPr>
                <w:rFonts w:ascii="宋体" w:hAnsi="宋体" w:cs="宋体"/>
                <w:kern w:val="0"/>
                <w:sz w:val="22"/>
                <w:szCs w:val="22"/>
                <w:highlight w:val="none"/>
              </w:rPr>
            </w:pPr>
            <w:r>
              <w:rPr>
                <w:rFonts w:hint="eastAsia" w:ascii="宋体" w:hAnsi="宋体" w:cs="宋体"/>
                <w:kern w:val="0"/>
                <w:sz w:val="22"/>
                <w:szCs w:val="22"/>
                <w:highlight w:val="none"/>
              </w:rPr>
              <w:t>臂架头部铰点轴承</w:t>
            </w:r>
          </w:p>
        </w:tc>
        <w:tc>
          <w:tcPr>
            <w:tcW w:w="1111" w:type="pct"/>
            <w:vAlign w:val="center"/>
          </w:tcPr>
          <w:p w14:paraId="23034F72">
            <w:pPr>
              <w:tabs>
                <w:tab w:val="left" w:pos="386"/>
              </w:tabs>
              <w:spacing w:line="440" w:lineRule="exact"/>
              <w:jc w:val="center"/>
              <w:rPr>
                <w:rFonts w:ascii="宋体" w:hAnsi="宋体" w:cs="宋体"/>
                <w:kern w:val="0"/>
                <w:sz w:val="22"/>
                <w:szCs w:val="22"/>
                <w:highlight w:val="none"/>
              </w:rPr>
            </w:pPr>
            <w:r>
              <w:rPr>
                <w:rFonts w:ascii="宋体" w:hAnsi="宋体" w:cs="宋体"/>
                <w:kern w:val="0"/>
                <w:sz w:val="22"/>
                <w:szCs w:val="22"/>
                <w:highlight w:val="none"/>
              </w:rPr>
              <w:t>22232 C/W33</w:t>
            </w:r>
          </w:p>
        </w:tc>
        <w:tc>
          <w:tcPr>
            <w:tcW w:w="455" w:type="pct"/>
            <w:vAlign w:val="center"/>
          </w:tcPr>
          <w:p w14:paraId="6FF1074C">
            <w:pPr>
              <w:tabs>
                <w:tab w:val="left" w:pos="386"/>
              </w:tabs>
              <w:spacing w:line="440" w:lineRule="exact"/>
              <w:jc w:val="center"/>
              <w:rPr>
                <w:rFonts w:ascii="宋体" w:hAnsi="宋体" w:cs="宋体"/>
                <w:kern w:val="0"/>
                <w:sz w:val="22"/>
                <w:szCs w:val="22"/>
                <w:highlight w:val="none"/>
              </w:rPr>
            </w:pPr>
            <w:r>
              <w:rPr>
                <w:rFonts w:hint="eastAsia" w:ascii="宋体" w:hAnsi="宋体" w:cs="宋体"/>
                <w:kern w:val="0"/>
                <w:sz w:val="22"/>
                <w:szCs w:val="22"/>
                <w:highlight w:val="none"/>
              </w:rPr>
              <w:t>2套</w:t>
            </w:r>
          </w:p>
        </w:tc>
        <w:tc>
          <w:tcPr>
            <w:tcW w:w="1689" w:type="pct"/>
            <w:vAlign w:val="center"/>
          </w:tcPr>
          <w:p w14:paraId="38519DC1">
            <w:pPr>
              <w:tabs>
                <w:tab w:val="left" w:pos="386"/>
              </w:tabs>
              <w:spacing w:line="440" w:lineRule="exact"/>
              <w:rPr>
                <w:rFonts w:ascii="宋体" w:hAnsi="宋体" w:cs="宋体"/>
                <w:kern w:val="0"/>
                <w:sz w:val="22"/>
                <w:szCs w:val="22"/>
                <w:highlight w:val="none"/>
              </w:rPr>
            </w:pPr>
            <w:r>
              <w:rPr>
                <w:rFonts w:hint="eastAsia" w:ascii="宋体" w:hAnsi="宋体" w:cs="宋体"/>
                <w:kern w:val="0"/>
                <w:sz w:val="22"/>
                <w:szCs w:val="22"/>
                <w:highlight w:val="none"/>
              </w:rPr>
              <w:t>FAG、NSK、SKF或相当于同等档次的其他品牌</w:t>
            </w:r>
          </w:p>
        </w:tc>
      </w:tr>
      <w:bookmarkEnd w:id="21"/>
    </w:tbl>
    <w:p w14:paraId="533B521D">
      <w:pPr>
        <w:adjustRightInd w:val="0"/>
        <w:spacing w:line="440" w:lineRule="exact"/>
        <w:ind w:firstLine="442" w:firstLineChars="200"/>
        <w:jc w:val="left"/>
        <w:rPr>
          <w:rFonts w:ascii="宋体" w:hAnsi="宋体" w:cs="宋体"/>
          <w:b/>
          <w:bCs/>
          <w:sz w:val="22"/>
          <w:szCs w:val="22"/>
          <w:highlight w:val="none"/>
        </w:rPr>
      </w:pPr>
      <w:r>
        <w:rPr>
          <w:rFonts w:hint="eastAsia" w:ascii="宋体" w:hAnsi="宋体" w:cs="宋体"/>
          <w:b/>
          <w:bCs/>
          <w:sz w:val="22"/>
          <w:szCs w:val="22"/>
          <w:highlight w:val="none"/>
        </w:rPr>
        <w:t>5.现场勘查</w:t>
      </w:r>
    </w:p>
    <w:p w14:paraId="52E5D24C">
      <w:pPr>
        <w:adjustRightInd w:val="0"/>
        <w:spacing w:line="440" w:lineRule="exact"/>
        <w:ind w:firstLine="440" w:firstLineChars="200"/>
        <w:jc w:val="left"/>
        <w:rPr>
          <w:rFonts w:ascii="宋体" w:hAnsi="宋体" w:cs="宋体"/>
          <w:sz w:val="22"/>
          <w:szCs w:val="22"/>
          <w:highlight w:val="none"/>
        </w:rPr>
      </w:pPr>
      <w:r>
        <w:rPr>
          <w:rFonts w:hint="eastAsia" w:ascii="宋体" w:hAnsi="宋体" w:cs="宋体"/>
          <w:sz w:val="22"/>
          <w:szCs w:val="22"/>
          <w:highlight w:val="none"/>
        </w:rPr>
        <w:t>为保证更新后设备的稳定性，建议投标人在投标前按项目需求进行现场勘查。投标人如未现场勘查，不影响报价有效性，但中标后需严格按照招标要求执行，不得以未勘查为由推诿责任。</w:t>
      </w:r>
    </w:p>
    <w:p w14:paraId="44B61E7E">
      <w:pPr>
        <w:adjustRightInd w:val="0"/>
        <w:spacing w:line="440" w:lineRule="exact"/>
        <w:jc w:val="left"/>
        <w:outlineLvl w:val="2"/>
        <w:rPr>
          <w:rFonts w:ascii="宋体" w:hAnsi="宋体" w:cs="宋体"/>
          <w:b/>
          <w:bCs/>
          <w:sz w:val="22"/>
          <w:szCs w:val="22"/>
          <w:highlight w:val="none"/>
        </w:rPr>
      </w:pPr>
      <w:bookmarkStart w:id="22" w:name="_Toc26061"/>
      <w:r>
        <w:rPr>
          <w:rFonts w:hint="eastAsia" w:ascii="宋体" w:hAnsi="宋体" w:cs="宋体"/>
          <w:b/>
          <w:bCs/>
          <w:sz w:val="22"/>
          <w:szCs w:val="22"/>
          <w:highlight w:val="none"/>
        </w:rPr>
        <w:t>三、技术要求及施工方案编制</w:t>
      </w:r>
      <w:bookmarkEnd w:id="22"/>
    </w:p>
    <w:p w14:paraId="05A599D5">
      <w:pPr>
        <w:adjustRightInd w:val="0"/>
        <w:spacing w:line="440" w:lineRule="exact"/>
        <w:ind w:firstLine="442" w:firstLineChars="200"/>
        <w:jc w:val="left"/>
        <w:rPr>
          <w:rFonts w:ascii="宋体" w:hAnsi="宋体" w:cs="宋体"/>
          <w:b/>
          <w:bCs/>
          <w:sz w:val="22"/>
          <w:szCs w:val="22"/>
          <w:highlight w:val="none"/>
        </w:rPr>
      </w:pPr>
      <w:r>
        <w:rPr>
          <w:rFonts w:hint="eastAsia" w:ascii="宋体" w:hAnsi="宋体" w:cs="宋体"/>
          <w:b/>
          <w:bCs/>
          <w:sz w:val="22"/>
          <w:szCs w:val="22"/>
          <w:highlight w:val="none"/>
        </w:rPr>
        <w:t>1.技术要求</w:t>
      </w:r>
    </w:p>
    <w:p w14:paraId="4DDA2728">
      <w:pPr>
        <w:adjustRightInd w:val="0"/>
        <w:spacing w:line="440" w:lineRule="exact"/>
        <w:ind w:firstLine="440" w:firstLineChars="200"/>
        <w:jc w:val="left"/>
        <w:rPr>
          <w:rFonts w:ascii="宋体" w:hAnsi="宋体" w:cs="宋体"/>
          <w:sz w:val="22"/>
          <w:szCs w:val="22"/>
          <w:highlight w:val="none"/>
        </w:rPr>
      </w:pPr>
      <w:r>
        <w:rPr>
          <w:rFonts w:hint="eastAsia" w:ascii="宋体" w:hAnsi="宋体" w:cs="宋体"/>
          <w:sz w:val="22"/>
          <w:szCs w:val="22"/>
          <w:highlight w:val="none"/>
        </w:rPr>
        <w:t>1.1  回转支承安装：</w:t>
      </w:r>
    </w:p>
    <w:p w14:paraId="6E9578E8">
      <w:pPr>
        <w:adjustRightInd w:val="0"/>
        <w:spacing w:line="440" w:lineRule="exact"/>
        <w:ind w:firstLine="440" w:firstLineChars="200"/>
        <w:jc w:val="left"/>
        <w:rPr>
          <w:rFonts w:ascii="宋体" w:hAnsi="宋体" w:cs="宋体"/>
          <w:sz w:val="22"/>
          <w:szCs w:val="22"/>
          <w:highlight w:val="none"/>
        </w:rPr>
      </w:pPr>
      <w:r>
        <w:rPr>
          <w:rFonts w:hint="eastAsia" w:ascii="宋体" w:hAnsi="宋体" w:cs="宋体"/>
          <w:sz w:val="22"/>
          <w:szCs w:val="22"/>
          <w:highlight w:val="none"/>
        </w:rPr>
        <w:t>1.1.1新回转支承须满足35吨门机安装尺寸及原设计性能要求。</w:t>
      </w:r>
    </w:p>
    <w:p w14:paraId="09D1C7CD">
      <w:pPr>
        <w:adjustRightInd w:val="0"/>
        <w:spacing w:line="440" w:lineRule="exact"/>
        <w:ind w:firstLine="440" w:firstLineChars="200"/>
        <w:jc w:val="left"/>
        <w:rPr>
          <w:rFonts w:ascii="宋体" w:hAnsi="宋体" w:cs="宋体"/>
          <w:sz w:val="22"/>
          <w:szCs w:val="22"/>
          <w:highlight w:val="none"/>
        </w:rPr>
      </w:pPr>
      <w:r>
        <w:rPr>
          <w:rFonts w:hint="eastAsia" w:ascii="宋体" w:hAnsi="宋体" w:cs="宋体"/>
          <w:sz w:val="22"/>
          <w:szCs w:val="22"/>
          <w:highlight w:val="none"/>
        </w:rPr>
        <w:t>1.1.2拆卸后需测量回转支承安装法兰面平面度，要求90°范围内＜0.3mm，并出具第三方检验报告和工作见证（作业图片、数据记录等）。</w:t>
      </w:r>
    </w:p>
    <w:p w14:paraId="39FBB320">
      <w:pPr>
        <w:adjustRightInd w:val="0"/>
        <w:spacing w:line="440" w:lineRule="exact"/>
        <w:ind w:firstLine="440" w:firstLineChars="200"/>
        <w:jc w:val="left"/>
        <w:rPr>
          <w:rFonts w:ascii="宋体" w:hAnsi="宋体" w:cs="宋体"/>
          <w:sz w:val="22"/>
          <w:szCs w:val="22"/>
          <w:highlight w:val="none"/>
        </w:rPr>
      </w:pPr>
      <w:r>
        <w:rPr>
          <w:rFonts w:hint="eastAsia" w:ascii="宋体" w:hAnsi="宋体" w:cs="宋体"/>
          <w:sz w:val="22"/>
          <w:szCs w:val="22"/>
          <w:highlight w:val="none"/>
        </w:rPr>
        <w:t>1.1.3安装法兰焊缝需进行100%磁粉检测（MT），并依据相关标准出具第三方检测报告。</w:t>
      </w:r>
    </w:p>
    <w:p w14:paraId="4CC5089C">
      <w:pPr>
        <w:adjustRightInd w:val="0"/>
        <w:spacing w:line="440" w:lineRule="exact"/>
        <w:ind w:firstLine="440" w:firstLineChars="200"/>
        <w:jc w:val="left"/>
        <w:rPr>
          <w:rFonts w:ascii="宋体" w:hAnsi="宋体" w:cs="宋体"/>
          <w:sz w:val="22"/>
          <w:szCs w:val="22"/>
          <w:highlight w:val="none"/>
        </w:rPr>
      </w:pPr>
      <w:r>
        <w:rPr>
          <w:rFonts w:hint="eastAsia" w:ascii="宋体" w:hAnsi="宋体" w:cs="宋体"/>
          <w:sz w:val="22"/>
          <w:szCs w:val="22"/>
          <w:highlight w:val="none"/>
        </w:rPr>
        <w:t>1.1.4连接螺栓必须采用新高强度10.9级螺栓，严禁使用旧螺栓。安装时需提供螺栓材料、强度、级别证明及工作力矩记录。</w:t>
      </w:r>
    </w:p>
    <w:p w14:paraId="33C48A85">
      <w:pPr>
        <w:adjustRightInd w:val="0"/>
        <w:spacing w:line="440" w:lineRule="exact"/>
        <w:ind w:firstLine="440" w:firstLineChars="200"/>
        <w:jc w:val="left"/>
        <w:rPr>
          <w:rFonts w:ascii="宋体" w:hAnsi="宋体" w:cs="宋体"/>
          <w:sz w:val="22"/>
          <w:szCs w:val="22"/>
          <w:highlight w:val="none"/>
        </w:rPr>
      </w:pPr>
      <w:r>
        <w:rPr>
          <w:rFonts w:hint="eastAsia" w:ascii="宋体" w:hAnsi="宋体" w:cs="宋体"/>
          <w:sz w:val="22"/>
          <w:szCs w:val="22"/>
          <w:highlight w:val="none"/>
        </w:rPr>
        <w:t>1.1.5复紧要求：</w:t>
      </w:r>
    </w:p>
    <w:p w14:paraId="2B0F3314">
      <w:pPr>
        <w:adjustRightInd w:val="0"/>
        <w:spacing w:line="440" w:lineRule="exact"/>
        <w:ind w:firstLine="440" w:firstLineChars="200"/>
        <w:jc w:val="left"/>
        <w:rPr>
          <w:rFonts w:ascii="宋体" w:hAnsi="宋体" w:cs="宋体"/>
          <w:sz w:val="22"/>
          <w:szCs w:val="22"/>
          <w:highlight w:val="none"/>
        </w:rPr>
      </w:pPr>
      <w:r>
        <w:rPr>
          <w:rFonts w:hint="eastAsia" w:ascii="宋体" w:hAnsi="宋体" w:cs="宋体"/>
          <w:sz w:val="22"/>
          <w:szCs w:val="22"/>
          <w:highlight w:val="none"/>
        </w:rPr>
        <w:t>1.1.5.1首次复紧：回转支承安装完成并投入试运行7日内，中标人须对全部连接螺栓进行一次全面复紧，确保初始松动得到及时消除。</w:t>
      </w:r>
    </w:p>
    <w:p w14:paraId="05605FBB">
      <w:pPr>
        <w:adjustRightInd w:val="0"/>
        <w:spacing w:line="440" w:lineRule="exact"/>
        <w:ind w:firstLine="440" w:firstLineChars="200"/>
        <w:jc w:val="left"/>
        <w:rPr>
          <w:rFonts w:ascii="宋体" w:hAnsi="宋体" w:cs="宋体"/>
          <w:sz w:val="22"/>
          <w:szCs w:val="22"/>
          <w:highlight w:val="none"/>
        </w:rPr>
      </w:pPr>
      <w:r>
        <w:rPr>
          <w:rFonts w:hint="eastAsia" w:ascii="宋体" w:hAnsi="宋体" w:cs="宋体"/>
          <w:sz w:val="22"/>
          <w:szCs w:val="22"/>
          <w:highlight w:val="none"/>
        </w:rPr>
        <w:t>1.1.5.2二次复紧：设备正常运行30日后，中标人须再次对连接螺栓进行扭矩检查与复紧，并提供复紧力矩记录。</w:t>
      </w:r>
    </w:p>
    <w:p w14:paraId="348FC972">
      <w:pPr>
        <w:adjustRightInd w:val="0"/>
        <w:spacing w:line="440" w:lineRule="exact"/>
        <w:ind w:firstLine="440" w:firstLineChars="200"/>
        <w:jc w:val="left"/>
        <w:rPr>
          <w:rFonts w:ascii="宋体" w:hAnsi="宋体" w:cs="宋体"/>
          <w:sz w:val="22"/>
          <w:szCs w:val="22"/>
          <w:highlight w:val="none"/>
        </w:rPr>
      </w:pPr>
      <w:r>
        <w:rPr>
          <w:rFonts w:hint="eastAsia" w:ascii="宋体" w:hAnsi="宋体" w:cs="宋体"/>
          <w:sz w:val="22"/>
          <w:szCs w:val="22"/>
          <w:highlight w:val="none"/>
        </w:rPr>
        <w:t>1.1.5.3复紧时需达到设计规定的力矩值，并在螺栓头、螺母及安装法兰面做好标记，以便后续检查。</w:t>
      </w:r>
    </w:p>
    <w:p w14:paraId="162C7511">
      <w:pPr>
        <w:adjustRightInd w:val="0"/>
        <w:spacing w:line="440" w:lineRule="exact"/>
        <w:ind w:firstLine="440" w:firstLineChars="200"/>
        <w:jc w:val="left"/>
        <w:rPr>
          <w:rFonts w:ascii="宋体" w:hAnsi="宋体" w:cs="宋体"/>
          <w:sz w:val="22"/>
          <w:szCs w:val="22"/>
          <w:highlight w:val="none"/>
        </w:rPr>
      </w:pPr>
      <w:r>
        <w:rPr>
          <w:rFonts w:hint="eastAsia" w:ascii="宋体" w:hAnsi="宋体" w:cs="宋体"/>
          <w:sz w:val="22"/>
          <w:szCs w:val="22"/>
          <w:highlight w:val="none"/>
        </w:rPr>
        <w:t>1.1.6安装完成后确保回转轴承充分润滑，自动润滑设备运行正常。</w:t>
      </w:r>
    </w:p>
    <w:p w14:paraId="7A846A4E">
      <w:pPr>
        <w:adjustRightInd w:val="0"/>
        <w:spacing w:line="440" w:lineRule="exact"/>
        <w:ind w:firstLine="440" w:firstLineChars="200"/>
        <w:jc w:val="left"/>
        <w:rPr>
          <w:rFonts w:ascii="宋体" w:hAnsi="宋体" w:cs="宋体"/>
          <w:sz w:val="22"/>
          <w:szCs w:val="22"/>
          <w:highlight w:val="none"/>
        </w:rPr>
      </w:pPr>
      <w:r>
        <w:rPr>
          <w:rFonts w:hint="eastAsia" w:ascii="宋体" w:hAnsi="宋体" w:cs="宋体"/>
          <w:sz w:val="22"/>
          <w:szCs w:val="22"/>
          <w:highlight w:val="none"/>
        </w:rPr>
        <w:t>1.2  16吨门机臂架头部铰点维修：</w:t>
      </w:r>
    </w:p>
    <w:p w14:paraId="4EA62199">
      <w:pPr>
        <w:adjustRightInd w:val="0"/>
        <w:spacing w:line="440" w:lineRule="exact"/>
        <w:ind w:firstLine="440" w:firstLineChars="200"/>
        <w:jc w:val="left"/>
        <w:rPr>
          <w:rFonts w:ascii="宋体" w:hAnsi="宋体" w:cs="宋体"/>
          <w:sz w:val="22"/>
          <w:szCs w:val="22"/>
          <w:highlight w:val="none"/>
        </w:rPr>
      </w:pPr>
      <w:r>
        <w:rPr>
          <w:rFonts w:hint="eastAsia" w:ascii="宋体" w:hAnsi="宋体" w:cs="宋体"/>
          <w:sz w:val="22"/>
          <w:szCs w:val="22"/>
          <w:highlight w:val="none"/>
        </w:rPr>
        <w:t>1.2.1拆卸铰点轴、轴承、轴套等旧部件，检查轴孔磨损情况。</w:t>
      </w:r>
    </w:p>
    <w:p w14:paraId="2D2CC345">
      <w:pPr>
        <w:adjustRightInd w:val="0"/>
        <w:spacing w:line="440" w:lineRule="exact"/>
        <w:ind w:firstLine="440" w:firstLineChars="200"/>
        <w:jc w:val="left"/>
        <w:rPr>
          <w:rFonts w:ascii="宋体" w:hAnsi="宋体" w:cs="宋体"/>
          <w:sz w:val="22"/>
          <w:szCs w:val="22"/>
          <w:highlight w:val="none"/>
        </w:rPr>
      </w:pPr>
      <w:r>
        <w:rPr>
          <w:rFonts w:hint="eastAsia" w:ascii="宋体" w:hAnsi="宋体" w:cs="宋体"/>
          <w:sz w:val="22"/>
          <w:szCs w:val="22"/>
          <w:highlight w:val="none"/>
        </w:rPr>
        <w:t>1.2.2铰点轴孔镗孔修复（如需）。</w:t>
      </w:r>
    </w:p>
    <w:p w14:paraId="6874C344">
      <w:pPr>
        <w:adjustRightInd w:val="0"/>
        <w:spacing w:line="440" w:lineRule="exact"/>
        <w:ind w:firstLine="440" w:firstLineChars="200"/>
        <w:jc w:val="left"/>
        <w:rPr>
          <w:rFonts w:ascii="宋体" w:hAnsi="宋体" w:cs="宋体"/>
          <w:sz w:val="22"/>
          <w:szCs w:val="22"/>
          <w:highlight w:val="none"/>
        </w:rPr>
      </w:pPr>
      <w:r>
        <w:rPr>
          <w:rFonts w:hint="eastAsia" w:ascii="宋体" w:hAnsi="宋体" w:cs="宋体"/>
          <w:sz w:val="22"/>
          <w:szCs w:val="22"/>
          <w:highlight w:val="none"/>
        </w:rPr>
        <w:t>1.2.3铰点轴精加工，新轴、轴承、轴套等部件安装。</w:t>
      </w:r>
    </w:p>
    <w:p w14:paraId="066DC795">
      <w:pPr>
        <w:adjustRightInd w:val="0"/>
        <w:spacing w:line="440" w:lineRule="exact"/>
        <w:ind w:firstLine="440" w:firstLineChars="200"/>
        <w:jc w:val="left"/>
        <w:rPr>
          <w:rFonts w:ascii="宋体" w:hAnsi="宋体" w:cs="宋体"/>
          <w:sz w:val="22"/>
          <w:szCs w:val="22"/>
          <w:highlight w:val="none"/>
        </w:rPr>
      </w:pPr>
      <w:r>
        <w:rPr>
          <w:rFonts w:hint="eastAsia" w:ascii="宋体" w:hAnsi="宋体" w:cs="宋体"/>
          <w:sz w:val="22"/>
          <w:szCs w:val="22"/>
          <w:highlight w:val="none"/>
        </w:rPr>
        <w:t>1</w:t>
      </w:r>
      <w:r>
        <w:rPr>
          <w:rFonts w:ascii="宋体" w:hAnsi="宋体" w:cs="宋体"/>
          <w:sz w:val="22"/>
          <w:szCs w:val="22"/>
          <w:highlight w:val="none"/>
        </w:rPr>
        <w:t>.2.4</w:t>
      </w:r>
      <w:r>
        <w:rPr>
          <w:rFonts w:hint="eastAsia" w:ascii="宋体" w:hAnsi="宋体" w:cs="宋体"/>
          <w:sz w:val="22"/>
          <w:szCs w:val="22"/>
          <w:highlight w:val="none"/>
        </w:rPr>
        <w:t>新更换的轴所使用的材料材质要求为</w:t>
      </w:r>
      <w:r>
        <w:rPr>
          <w:rFonts w:ascii="宋体" w:hAnsi="宋体" w:cs="宋体"/>
          <w:sz w:val="22"/>
          <w:szCs w:val="22"/>
          <w:highlight w:val="none"/>
        </w:rPr>
        <w:t>40Cr</w:t>
      </w:r>
      <w:r>
        <w:rPr>
          <w:rFonts w:hint="eastAsia" w:ascii="宋体" w:hAnsi="宋体" w:cs="宋体"/>
          <w:sz w:val="22"/>
          <w:szCs w:val="22"/>
          <w:highlight w:val="none"/>
        </w:rPr>
        <w:t>或性能更优材料；轴套所使用的材料材质要求为</w:t>
      </w:r>
      <w:r>
        <w:rPr>
          <w:highlight w:val="none"/>
        </w:rPr>
        <w:t>45</w:t>
      </w:r>
      <w:r>
        <w:rPr>
          <w:rFonts w:hint="eastAsia"/>
          <w:highlight w:val="none"/>
        </w:rPr>
        <w:t>号钢或性能更优材料。</w:t>
      </w:r>
    </w:p>
    <w:p w14:paraId="523FF18B">
      <w:pPr>
        <w:adjustRightInd w:val="0"/>
        <w:spacing w:line="440" w:lineRule="exact"/>
        <w:ind w:firstLine="440" w:firstLineChars="200"/>
        <w:jc w:val="left"/>
        <w:rPr>
          <w:rFonts w:ascii="宋体" w:hAnsi="宋体" w:cs="宋体"/>
          <w:sz w:val="22"/>
          <w:szCs w:val="22"/>
          <w:highlight w:val="none"/>
        </w:rPr>
      </w:pPr>
      <w:r>
        <w:rPr>
          <w:rFonts w:hint="eastAsia" w:ascii="宋体" w:hAnsi="宋体" w:cs="宋体"/>
          <w:sz w:val="22"/>
          <w:szCs w:val="22"/>
          <w:highlight w:val="none"/>
        </w:rPr>
        <w:t>1.2.</w:t>
      </w:r>
      <w:r>
        <w:rPr>
          <w:rFonts w:ascii="宋体" w:hAnsi="宋体" w:cs="宋体"/>
          <w:sz w:val="22"/>
          <w:szCs w:val="22"/>
          <w:highlight w:val="none"/>
        </w:rPr>
        <w:t>5</w:t>
      </w:r>
      <w:r>
        <w:rPr>
          <w:rFonts w:hint="eastAsia" w:ascii="宋体" w:hAnsi="宋体" w:cs="宋体"/>
          <w:sz w:val="22"/>
          <w:szCs w:val="22"/>
          <w:highlight w:val="none"/>
        </w:rPr>
        <w:t>安装完成后确保轴承充分润滑，设备运行正常；铰点拆卸时需注意监控线路的安全，设备恢复后要确保监控正常运行。</w:t>
      </w:r>
    </w:p>
    <w:p w14:paraId="3CDB094D">
      <w:pPr>
        <w:adjustRightInd w:val="0"/>
        <w:spacing w:line="440" w:lineRule="exact"/>
        <w:ind w:firstLine="442" w:firstLineChars="200"/>
        <w:jc w:val="left"/>
        <w:rPr>
          <w:rFonts w:ascii="宋体" w:hAnsi="宋体" w:cs="宋体"/>
          <w:b/>
          <w:bCs/>
          <w:sz w:val="22"/>
          <w:szCs w:val="22"/>
          <w:highlight w:val="none"/>
        </w:rPr>
      </w:pPr>
      <w:r>
        <w:rPr>
          <w:rFonts w:hint="eastAsia" w:ascii="宋体" w:hAnsi="宋体" w:cs="宋体"/>
          <w:b/>
          <w:bCs/>
          <w:sz w:val="22"/>
          <w:szCs w:val="22"/>
          <w:highlight w:val="none"/>
        </w:rPr>
        <w:t>2.专项施工方案编制与审查</w:t>
      </w:r>
    </w:p>
    <w:p w14:paraId="71A211BB">
      <w:pPr>
        <w:adjustRightInd w:val="0"/>
        <w:spacing w:line="440" w:lineRule="exact"/>
        <w:ind w:firstLine="440" w:firstLineChars="200"/>
        <w:jc w:val="left"/>
        <w:rPr>
          <w:rFonts w:ascii="宋体" w:hAnsi="宋体" w:cs="宋体"/>
          <w:sz w:val="22"/>
          <w:szCs w:val="22"/>
          <w:highlight w:val="none"/>
        </w:rPr>
      </w:pPr>
      <w:r>
        <w:rPr>
          <w:rFonts w:hint="eastAsia" w:ascii="宋体" w:hAnsi="宋体" w:cs="宋体"/>
          <w:sz w:val="22"/>
          <w:szCs w:val="22"/>
          <w:highlight w:val="none"/>
        </w:rPr>
        <w:t>依据交通运输部《公路水运危险性较大工程专项施工方案编制审查规程》（JT/T 1495—2024）及《浙江省交通建设工程质量和安全生产管理条例》，本项目35吨门机回转支承更换工程属于危险性较大的分部分项工程，中标人必须严格按照规定组织专家论证，16吨门机臂架头部铰点维修可将施工方案编制审查后与35吨门机回转支承更换方案共同论证。具体要求如下：</w:t>
      </w:r>
    </w:p>
    <w:p w14:paraId="742C91B0">
      <w:pPr>
        <w:adjustRightInd w:val="0"/>
        <w:spacing w:line="440" w:lineRule="exact"/>
        <w:ind w:firstLine="440" w:firstLineChars="200"/>
        <w:jc w:val="left"/>
        <w:rPr>
          <w:rFonts w:ascii="宋体" w:hAnsi="宋体" w:cs="宋体"/>
          <w:sz w:val="22"/>
          <w:szCs w:val="22"/>
          <w:highlight w:val="none"/>
        </w:rPr>
      </w:pPr>
      <w:r>
        <w:rPr>
          <w:rFonts w:hint="eastAsia" w:ascii="宋体" w:hAnsi="宋体" w:cs="宋体"/>
          <w:sz w:val="22"/>
          <w:szCs w:val="22"/>
          <w:highlight w:val="none"/>
        </w:rPr>
        <w:t>2.1专项施工方案编制与审核</w:t>
      </w:r>
    </w:p>
    <w:p w14:paraId="0787ACFC">
      <w:pPr>
        <w:adjustRightInd w:val="0"/>
        <w:spacing w:line="440" w:lineRule="exact"/>
        <w:ind w:firstLine="440" w:firstLineChars="200"/>
        <w:jc w:val="left"/>
        <w:rPr>
          <w:rFonts w:ascii="宋体" w:hAnsi="宋体" w:cs="宋体"/>
          <w:sz w:val="22"/>
          <w:szCs w:val="22"/>
          <w:highlight w:val="none"/>
        </w:rPr>
      </w:pPr>
      <w:r>
        <w:rPr>
          <w:rFonts w:hint="eastAsia" w:ascii="宋体" w:hAnsi="宋体" w:cs="宋体"/>
          <w:sz w:val="22"/>
          <w:szCs w:val="22"/>
          <w:highlight w:val="none"/>
        </w:rPr>
        <w:t>2.1.1中标人应在合同生效后2周内，根据现场实际情况编制专项施工方案。方案内容应完整，至少包括以下部分：</w:t>
      </w:r>
    </w:p>
    <w:p w14:paraId="22B0FEC0">
      <w:pPr>
        <w:adjustRightInd w:val="0"/>
        <w:spacing w:line="440" w:lineRule="exact"/>
        <w:ind w:firstLine="440" w:firstLineChars="200"/>
        <w:jc w:val="left"/>
        <w:rPr>
          <w:rFonts w:ascii="宋体" w:hAnsi="宋体" w:cs="宋体"/>
          <w:sz w:val="22"/>
          <w:szCs w:val="22"/>
          <w:highlight w:val="none"/>
        </w:rPr>
      </w:pPr>
      <w:r>
        <w:rPr>
          <w:rFonts w:hint="eastAsia" w:ascii="宋体" w:hAnsi="宋体" w:cs="宋体"/>
          <w:sz w:val="22"/>
          <w:szCs w:val="22"/>
          <w:highlight w:val="none"/>
        </w:rPr>
        <w:t>编制依据：相关法律、法规、标准规范、施工合同、勘察文件、施工图纸等；</w:t>
      </w:r>
    </w:p>
    <w:p w14:paraId="5EF78D14">
      <w:pPr>
        <w:adjustRightInd w:val="0"/>
        <w:spacing w:line="440" w:lineRule="exact"/>
        <w:ind w:firstLine="440" w:firstLineChars="200"/>
        <w:jc w:val="left"/>
        <w:rPr>
          <w:rFonts w:ascii="宋体" w:hAnsi="宋体" w:cs="宋体"/>
          <w:sz w:val="22"/>
          <w:szCs w:val="22"/>
          <w:highlight w:val="none"/>
        </w:rPr>
      </w:pPr>
      <w:r>
        <w:rPr>
          <w:rFonts w:hint="eastAsia" w:ascii="宋体" w:hAnsi="宋体" w:cs="宋体"/>
          <w:sz w:val="22"/>
          <w:szCs w:val="22"/>
          <w:highlight w:val="none"/>
        </w:rPr>
        <w:t>工程概况：工程基本情况、周边环境、施工平面布置、施工要求和技术保证条件、风险辨识与分级；</w:t>
      </w:r>
    </w:p>
    <w:p w14:paraId="5C7A074E">
      <w:pPr>
        <w:adjustRightInd w:val="0"/>
        <w:spacing w:line="440" w:lineRule="exact"/>
        <w:ind w:firstLine="440" w:firstLineChars="200"/>
        <w:jc w:val="left"/>
        <w:rPr>
          <w:rFonts w:ascii="宋体" w:hAnsi="宋体" w:cs="宋体"/>
          <w:sz w:val="22"/>
          <w:szCs w:val="22"/>
          <w:highlight w:val="none"/>
        </w:rPr>
      </w:pPr>
      <w:r>
        <w:rPr>
          <w:rFonts w:hint="eastAsia" w:ascii="宋体" w:hAnsi="宋体" w:cs="宋体"/>
          <w:sz w:val="22"/>
          <w:szCs w:val="22"/>
          <w:highlight w:val="none"/>
        </w:rPr>
        <w:t>施工计划：施工进度计划、劳动力计划、材料与设备计划、安全生产费用使用计划；</w:t>
      </w:r>
    </w:p>
    <w:p w14:paraId="2864E435">
      <w:pPr>
        <w:adjustRightInd w:val="0"/>
        <w:spacing w:line="440" w:lineRule="exact"/>
        <w:ind w:firstLine="440" w:firstLineChars="200"/>
        <w:jc w:val="left"/>
        <w:rPr>
          <w:rFonts w:ascii="宋体" w:hAnsi="宋体" w:cs="宋体"/>
          <w:sz w:val="22"/>
          <w:szCs w:val="22"/>
          <w:highlight w:val="none"/>
        </w:rPr>
      </w:pPr>
      <w:r>
        <w:rPr>
          <w:rFonts w:hint="eastAsia" w:ascii="宋体" w:hAnsi="宋体" w:cs="宋体"/>
          <w:sz w:val="22"/>
          <w:szCs w:val="22"/>
          <w:highlight w:val="none"/>
        </w:rPr>
        <w:t>施工工艺技术：技术参数、工序工艺流程、施工方法及操作要求、检查要求；</w:t>
      </w:r>
    </w:p>
    <w:p w14:paraId="0F4F52AC">
      <w:pPr>
        <w:adjustRightInd w:val="0"/>
        <w:spacing w:line="440" w:lineRule="exact"/>
        <w:ind w:firstLine="440" w:firstLineChars="200"/>
        <w:jc w:val="left"/>
        <w:rPr>
          <w:rFonts w:ascii="宋体" w:hAnsi="宋体" w:cs="宋体"/>
          <w:sz w:val="22"/>
          <w:szCs w:val="22"/>
          <w:highlight w:val="none"/>
        </w:rPr>
      </w:pPr>
      <w:r>
        <w:rPr>
          <w:rFonts w:hint="eastAsia" w:ascii="宋体" w:hAnsi="宋体" w:cs="宋体"/>
          <w:sz w:val="22"/>
          <w:szCs w:val="22"/>
          <w:highlight w:val="none"/>
        </w:rPr>
        <w:t>安全保证措施：组织保障、技术保证措施、检查验收、监测监控、应急处置；</w:t>
      </w:r>
    </w:p>
    <w:p w14:paraId="363F5A48">
      <w:pPr>
        <w:adjustRightInd w:val="0"/>
        <w:spacing w:line="440" w:lineRule="exact"/>
        <w:ind w:firstLine="440" w:firstLineChars="200"/>
        <w:jc w:val="left"/>
        <w:rPr>
          <w:rFonts w:ascii="宋体" w:hAnsi="宋体" w:cs="宋体"/>
          <w:sz w:val="22"/>
          <w:szCs w:val="22"/>
          <w:highlight w:val="none"/>
        </w:rPr>
      </w:pPr>
      <w:r>
        <w:rPr>
          <w:rFonts w:hint="eastAsia" w:ascii="宋体" w:hAnsi="宋体" w:cs="宋体"/>
          <w:sz w:val="22"/>
          <w:szCs w:val="22"/>
          <w:highlight w:val="none"/>
        </w:rPr>
        <w:t>质量保证措施：质量目标、质量保证体系、质量控制程序；</w:t>
      </w:r>
    </w:p>
    <w:p w14:paraId="71173B18">
      <w:pPr>
        <w:adjustRightInd w:val="0"/>
        <w:spacing w:line="440" w:lineRule="exact"/>
        <w:ind w:firstLine="440" w:firstLineChars="200"/>
        <w:jc w:val="left"/>
        <w:rPr>
          <w:rFonts w:ascii="宋体" w:hAnsi="宋体" w:cs="宋体"/>
          <w:sz w:val="22"/>
          <w:szCs w:val="22"/>
          <w:highlight w:val="none"/>
        </w:rPr>
      </w:pPr>
      <w:r>
        <w:rPr>
          <w:rFonts w:hint="eastAsia" w:ascii="宋体" w:hAnsi="宋体" w:cs="宋体"/>
          <w:sz w:val="22"/>
          <w:szCs w:val="22"/>
          <w:highlight w:val="none"/>
        </w:rPr>
        <w:t>环境保证措施：环境保护及文明施工措施；</w:t>
      </w:r>
    </w:p>
    <w:p w14:paraId="135ABAEB">
      <w:pPr>
        <w:adjustRightInd w:val="0"/>
        <w:spacing w:line="440" w:lineRule="exact"/>
        <w:ind w:firstLine="440" w:firstLineChars="200"/>
        <w:jc w:val="left"/>
        <w:rPr>
          <w:rFonts w:ascii="宋体" w:hAnsi="宋体" w:cs="宋体"/>
          <w:sz w:val="22"/>
          <w:szCs w:val="22"/>
          <w:highlight w:val="none"/>
        </w:rPr>
      </w:pPr>
      <w:r>
        <w:rPr>
          <w:rFonts w:hint="eastAsia" w:ascii="宋体" w:hAnsi="宋体" w:cs="宋体"/>
          <w:sz w:val="22"/>
          <w:szCs w:val="22"/>
          <w:highlight w:val="none"/>
        </w:rPr>
        <w:t>施工管理人员配备及分工：施工管理人员、专职安全员、特种作业人员；</w:t>
      </w:r>
    </w:p>
    <w:p w14:paraId="75000E88">
      <w:pPr>
        <w:adjustRightInd w:val="0"/>
        <w:spacing w:line="440" w:lineRule="exact"/>
        <w:ind w:firstLine="440" w:firstLineChars="200"/>
        <w:jc w:val="left"/>
        <w:rPr>
          <w:rFonts w:ascii="宋体" w:hAnsi="宋体" w:cs="宋体"/>
          <w:sz w:val="22"/>
          <w:szCs w:val="22"/>
          <w:highlight w:val="none"/>
        </w:rPr>
      </w:pPr>
      <w:r>
        <w:rPr>
          <w:rFonts w:hint="eastAsia" w:ascii="宋体" w:hAnsi="宋体" w:cs="宋体"/>
          <w:sz w:val="22"/>
          <w:szCs w:val="22"/>
          <w:highlight w:val="none"/>
        </w:rPr>
        <w:t>验收要求：验收标准、验收程序、验收内容；</w:t>
      </w:r>
    </w:p>
    <w:p w14:paraId="03747C30">
      <w:pPr>
        <w:adjustRightInd w:val="0"/>
        <w:spacing w:line="440" w:lineRule="exact"/>
        <w:ind w:firstLine="440" w:firstLineChars="200"/>
        <w:jc w:val="left"/>
        <w:rPr>
          <w:rFonts w:ascii="宋体" w:hAnsi="宋体" w:cs="宋体"/>
          <w:sz w:val="22"/>
          <w:szCs w:val="22"/>
          <w:highlight w:val="none"/>
        </w:rPr>
      </w:pPr>
      <w:r>
        <w:rPr>
          <w:rFonts w:hint="eastAsia" w:ascii="宋体" w:hAnsi="宋体" w:cs="宋体"/>
          <w:sz w:val="22"/>
          <w:szCs w:val="22"/>
          <w:highlight w:val="none"/>
        </w:rPr>
        <w:t>其他资料：计算书及相关图纸（含回转支承设计图纸）。</w:t>
      </w:r>
    </w:p>
    <w:p w14:paraId="2DD2EDE9">
      <w:pPr>
        <w:adjustRightInd w:val="0"/>
        <w:spacing w:line="440" w:lineRule="exact"/>
        <w:ind w:firstLine="440" w:firstLineChars="200"/>
        <w:jc w:val="left"/>
        <w:rPr>
          <w:rFonts w:ascii="宋体" w:hAnsi="宋体" w:cs="宋体"/>
          <w:sz w:val="22"/>
          <w:szCs w:val="22"/>
          <w:highlight w:val="none"/>
        </w:rPr>
      </w:pPr>
      <w:r>
        <w:rPr>
          <w:rFonts w:hint="eastAsia" w:ascii="宋体" w:hAnsi="宋体" w:cs="宋体"/>
          <w:sz w:val="22"/>
          <w:szCs w:val="22"/>
          <w:highlight w:val="none"/>
        </w:rPr>
        <w:t>2.1.2专项施工方案编制完成后，应由中标人组织本单位技术、安全、质量等部门进行内部审核。经审核合格的，由中标人负责人签字并加盖单位公章。</w:t>
      </w:r>
    </w:p>
    <w:p w14:paraId="4F7D830F">
      <w:pPr>
        <w:adjustRightInd w:val="0"/>
        <w:spacing w:line="440" w:lineRule="exact"/>
        <w:ind w:firstLine="440" w:firstLineChars="200"/>
        <w:jc w:val="left"/>
        <w:rPr>
          <w:rFonts w:ascii="宋体" w:hAnsi="宋体" w:cs="宋体"/>
          <w:sz w:val="22"/>
          <w:szCs w:val="22"/>
          <w:highlight w:val="none"/>
        </w:rPr>
      </w:pPr>
      <w:r>
        <w:rPr>
          <w:rFonts w:hint="eastAsia" w:ascii="宋体" w:hAnsi="宋体" w:cs="宋体"/>
          <w:sz w:val="22"/>
          <w:szCs w:val="22"/>
          <w:highlight w:val="none"/>
        </w:rPr>
        <w:t>2.1.3方案内部审核合格后，报送招标人进行审查。</w:t>
      </w:r>
    </w:p>
    <w:p w14:paraId="7A9F824C">
      <w:pPr>
        <w:adjustRightInd w:val="0"/>
        <w:spacing w:line="440" w:lineRule="exact"/>
        <w:ind w:firstLine="440" w:firstLineChars="200"/>
        <w:jc w:val="left"/>
        <w:rPr>
          <w:rFonts w:ascii="宋体" w:hAnsi="宋体" w:cs="宋体"/>
          <w:sz w:val="22"/>
          <w:szCs w:val="22"/>
          <w:highlight w:val="none"/>
        </w:rPr>
      </w:pPr>
      <w:r>
        <w:rPr>
          <w:rFonts w:hint="eastAsia" w:ascii="宋体" w:hAnsi="宋体" w:cs="宋体"/>
          <w:sz w:val="22"/>
          <w:szCs w:val="22"/>
          <w:highlight w:val="none"/>
        </w:rPr>
        <w:t>2.2 招标人审查</w:t>
      </w:r>
    </w:p>
    <w:p w14:paraId="0E46B0F3">
      <w:pPr>
        <w:adjustRightInd w:val="0"/>
        <w:spacing w:line="440" w:lineRule="exact"/>
        <w:ind w:firstLine="440" w:firstLineChars="200"/>
        <w:jc w:val="left"/>
        <w:rPr>
          <w:rFonts w:ascii="宋体" w:hAnsi="宋体" w:cs="宋体"/>
          <w:sz w:val="22"/>
          <w:szCs w:val="22"/>
          <w:highlight w:val="none"/>
        </w:rPr>
      </w:pPr>
      <w:r>
        <w:rPr>
          <w:rFonts w:hint="eastAsia" w:ascii="宋体" w:hAnsi="宋体" w:cs="宋体"/>
          <w:sz w:val="22"/>
          <w:szCs w:val="22"/>
          <w:highlight w:val="none"/>
        </w:rPr>
        <w:t>2.2.1招标人收到中标人报送的专项施工方案后，对专项施工方案进行审查。审查内容包括：</w:t>
      </w:r>
    </w:p>
    <w:p w14:paraId="1D2BA627">
      <w:pPr>
        <w:adjustRightInd w:val="0"/>
        <w:spacing w:line="440" w:lineRule="exact"/>
        <w:ind w:firstLine="440" w:firstLineChars="200"/>
        <w:jc w:val="left"/>
        <w:rPr>
          <w:rFonts w:ascii="宋体" w:hAnsi="宋体" w:cs="宋体"/>
          <w:sz w:val="22"/>
          <w:szCs w:val="22"/>
          <w:highlight w:val="none"/>
        </w:rPr>
      </w:pPr>
      <w:r>
        <w:rPr>
          <w:rFonts w:hint="eastAsia" w:ascii="宋体" w:hAnsi="宋体" w:cs="宋体"/>
          <w:sz w:val="22"/>
          <w:szCs w:val="22"/>
          <w:highlight w:val="none"/>
        </w:rPr>
        <w:t>方案编审程序是否符合本文件要求；</w:t>
      </w:r>
    </w:p>
    <w:p w14:paraId="6444836B">
      <w:pPr>
        <w:adjustRightInd w:val="0"/>
        <w:spacing w:line="440" w:lineRule="exact"/>
        <w:ind w:firstLine="440" w:firstLineChars="200"/>
        <w:jc w:val="left"/>
        <w:rPr>
          <w:rFonts w:ascii="宋体" w:hAnsi="宋体" w:cs="宋体"/>
          <w:sz w:val="22"/>
          <w:szCs w:val="22"/>
          <w:highlight w:val="none"/>
        </w:rPr>
      </w:pPr>
      <w:r>
        <w:rPr>
          <w:rFonts w:hint="eastAsia" w:ascii="宋体" w:hAnsi="宋体" w:cs="宋体"/>
          <w:sz w:val="22"/>
          <w:szCs w:val="22"/>
          <w:highlight w:val="none"/>
        </w:rPr>
        <w:t>技术措施是否符合相关工程建设标准；</w:t>
      </w:r>
    </w:p>
    <w:p w14:paraId="5EA15F20">
      <w:pPr>
        <w:adjustRightInd w:val="0"/>
        <w:spacing w:line="440" w:lineRule="exact"/>
        <w:ind w:firstLine="440" w:firstLineChars="200"/>
        <w:jc w:val="left"/>
        <w:rPr>
          <w:rFonts w:ascii="宋体" w:hAnsi="宋体" w:cs="宋体"/>
          <w:sz w:val="22"/>
          <w:highlight w:val="none"/>
        </w:rPr>
      </w:pPr>
      <w:r>
        <w:rPr>
          <w:rFonts w:hint="eastAsia" w:ascii="宋体" w:hAnsi="宋体" w:cs="宋体"/>
          <w:sz w:val="22"/>
          <w:highlight w:val="none"/>
        </w:rPr>
        <w:t>方案内容是否完整、可行。</w:t>
      </w:r>
    </w:p>
    <w:p w14:paraId="7F57A6CF">
      <w:pPr>
        <w:adjustRightInd w:val="0"/>
        <w:spacing w:line="440" w:lineRule="exact"/>
        <w:ind w:firstLine="440" w:firstLineChars="200"/>
        <w:jc w:val="left"/>
        <w:rPr>
          <w:rFonts w:ascii="宋体" w:hAnsi="宋体" w:cs="宋体"/>
          <w:sz w:val="22"/>
          <w:highlight w:val="none"/>
        </w:rPr>
      </w:pPr>
      <w:r>
        <w:rPr>
          <w:rFonts w:hint="eastAsia" w:ascii="宋体" w:hAnsi="宋体" w:cs="宋体"/>
          <w:sz w:val="22"/>
          <w:highlight w:val="none"/>
        </w:rPr>
        <w:t>2.2.2招标人审查通过后，中标人方可组织专家论证。</w:t>
      </w:r>
    </w:p>
    <w:p w14:paraId="71997F3E">
      <w:pPr>
        <w:adjustRightInd w:val="0"/>
        <w:spacing w:line="440" w:lineRule="exact"/>
        <w:ind w:firstLine="440" w:firstLineChars="200"/>
        <w:jc w:val="left"/>
        <w:rPr>
          <w:rFonts w:ascii="宋体" w:hAnsi="宋体" w:cs="宋体"/>
          <w:sz w:val="22"/>
          <w:highlight w:val="none"/>
        </w:rPr>
      </w:pPr>
      <w:r>
        <w:rPr>
          <w:rFonts w:hint="eastAsia" w:ascii="宋体" w:hAnsi="宋体" w:cs="宋体"/>
          <w:sz w:val="22"/>
          <w:highlight w:val="none"/>
        </w:rPr>
        <w:t>2.3 专家论证组织</w:t>
      </w:r>
    </w:p>
    <w:p w14:paraId="35577DC7">
      <w:pPr>
        <w:adjustRightInd w:val="0"/>
        <w:spacing w:line="440" w:lineRule="exact"/>
        <w:ind w:firstLine="440" w:firstLineChars="200"/>
        <w:jc w:val="left"/>
        <w:rPr>
          <w:rFonts w:ascii="宋体" w:hAnsi="宋体" w:cs="宋体"/>
          <w:sz w:val="22"/>
          <w:highlight w:val="none"/>
        </w:rPr>
      </w:pPr>
      <w:r>
        <w:rPr>
          <w:rFonts w:hint="eastAsia" w:ascii="宋体" w:hAnsi="宋体" w:cs="宋体"/>
          <w:sz w:val="22"/>
          <w:highlight w:val="none"/>
        </w:rPr>
        <w:t>2.3.1中标人应在方案通过招标人审查后，组织召开专家论证会。</w:t>
      </w:r>
    </w:p>
    <w:p w14:paraId="39F559DC">
      <w:pPr>
        <w:adjustRightInd w:val="0"/>
        <w:spacing w:line="440" w:lineRule="exact"/>
        <w:ind w:firstLine="440" w:firstLineChars="200"/>
        <w:jc w:val="left"/>
        <w:rPr>
          <w:rFonts w:ascii="宋体" w:hAnsi="宋体" w:cs="宋体"/>
          <w:sz w:val="22"/>
          <w:highlight w:val="none"/>
        </w:rPr>
      </w:pPr>
      <w:r>
        <w:rPr>
          <w:rFonts w:hint="eastAsia" w:ascii="宋体" w:hAnsi="宋体" w:cs="宋体"/>
          <w:sz w:val="22"/>
          <w:highlight w:val="none"/>
        </w:rPr>
        <w:t>2.3.2专家组应由不少于5名专家组成，专家应具备以下条件：</w:t>
      </w:r>
    </w:p>
    <w:p w14:paraId="1EC5F105">
      <w:pPr>
        <w:adjustRightInd w:val="0"/>
        <w:spacing w:line="440" w:lineRule="exact"/>
        <w:ind w:firstLine="440" w:firstLineChars="200"/>
        <w:jc w:val="left"/>
        <w:rPr>
          <w:rFonts w:ascii="宋体" w:hAnsi="宋体" w:cs="宋体"/>
          <w:sz w:val="22"/>
          <w:highlight w:val="none"/>
        </w:rPr>
      </w:pPr>
      <w:r>
        <w:rPr>
          <w:rFonts w:hint="eastAsia" w:ascii="宋体" w:hAnsi="宋体" w:cs="宋体"/>
          <w:sz w:val="22"/>
          <w:highlight w:val="none"/>
        </w:rPr>
        <w:t>诚实守信、作风正派、学术严谨；</w:t>
      </w:r>
    </w:p>
    <w:p w14:paraId="2DB654F8">
      <w:pPr>
        <w:adjustRightInd w:val="0"/>
        <w:spacing w:line="440" w:lineRule="exact"/>
        <w:ind w:firstLine="440" w:firstLineChars="200"/>
        <w:jc w:val="left"/>
        <w:rPr>
          <w:rFonts w:ascii="宋体" w:hAnsi="宋体" w:cs="宋体"/>
          <w:sz w:val="22"/>
          <w:highlight w:val="none"/>
        </w:rPr>
      </w:pPr>
      <w:r>
        <w:rPr>
          <w:rFonts w:hint="eastAsia" w:ascii="宋体" w:hAnsi="宋体" w:cs="宋体"/>
          <w:sz w:val="22"/>
          <w:highlight w:val="none"/>
        </w:rPr>
        <w:t>从事相关专业工作15年及以上并具有丰富的专业经验；</w:t>
      </w:r>
    </w:p>
    <w:p w14:paraId="0A112DA3">
      <w:pPr>
        <w:adjustRightInd w:val="0"/>
        <w:spacing w:line="440" w:lineRule="exact"/>
        <w:ind w:firstLine="440" w:firstLineChars="200"/>
        <w:jc w:val="left"/>
        <w:rPr>
          <w:rFonts w:ascii="宋体" w:hAnsi="宋体" w:cs="宋体"/>
          <w:sz w:val="22"/>
          <w:highlight w:val="none"/>
        </w:rPr>
      </w:pPr>
      <w:r>
        <w:rPr>
          <w:rFonts w:hint="eastAsia" w:ascii="宋体" w:hAnsi="宋体" w:cs="宋体"/>
          <w:sz w:val="22"/>
          <w:highlight w:val="none"/>
        </w:rPr>
        <w:t>具有高级专业技术职称。</w:t>
      </w:r>
    </w:p>
    <w:p w14:paraId="561C0C1D">
      <w:pPr>
        <w:adjustRightInd w:val="0"/>
        <w:spacing w:line="440" w:lineRule="exact"/>
        <w:ind w:firstLine="440" w:firstLineChars="200"/>
        <w:jc w:val="left"/>
        <w:rPr>
          <w:rFonts w:ascii="宋体" w:hAnsi="宋体" w:cs="宋体"/>
          <w:sz w:val="22"/>
          <w:highlight w:val="none"/>
        </w:rPr>
      </w:pPr>
      <w:r>
        <w:rPr>
          <w:rFonts w:hint="eastAsia" w:ascii="宋体" w:hAnsi="宋体" w:cs="宋体"/>
          <w:sz w:val="22"/>
          <w:highlight w:val="none"/>
        </w:rPr>
        <w:t>2.3.3项目利害相关方的人员不得以专家身份参加论证会。</w:t>
      </w:r>
    </w:p>
    <w:p w14:paraId="58A6F678">
      <w:pPr>
        <w:adjustRightInd w:val="0"/>
        <w:spacing w:line="440" w:lineRule="exact"/>
        <w:ind w:firstLine="440" w:firstLineChars="200"/>
        <w:jc w:val="left"/>
        <w:rPr>
          <w:rFonts w:ascii="宋体" w:hAnsi="宋体" w:cs="宋体"/>
          <w:sz w:val="22"/>
          <w:highlight w:val="none"/>
        </w:rPr>
      </w:pPr>
      <w:r>
        <w:rPr>
          <w:rFonts w:hint="eastAsia" w:ascii="宋体" w:hAnsi="宋体" w:cs="宋体"/>
          <w:sz w:val="22"/>
          <w:highlight w:val="none"/>
        </w:rPr>
        <w:t>2.3.4中标人应于论证会召开7个工作日前，将专项施工方案送达参与论证专家。</w:t>
      </w:r>
    </w:p>
    <w:p w14:paraId="685E6FED">
      <w:pPr>
        <w:adjustRightInd w:val="0"/>
        <w:spacing w:line="440" w:lineRule="exact"/>
        <w:ind w:firstLine="440" w:firstLineChars="200"/>
        <w:jc w:val="left"/>
        <w:rPr>
          <w:rFonts w:ascii="宋体" w:hAnsi="宋体" w:cs="宋体"/>
          <w:sz w:val="22"/>
          <w:highlight w:val="none"/>
        </w:rPr>
      </w:pPr>
      <w:r>
        <w:rPr>
          <w:rFonts w:hint="eastAsia" w:ascii="宋体" w:hAnsi="宋体" w:cs="宋体"/>
          <w:sz w:val="22"/>
          <w:highlight w:val="none"/>
        </w:rPr>
        <w:t>2.4 论证主要内容与结论</w:t>
      </w:r>
    </w:p>
    <w:p w14:paraId="5FD90676">
      <w:pPr>
        <w:adjustRightInd w:val="0"/>
        <w:spacing w:line="440" w:lineRule="exact"/>
        <w:ind w:firstLine="440" w:firstLineChars="200"/>
        <w:jc w:val="left"/>
        <w:rPr>
          <w:rFonts w:ascii="宋体" w:hAnsi="宋体" w:cs="宋体"/>
          <w:sz w:val="22"/>
          <w:highlight w:val="none"/>
        </w:rPr>
      </w:pPr>
      <w:r>
        <w:rPr>
          <w:rFonts w:hint="eastAsia" w:ascii="宋体" w:hAnsi="宋体" w:cs="宋体"/>
          <w:sz w:val="22"/>
          <w:highlight w:val="none"/>
        </w:rPr>
        <w:t>2.4.1专家论证的主要内容：</w:t>
      </w:r>
    </w:p>
    <w:p w14:paraId="7D088069">
      <w:pPr>
        <w:adjustRightInd w:val="0"/>
        <w:spacing w:line="440" w:lineRule="exact"/>
        <w:ind w:firstLine="440" w:firstLineChars="200"/>
        <w:jc w:val="left"/>
        <w:rPr>
          <w:rFonts w:ascii="宋体" w:hAnsi="宋体" w:cs="宋体"/>
          <w:sz w:val="22"/>
          <w:highlight w:val="none"/>
        </w:rPr>
      </w:pPr>
      <w:r>
        <w:rPr>
          <w:rFonts w:hint="eastAsia" w:ascii="宋体" w:hAnsi="宋体" w:cs="宋体"/>
          <w:sz w:val="22"/>
          <w:highlight w:val="none"/>
        </w:rPr>
        <w:t>专项施工方案内容是否完整、可行；</w:t>
      </w:r>
    </w:p>
    <w:p w14:paraId="6D7AC347">
      <w:pPr>
        <w:adjustRightInd w:val="0"/>
        <w:spacing w:line="440" w:lineRule="exact"/>
        <w:ind w:firstLine="440" w:firstLineChars="200"/>
        <w:jc w:val="left"/>
        <w:rPr>
          <w:rFonts w:ascii="宋体" w:hAnsi="宋体" w:cs="宋体"/>
          <w:sz w:val="22"/>
          <w:highlight w:val="none"/>
        </w:rPr>
      </w:pPr>
      <w:r>
        <w:rPr>
          <w:rFonts w:hint="eastAsia" w:ascii="宋体" w:hAnsi="宋体" w:cs="宋体"/>
          <w:sz w:val="22"/>
          <w:highlight w:val="none"/>
        </w:rPr>
        <w:t>专项施工方案是否符合有关标准规范；</w:t>
      </w:r>
    </w:p>
    <w:p w14:paraId="796152A0">
      <w:pPr>
        <w:adjustRightInd w:val="0"/>
        <w:spacing w:line="440" w:lineRule="exact"/>
        <w:ind w:firstLine="440" w:firstLineChars="200"/>
        <w:jc w:val="left"/>
        <w:rPr>
          <w:rFonts w:ascii="宋体" w:hAnsi="宋体" w:cs="宋体"/>
          <w:sz w:val="22"/>
          <w:highlight w:val="none"/>
        </w:rPr>
      </w:pPr>
      <w:r>
        <w:rPr>
          <w:rFonts w:hint="eastAsia" w:ascii="宋体" w:hAnsi="宋体" w:cs="宋体"/>
          <w:sz w:val="22"/>
          <w:highlight w:val="none"/>
        </w:rPr>
        <w:t>专项施工方案是否满足现场实际情况，能否保证施工安全。</w:t>
      </w:r>
    </w:p>
    <w:p w14:paraId="61A00A06">
      <w:pPr>
        <w:adjustRightInd w:val="0"/>
        <w:spacing w:line="440" w:lineRule="exact"/>
        <w:ind w:firstLine="440" w:firstLineChars="200"/>
        <w:jc w:val="left"/>
        <w:rPr>
          <w:rFonts w:ascii="宋体" w:hAnsi="宋体" w:cs="宋体"/>
          <w:sz w:val="22"/>
          <w:highlight w:val="none"/>
        </w:rPr>
      </w:pPr>
      <w:r>
        <w:rPr>
          <w:rFonts w:hint="eastAsia" w:ascii="宋体" w:hAnsi="宋体" w:cs="宋体"/>
          <w:sz w:val="22"/>
          <w:highlight w:val="none"/>
        </w:rPr>
        <w:t>2.4.2论证结论分为三类：</w:t>
      </w:r>
    </w:p>
    <w:p w14:paraId="6B4972FF">
      <w:pPr>
        <w:adjustRightInd w:val="0"/>
        <w:spacing w:line="440" w:lineRule="exact"/>
        <w:ind w:firstLine="440" w:firstLineChars="200"/>
        <w:jc w:val="left"/>
        <w:rPr>
          <w:rFonts w:ascii="宋体" w:hAnsi="宋体" w:cs="宋体"/>
          <w:sz w:val="22"/>
          <w:highlight w:val="none"/>
        </w:rPr>
      </w:pPr>
      <w:r>
        <w:rPr>
          <w:rFonts w:hint="eastAsia" w:ascii="宋体" w:hAnsi="宋体" w:cs="宋体"/>
          <w:sz w:val="22"/>
          <w:highlight w:val="none"/>
        </w:rPr>
        <w:t>结论为“通过”：中标人可参考专家意见自行修改完善，修改后的方案经招标人确认后实施；</w:t>
      </w:r>
    </w:p>
    <w:p w14:paraId="022B565E">
      <w:pPr>
        <w:adjustRightInd w:val="0"/>
        <w:spacing w:line="440" w:lineRule="exact"/>
        <w:ind w:firstLine="440" w:firstLineChars="200"/>
        <w:jc w:val="left"/>
        <w:rPr>
          <w:rFonts w:ascii="宋体" w:hAnsi="宋体" w:cs="宋体"/>
          <w:sz w:val="22"/>
          <w:highlight w:val="none"/>
        </w:rPr>
      </w:pPr>
      <w:r>
        <w:rPr>
          <w:rFonts w:hint="eastAsia" w:ascii="宋体" w:hAnsi="宋体" w:cs="宋体"/>
          <w:sz w:val="22"/>
          <w:highlight w:val="none"/>
        </w:rPr>
        <w:t>结论为“修改后通过”：专家意见应明确具体修改内容，中标人须按意见修改，修改情况经专家组长签字确认，并报招标人审查同意后方可实施；</w:t>
      </w:r>
    </w:p>
    <w:p w14:paraId="7B95E1AB">
      <w:pPr>
        <w:adjustRightInd w:val="0"/>
        <w:spacing w:line="440" w:lineRule="exact"/>
        <w:ind w:firstLine="440" w:firstLineChars="200"/>
        <w:jc w:val="left"/>
        <w:rPr>
          <w:rFonts w:ascii="宋体" w:hAnsi="宋体" w:cs="宋体"/>
          <w:sz w:val="22"/>
          <w:highlight w:val="none"/>
        </w:rPr>
      </w:pPr>
      <w:r>
        <w:rPr>
          <w:rFonts w:hint="eastAsia" w:ascii="宋体" w:hAnsi="宋体" w:cs="宋体"/>
          <w:sz w:val="22"/>
          <w:highlight w:val="none"/>
        </w:rPr>
        <w:t>结论为“不通过”：中标人应重新编制专项施工方案，重新履行内部审核、招标人审查及专家论证流程。</w:t>
      </w:r>
    </w:p>
    <w:p w14:paraId="7612859A">
      <w:pPr>
        <w:adjustRightInd w:val="0"/>
        <w:spacing w:line="440" w:lineRule="exact"/>
        <w:ind w:firstLine="440" w:firstLineChars="200"/>
        <w:jc w:val="left"/>
        <w:rPr>
          <w:rFonts w:ascii="宋体" w:hAnsi="宋体" w:cs="宋体"/>
          <w:sz w:val="22"/>
          <w:highlight w:val="none"/>
        </w:rPr>
      </w:pPr>
      <w:r>
        <w:rPr>
          <w:rFonts w:hint="eastAsia" w:ascii="宋体" w:hAnsi="宋体" w:cs="宋体"/>
          <w:sz w:val="22"/>
          <w:highlight w:val="none"/>
        </w:rPr>
        <w:t>2.4.3专家组应提交《危大工程专项施工方案专家论证审查报告》，与会全体专家签字确认。</w:t>
      </w:r>
    </w:p>
    <w:p w14:paraId="6314DA0F">
      <w:pPr>
        <w:adjustRightInd w:val="0"/>
        <w:spacing w:line="440" w:lineRule="exact"/>
        <w:ind w:firstLine="440" w:firstLineChars="200"/>
        <w:jc w:val="left"/>
        <w:rPr>
          <w:rFonts w:ascii="宋体" w:hAnsi="宋体" w:cs="宋体"/>
          <w:sz w:val="22"/>
          <w:highlight w:val="none"/>
        </w:rPr>
      </w:pPr>
      <w:r>
        <w:rPr>
          <w:rFonts w:hint="eastAsia" w:ascii="宋体" w:hAnsi="宋体" w:cs="宋体"/>
          <w:sz w:val="22"/>
          <w:highlight w:val="none"/>
        </w:rPr>
        <w:t>2.5 相关费用与责任</w:t>
      </w:r>
    </w:p>
    <w:p w14:paraId="42C35387">
      <w:pPr>
        <w:adjustRightInd w:val="0"/>
        <w:spacing w:line="440" w:lineRule="exact"/>
        <w:ind w:firstLine="440" w:firstLineChars="200"/>
        <w:jc w:val="left"/>
        <w:rPr>
          <w:rFonts w:ascii="宋体" w:hAnsi="宋体" w:cs="宋体"/>
          <w:sz w:val="22"/>
          <w:highlight w:val="none"/>
        </w:rPr>
      </w:pPr>
      <w:r>
        <w:rPr>
          <w:rFonts w:hint="eastAsia" w:ascii="宋体" w:hAnsi="宋体" w:cs="宋体"/>
          <w:sz w:val="22"/>
          <w:highlight w:val="none"/>
        </w:rPr>
        <w:t>2.5.1专家论证所需费用（包括专家咨询费、会务费等）由中标人承担。</w:t>
      </w:r>
    </w:p>
    <w:p w14:paraId="2FBEEDB5">
      <w:pPr>
        <w:adjustRightInd w:val="0"/>
        <w:spacing w:line="440" w:lineRule="exact"/>
        <w:ind w:firstLine="440" w:firstLineChars="200"/>
        <w:jc w:val="left"/>
        <w:rPr>
          <w:rFonts w:ascii="宋体" w:hAnsi="宋体" w:cs="宋体"/>
          <w:sz w:val="22"/>
          <w:highlight w:val="none"/>
        </w:rPr>
      </w:pPr>
      <w:r>
        <w:rPr>
          <w:rFonts w:hint="eastAsia" w:ascii="宋体" w:hAnsi="宋体" w:cs="宋体"/>
          <w:sz w:val="22"/>
          <w:highlight w:val="none"/>
        </w:rPr>
        <w:t>2.5.2专家论证不免除中标人对设备设计、施工质量及安全生产所应承担的最终责任。中标人对专项施工方案的可行性、针对性、科学性负总责。</w:t>
      </w:r>
    </w:p>
    <w:p w14:paraId="31D62269">
      <w:pPr>
        <w:adjustRightInd w:val="0"/>
        <w:spacing w:line="440" w:lineRule="exact"/>
        <w:ind w:firstLine="440" w:firstLineChars="200"/>
        <w:jc w:val="left"/>
        <w:rPr>
          <w:rFonts w:ascii="宋体" w:hAnsi="宋体" w:cs="宋体"/>
          <w:sz w:val="22"/>
          <w:highlight w:val="none"/>
        </w:rPr>
      </w:pPr>
      <w:r>
        <w:rPr>
          <w:rFonts w:hint="eastAsia" w:ascii="宋体" w:hAnsi="宋体" w:cs="宋体"/>
          <w:sz w:val="22"/>
          <w:highlight w:val="none"/>
        </w:rPr>
        <w:t>2.6 投标阶段要求</w:t>
      </w:r>
    </w:p>
    <w:p w14:paraId="4E633EB4">
      <w:pPr>
        <w:adjustRightInd w:val="0"/>
        <w:spacing w:line="440" w:lineRule="exact"/>
        <w:ind w:firstLine="440" w:firstLineChars="200"/>
        <w:jc w:val="left"/>
        <w:rPr>
          <w:rFonts w:ascii="宋体" w:hAnsi="宋体" w:cs="宋体"/>
          <w:sz w:val="22"/>
          <w:szCs w:val="22"/>
          <w:highlight w:val="none"/>
        </w:rPr>
      </w:pPr>
      <w:r>
        <w:rPr>
          <w:rFonts w:hint="eastAsia" w:ascii="宋体" w:hAnsi="宋体" w:cs="宋体"/>
          <w:sz w:val="22"/>
          <w:szCs w:val="22"/>
          <w:highlight w:val="none"/>
        </w:rPr>
        <w:t>★投标时需提供以下资料：</w:t>
      </w:r>
    </w:p>
    <w:p w14:paraId="25455362">
      <w:pPr>
        <w:adjustRightInd w:val="0"/>
        <w:spacing w:line="440" w:lineRule="exact"/>
        <w:ind w:firstLine="440" w:firstLineChars="200"/>
        <w:jc w:val="left"/>
        <w:rPr>
          <w:rFonts w:ascii="宋体" w:hAnsi="宋体" w:cs="宋体"/>
          <w:sz w:val="22"/>
          <w:szCs w:val="22"/>
          <w:highlight w:val="none"/>
        </w:rPr>
      </w:pPr>
      <w:r>
        <w:rPr>
          <w:rFonts w:hint="eastAsia" w:ascii="宋体" w:hAnsi="宋体" w:cs="宋体"/>
          <w:sz w:val="22"/>
          <w:szCs w:val="22"/>
          <w:highlight w:val="none"/>
        </w:rPr>
        <w:t>（1）35吨门机回转支承总图；</w:t>
      </w:r>
    </w:p>
    <w:p w14:paraId="255D6427">
      <w:pPr>
        <w:adjustRightInd w:val="0"/>
        <w:spacing w:line="440" w:lineRule="exact"/>
        <w:ind w:firstLine="440" w:firstLineChars="200"/>
        <w:jc w:val="left"/>
        <w:rPr>
          <w:rFonts w:ascii="宋体" w:hAnsi="宋体" w:cs="宋体"/>
          <w:sz w:val="22"/>
          <w:szCs w:val="22"/>
          <w:highlight w:val="none"/>
        </w:rPr>
      </w:pPr>
      <w:r>
        <w:rPr>
          <w:rFonts w:hint="eastAsia" w:ascii="宋体" w:hAnsi="宋体" w:cs="宋体"/>
          <w:sz w:val="22"/>
          <w:szCs w:val="22"/>
          <w:highlight w:val="none"/>
        </w:rPr>
        <w:t>（2）施工进度计划时间表</w:t>
      </w:r>
      <w:bookmarkStart w:id="23" w:name="OLE_LINK3"/>
      <w:bookmarkStart w:id="24" w:name="OLE_LINK4"/>
      <w:r>
        <w:rPr>
          <w:rFonts w:hint="eastAsia" w:ascii="宋体" w:hAnsi="宋体" w:cs="宋体"/>
          <w:sz w:val="22"/>
          <w:szCs w:val="22"/>
          <w:highlight w:val="none"/>
        </w:rPr>
        <w:t>（35吨门机回转支承更换与16吨门机臂架头部铰点维修分别列明）</w:t>
      </w:r>
      <w:bookmarkEnd w:id="23"/>
      <w:bookmarkEnd w:id="24"/>
      <w:r>
        <w:rPr>
          <w:rFonts w:hint="eastAsia" w:ascii="宋体" w:hAnsi="宋体" w:cs="宋体"/>
          <w:sz w:val="22"/>
          <w:szCs w:val="22"/>
          <w:highlight w:val="none"/>
        </w:rPr>
        <w:t>；</w:t>
      </w:r>
    </w:p>
    <w:p w14:paraId="3334F851">
      <w:pPr>
        <w:adjustRightInd w:val="0"/>
        <w:spacing w:line="440" w:lineRule="exact"/>
        <w:ind w:firstLine="440" w:firstLineChars="200"/>
        <w:jc w:val="left"/>
        <w:rPr>
          <w:rFonts w:ascii="宋体" w:hAnsi="宋体" w:cs="宋体"/>
          <w:sz w:val="22"/>
          <w:szCs w:val="22"/>
          <w:highlight w:val="none"/>
        </w:rPr>
      </w:pPr>
      <w:r>
        <w:rPr>
          <w:rFonts w:hint="eastAsia" w:ascii="宋体" w:hAnsi="宋体" w:cs="宋体"/>
          <w:sz w:val="22"/>
          <w:szCs w:val="22"/>
          <w:highlight w:val="none"/>
        </w:rPr>
        <w:t>（3）专项施工方案（初稿）（35吨门机回转支承更换与16吨门机臂架头部铰点维修分别编制）；</w:t>
      </w:r>
    </w:p>
    <w:p w14:paraId="4D36FB8E">
      <w:pPr>
        <w:adjustRightInd w:val="0"/>
        <w:spacing w:line="440" w:lineRule="exact"/>
        <w:ind w:firstLine="440" w:firstLineChars="200"/>
        <w:jc w:val="left"/>
        <w:rPr>
          <w:rFonts w:ascii="宋体" w:hAnsi="宋体" w:cs="宋体"/>
          <w:sz w:val="22"/>
          <w:szCs w:val="22"/>
          <w:highlight w:val="none"/>
        </w:rPr>
      </w:pPr>
      <w:r>
        <w:rPr>
          <w:rFonts w:hint="eastAsia" w:ascii="宋体" w:hAnsi="宋体" w:cs="宋体"/>
          <w:sz w:val="22"/>
          <w:szCs w:val="22"/>
          <w:highlight w:val="none"/>
        </w:rPr>
        <w:t>（4）试车方案；</w:t>
      </w:r>
    </w:p>
    <w:p w14:paraId="72C0CC97">
      <w:pPr>
        <w:adjustRightInd w:val="0"/>
        <w:spacing w:line="440" w:lineRule="exact"/>
        <w:ind w:firstLine="440" w:firstLineChars="200"/>
        <w:jc w:val="left"/>
        <w:rPr>
          <w:rFonts w:ascii="宋体" w:hAnsi="宋体" w:cs="宋体"/>
          <w:sz w:val="22"/>
          <w:szCs w:val="22"/>
          <w:highlight w:val="none"/>
        </w:rPr>
      </w:pPr>
      <w:r>
        <w:rPr>
          <w:rFonts w:hint="eastAsia" w:ascii="宋体" w:hAnsi="宋体" w:cs="宋体"/>
          <w:sz w:val="22"/>
          <w:szCs w:val="22"/>
          <w:highlight w:val="none"/>
        </w:rPr>
        <w:t>（5）危大工程辨识及专家论证计划；</w:t>
      </w:r>
    </w:p>
    <w:p w14:paraId="512EEEB8">
      <w:pPr>
        <w:adjustRightInd w:val="0"/>
        <w:spacing w:line="440" w:lineRule="exact"/>
        <w:ind w:firstLine="440" w:firstLineChars="200"/>
        <w:jc w:val="left"/>
        <w:rPr>
          <w:rFonts w:ascii="宋体" w:hAnsi="宋体" w:cs="宋体"/>
          <w:sz w:val="22"/>
          <w:szCs w:val="22"/>
          <w:highlight w:val="none"/>
        </w:rPr>
      </w:pPr>
      <w:r>
        <w:rPr>
          <w:rFonts w:hint="eastAsia" w:ascii="宋体" w:hAnsi="宋体" w:cs="宋体"/>
          <w:sz w:val="22"/>
          <w:szCs w:val="22"/>
          <w:highlight w:val="none"/>
        </w:rPr>
        <w:t>（6）其他与设备有关需要审查确定的内容。</w:t>
      </w:r>
    </w:p>
    <w:p w14:paraId="53C4EB21">
      <w:pPr>
        <w:adjustRightInd w:val="0"/>
        <w:spacing w:line="440" w:lineRule="exact"/>
        <w:jc w:val="left"/>
        <w:outlineLvl w:val="2"/>
        <w:rPr>
          <w:rFonts w:ascii="宋体" w:hAnsi="宋体" w:cs="宋体"/>
          <w:b/>
          <w:bCs/>
          <w:sz w:val="22"/>
          <w:szCs w:val="22"/>
          <w:highlight w:val="none"/>
        </w:rPr>
      </w:pPr>
      <w:bookmarkStart w:id="25" w:name="_Toc4125"/>
      <w:r>
        <w:rPr>
          <w:rFonts w:hint="eastAsia" w:ascii="宋体" w:hAnsi="宋体" w:cs="宋体"/>
          <w:b/>
          <w:bCs/>
          <w:sz w:val="22"/>
          <w:szCs w:val="22"/>
          <w:highlight w:val="none"/>
        </w:rPr>
        <w:t>四、安装调试、验收交付</w:t>
      </w:r>
      <w:bookmarkEnd w:id="25"/>
    </w:p>
    <w:p w14:paraId="26EB17D0">
      <w:pPr>
        <w:adjustRightInd w:val="0"/>
        <w:spacing w:line="440" w:lineRule="exact"/>
        <w:ind w:firstLine="442" w:firstLineChars="200"/>
        <w:jc w:val="left"/>
        <w:rPr>
          <w:rFonts w:ascii="宋体" w:hAnsi="宋体" w:cs="宋体"/>
          <w:b/>
          <w:bCs/>
          <w:sz w:val="22"/>
          <w:szCs w:val="22"/>
          <w:highlight w:val="none"/>
        </w:rPr>
      </w:pPr>
      <w:r>
        <w:rPr>
          <w:rFonts w:hint="eastAsia" w:ascii="宋体" w:hAnsi="宋体" w:cs="宋体"/>
          <w:b/>
          <w:bCs/>
          <w:sz w:val="22"/>
          <w:szCs w:val="22"/>
          <w:highlight w:val="none"/>
        </w:rPr>
        <w:t>1.安装调试</w:t>
      </w:r>
    </w:p>
    <w:p w14:paraId="085BAC55">
      <w:pPr>
        <w:adjustRightInd w:val="0"/>
        <w:spacing w:line="440" w:lineRule="exact"/>
        <w:ind w:firstLine="440" w:firstLineChars="200"/>
        <w:jc w:val="left"/>
        <w:rPr>
          <w:rFonts w:ascii="宋体" w:hAnsi="宋体" w:cs="宋体"/>
          <w:sz w:val="22"/>
          <w:highlight w:val="none"/>
        </w:rPr>
      </w:pPr>
      <w:r>
        <w:rPr>
          <w:rFonts w:hint="eastAsia" w:ascii="宋体" w:hAnsi="宋体" w:cs="宋体"/>
          <w:sz w:val="22"/>
          <w:highlight w:val="none"/>
        </w:rPr>
        <w:t>1.1中标人应指派具有相应资质的技术工程师负责安装调试，投入人员须满足工期要求。</w:t>
      </w:r>
    </w:p>
    <w:p w14:paraId="46AAEC81">
      <w:pPr>
        <w:adjustRightInd w:val="0"/>
        <w:spacing w:line="440" w:lineRule="exact"/>
        <w:ind w:firstLine="440" w:firstLineChars="200"/>
        <w:jc w:val="left"/>
        <w:rPr>
          <w:rFonts w:ascii="宋体" w:hAnsi="宋体" w:cs="宋体"/>
          <w:sz w:val="22"/>
          <w:highlight w:val="none"/>
        </w:rPr>
      </w:pPr>
      <w:r>
        <w:rPr>
          <w:rFonts w:hint="eastAsia" w:ascii="宋体" w:hAnsi="宋体" w:cs="宋体"/>
          <w:sz w:val="22"/>
          <w:highlight w:val="none"/>
        </w:rPr>
        <w:t>1.2施工人员必须持证上岗，特种作业人员需持有效的特种作业操作证。</w:t>
      </w:r>
    </w:p>
    <w:p w14:paraId="794DCBDE">
      <w:pPr>
        <w:adjustRightInd w:val="0"/>
        <w:spacing w:line="440" w:lineRule="exact"/>
        <w:ind w:firstLine="440" w:firstLineChars="200"/>
        <w:jc w:val="left"/>
        <w:rPr>
          <w:rFonts w:ascii="宋体" w:hAnsi="宋体" w:cs="宋体"/>
          <w:sz w:val="22"/>
          <w:highlight w:val="none"/>
        </w:rPr>
      </w:pPr>
      <w:r>
        <w:rPr>
          <w:rFonts w:hint="eastAsia" w:ascii="宋体" w:hAnsi="宋体" w:cs="宋体"/>
          <w:sz w:val="22"/>
          <w:highlight w:val="none"/>
        </w:rPr>
        <w:t>1.3中标人须为施工人员购买工伤保险或人身意外险等保险，并对施工期间的安全生产负全责。</w:t>
      </w:r>
    </w:p>
    <w:p w14:paraId="71353969">
      <w:pPr>
        <w:adjustRightInd w:val="0"/>
        <w:spacing w:line="440" w:lineRule="exact"/>
        <w:ind w:firstLine="440" w:firstLineChars="200"/>
        <w:jc w:val="left"/>
        <w:rPr>
          <w:rFonts w:ascii="宋体" w:hAnsi="宋体" w:cs="宋体"/>
          <w:sz w:val="22"/>
          <w:highlight w:val="none"/>
        </w:rPr>
      </w:pPr>
      <w:r>
        <w:rPr>
          <w:rFonts w:hint="eastAsia" w:ascii="宋体" w:hAnsi="宋体" w:cs="宋体"/>
          <w:sz w:val="22"/>
          <w:highlight w:val="none"/>
        </w:rPr>
        <w:t>1.4中标人还须为本项目涉及的所有新安装设备（包括但不限于3</w:t>
      </w:r>
      <w:r>
        <w:rPr>
          <w:rFonts w:ascii="宋体" w:hAnsi="宋体" w:cs="宋体"/>
          <w:sz w:val="22"/>
          <w:highlight w:val="none"/>
        </w:rPr>
        <w:t>5</w:t>
      </w:r>
      <w:r>
        <w:rPr>
          <w:rFonts w:hint="eastAsia" w:ascii="宋体" w:hAnsi="宋体" w:cs="宋体"/>
          <w:sz w:val="22"/>
          <w:highlight w:val="none"/>
        </w:rPr>
        <w:t>吨门机回转支承、1</w:t>
      </w:r>
      <w:r>
        <w:rPr>
          <w:rFonts w:ascii="宋体" w:hAnsi="宋体" w:cs="宋体"/>
          <w:sz w:val="22"/>
          <w:highlight w:val="none"/>
        </w:rPr>
        <w:t>6</w:t>
      </w:r>
      <w:r>
        <w:rPr>
          <w:rFonts w:hint="eastAsia" w:ascii="宋体" w:hAnsi="宋体" w:cs="宋体"/>
          <w:sz w:val="22"/>
          <w:highlight w:val="none"/>
        </w:rPr>
        <w:t>吨门机铰点部件等）及施工现场原有设备购买“安装工程一切险”或“设备保险”。保险受益人须明确为温州港集团有限公司龙湾港务分公司，保险有效期至少覆盖整个施工期至项目最终验收合格之日。中标人应在保险生效后将保险单复印件（须载明受益人信息）提交招标人备案。</w:t>
      </w:r>
    </w:p>
    <w:p w14:paraId="0FBBD1C2">
      <w:pPr>
        <w:adjustRightInd w:val="0"/>
        <w:spacing w:line="440" w:lineRule="exact"/>
        <w:ind w:firstLine="440" w:firstLineChars="200"/>
        <w:jc w:val="left"/>
        <w:rPr>
          <w:rFonts w:ascii="宋体" w:hAnsi="宋体" w:cs="宋体"/>
          <w:sz w:val="22"/>
          <w:highlight w:val="none"/>
        </w:rPr>
      </w:pPr>
      <w:r>
        <w:rPr>
          <w:rFonts w:hint="eastAsia" w:ascii="宋体" w:hAnsi="宋体" w:cs="宋体"/>
          <w:sz w:val="22"/>
          <w:highlight w:val="none"/>
        </w:rPr>
        <w:t>1.5中标人应遵守招标人安全管理规定，签订安全施工协议，并提供保险购买凭证备查。</w:t>
      </w:r>
    </w:p>
    <w:p w14:paraId="3457D2D8">
      <w:pPr>
        <w:adjustRightInd w:val="0"/>
        <w:spacing w:line="440" w:lineRule="exact"/>
        <w:ind w:firstLine="440" w:firstLineChars="200"/>
        <w:jc w:val="left"/>
        <w:rPr>
          <w:rFonts w:ascii="宋体" w:hAnsi="宋体" w:cs="宋体"/>
          <w:sz w:val="22"/>
          <w:highlight w:val="none"/>
        </w:rPr>
      </w:pPr>
      <w:r>
        <w:rPr>
          <w:rFonts w:hint="eastAsia" w:ascii="宋体" w:hAnsi="宋体" w:cs="宋体"/>
          <w:sz w:val="22"/>
          <w:highlight w:val="none"/>
        </w:rPr>
        <w:t>1.6安装调试应严格按照审批通过的专项方案执行，涉及重大变更需重新报审。现场须做到“工完场清”。</w:t>
      </w:r>
    </w:p>
    <w:p w14:paraId="4984B99F">
      <w:pPr>
        <w:adjustRightInd w:val="0"/>
        <w:spacing w:line="440" w:lineRule="exact"/>
        <w:ind w:firstLine="442" w:firstLineChars="200"/>
        <w:jc w:val="left"/>
        <w:rPr>
          <w:rFonts w:ascii="宋体" w:hAnsi="宋体" w:cs="宋体"/>
          <w:b/>
          <w:bCs/>
          <w:sz w:val="22"/>
          <w:szCs w:val="22"/>
          <w:highlight w:val="none"/>
        </w:rPr>
      </w:pPr>
      <w:r>
        <w:rPr>
          <w:rFonts w:hint="eastAsia" w:ascii="宋体" w:hAnsi="宋体" w:cs="宋体"/>
          <w:b/>
          <w:bCs/>
          <w:sz w:val="22"/>
          <w:szCs w:val="22"/>
          <w:highlight w:val="none"/>
        </w:rPr>
        <w:t>2.验收交付</w:t>
      </w:r>
    </w:p>
    <w:p w14:paraId="01191C10">
      <w:pPr>
        <w:adjustRightInd w:val="0"/>
        <w:spacing w:line="440" w:lineRule="exact"/>
        <w:ind w:firstLine="440" w:firstLineChars="200"/>
        <w:jc w:val="left"/>
        <w:rPr>
          <w:rFonts w:ascii="宋体" w:hAnsi="宋体" w:cs="宋体"/>
          <w:sz w:val="22"/>
          <w:highlight w:val="none"/>
        </w:rPr>
      </w:pPr>
      <w:r>
        <w:rPr>
          <w:rFonts w:hint="eastAsia" w:ascii="宋体" w:hAnsi="宋体" w:cs="宋体"/>
          <w:sz w:val="22"/>
          <w:highlight w:val="none"/>
        </w:rPr>
        <w:t>2.1验收流程：调试结束并正常运行后，中标人出具验收大纲，经招标人确认后双方组织验收。验收中发现的问题需记录并整改直至解决。</w:t>
      </w:r>
    </w:p>
    <w:p w14:paraId="58948E1D">
      <w:pPr>
        <w:adjustRightInd w:val="0"/>
        <w:spacing w:line="440" w:lineRule="exact"/>
        <w:ind w:firstLine="440" w:firstLineChars="200"/>
        <w:jc w:val="left"/>
        <w:rPr>
          <w:rFonts w:ascii="宋体" w:hAnsi="宋体" w:cs="宋体"/>
          <w:sz w:val="22"/>
          <w:highlight w:val="none"/>
        </w:rPr>
      </w:pPr>
      <w:r>
        <w:rPr>
          <w:rFonts w:hint="eastAsia" w:ascii="宋体" w:hAnsi="宋体" w:cs="宋体"/>
          <w:sz w:val="22"/>
          <w:highlight w:val="none"/>
        </w:rPr>
        <w:t>2.2完工资料：验收合格后，中标人需交付纸质版资料一式六份、电子版（U盘）一份。资料须包含：</w:t>
      </w:r>
    </w:p>
    <w:p w14:paraId="466C8CB3">
      <w:pPr>
        <w:adjustRightInd w:val="0"/>
        <w:spacing w:line="440" w:lineRule="exact"/>
        <w:ind w:firstLine="440" w:firstLineChars="200"/>
        <w:jc w:val="left"/>
        <w:rPr>
          <w:rFonts w:ascii="宋体" w:hAnsi="宋体" w:cs="宋体"/>
          <w:sz w:val="22"/>
          <w:highlight w:val="none"/>
        </w:rPr>
      </w:pPr>
      <w:r>
        <w:rPr>
          <w:rFonts w:hint="eastAsia" w:ascii="宋体" w:hAnsi="宋体" w:cs="宋体"/>
          <w:sz w:val="22"/>
          <w:highlight w:val="none"/>
        </w:rPr>
        <w:t>安装维护说明书；</w:t>
      </w:r>
    </w:p>
    <w:p w14:paraId="75F3A90A">
      <w:pPr>
        <w:adjustRightInd w:val="0"/>
        <w:spacing w:line="440" w:lineRule="exact"/>
        <w:ind w:firstLine="440" w:firstLineChars="200"/>
        <w:jc w:val="left"/>
        <w:rPr>
          <w:rFonts w:ascii="宋体" w:hAnsi="宋体" w:cs="宋体"/>
          <w:sz w:val="22"/>
          <w:highlight w:val="none"/>
        </w:rPr>
      </w:pPr>
      <w:r>
        <w:rPr>
          <w:rFonts w:hint="eastAsia" w:ascii="宋体" w:hAnsi="宋体" w:cs="宋体"/>
          <w:sz w:val="22"/>
          <w:highlight w:val="none"/>
        </w:rPr>
        <w:t>完整施工方案（含安全措施、试车方案等）；</w:t>
      </w:r>
    </w:p>
    <w:p w14:paraId="41EBB1A9">
      <w:pPr>
        <w:adjustRightInd w:val="0"/>
        <w:spacing w:line="440" w:lineRule="exact"/>
        <w:ind w:firstLine="440" w:firstLineChars="200"/>
        <w:jc w:val="left"/>
        <w:rPr>
          <w:rFonts w:ascii="宋体" w:hAnsi="宋体" w:cs="宋体"/>
          <w:sz w:val="22"/>
          <w:highlight w:val="none"/>
        </w:rPr>
      </w:pPr>
      <w:r>
        <w:rPr>
          <w:rFonts w:hint="eastAsia" w:ascii="宋体" w:hAnsi="宋体" w:cs="宋体"/>
          <w:sz w:val="22"/>
          <w:highlight w:val="none"/>
        </w:rPr>
        <w:t>项目验收报告；</w:t>
      </w:r>
    </w:p>
    <w:p w14:paraId="5265F80D">
      <w:pPr>
        <w:adjustRightInd w:val="0"/>
        <w:spacing w:line="440" w:lineRule="exact"/>
        <w:ind w:firstLine="440" w:firstLineChars="200"/>
        <w:jc w:val="left"/>
        <w:rPr>
          <w:rFonts w:ascii="宋体" w:hAnsi="宋体" w:cs="宋体"/>
          <w:sz w:val="22"/>
          <w:highlight w:val="none"/>
        </w:rPr>
      </w:pPr>
      <w:r>
        <w:rPr>
          <w:rFonts w:hint="eastAsia" w:ascii="宋体" w:hAnsi="宋体" w:cs="宋体"/>
          <w:sz w:val="22"/>
          <w:highlight w:val="none"/>
        </w:rPr>
        <w:t>关键部件材质证明、合格证、检测报告；</w:t>
      </w:r>
    </w:p>
    <w:p w14:paraId="138F07F3">
      <w:pPr>
        <w:adjustRightInd w:val="0"/>
        <w:spacing w:line="440" w:lineRule="exact"/>
        <w:ind w:firstLine="440" w:firstLineChars="200"/>
        <w:jc w:val="left"/>
        <w:rPr>
          <w:rFonts w:ascii="宋体" w:hAnsi="宋体" w:cs="宋体"/>
          <w:sz w:val="22"/>
          <w:highlight w:val="none"/>
        </w:rPr>
      </w:pPr>
      <w:r>
        <w:rPr>
          <w:rFonts w:hint="eastAsia" w:ascii="宋体" w:hAnsi="宋体" w:cs="宋体"/>
          <w:sz w:val="22"/>
          <w:highlight w:val="none"/>
        </w:rPr>
        <w:t>危大工程专项施工总结报告。</w:t>
      </w:r>
    </w:p>
    <w:p w14:paraId="5D3891E0">
      <w:pPr>
        <w:adjustRightInd w:val="0"/>
        <w:spacing w:line="440" w:lineRule="exact"/>
        <w:ind w:firstLine="440" w:firstLineChars="200"/>
        <w:jc w:val="left"/>
        <w:rPr>
          <w:rFonts w:ascii="宋体" w:hAnsi="宋体" w:cs="宋体"/>
          <w:sz w:val="22"/>
          <w:szCs w:val="22"/>
          <w:highlight w:val="none"/>
        </w:rPr>
      </w:pPr>
      <w:r>
        <w:rPr>
          <w:rFonts w:hint="eastAsia" w:ascii="宋体" w:hAnsi="宋体" w:cs="宋体"/>
          <w:sz w:val="22"/>
          <w:highlight w:val="none"/>
        </w:rPr>
        <w:t>2.3旧件处理：更换下来的旧回转支承、旧铰点轴等主材归招标人所有，由中标人负责运送至招标人指定地点堆放；废油、废棉纱等废弃物由招标人按规定合规处置。</w:t>
      </w:r>
    </w:p>
    <w:p w14:paraId="1DFC1AE4">
      <w:pPr>
        <w:adjustRightInd w:val="0"/>
        <w:spacing w:line="440" w:lineRule="exact"/>
        <w:jc w:val="left"/>
        <w:outlineLvl w:val="2"/>
        <w:rPr>
          <w:rFonts w:ascii="宋体" w:hAnsi="宋体" w:cs="宋体"/>
          <w:sz w:val="22"/>
          <w:szCs w:val="22"/>
          <w:highlight w:val="none"/>
        </w:rPr>
      </w:pPr>
      <w:bookmarkStart w:id="26" w:name="_Toc12089"/>
      <w:r>
        <w:rPr>
          <w:rFonts w:hint="eastAsia" w:ascii="宋体" w:hAnsi="宋体" w:cs="宋体"/>
          <w:b/>
          <w:bCs/>
          <w:sz w:val="22"/>
          <w:szCs w:val="22"/>
          <w:highlight w:val="none"/>
        </w:rPr>
        <w:t>五、质量保证与售后服务</w:t>
      </w:r>
      <w:bookmarkEnd w:id="26"/>
    </w:p>
    <w:p w14:paraId="15DF54D3">
      <w:pPr>
        <w:adjustRightInd w:val="0"/>
        <w:spacing w:line="440" w:lineRule="exact"/>
        <w:ind w:firstLine="442" w:firstLineChars="200"/>
        <w:jc w:val="left"/>
        <w:rPr>
          <w:rFonts w:ascii="宋体" w:hAnsi="宋体" w:cs="宋体"/>
          <w:b/>
          <w:bCs/>
          <w:sz w:val="22"/>
          <w:szCs w:val="22"/>
          <w:highlight w:val="none"/>
        </w:rPr>
      </w:pPr>
      <w:r>
        <w:rPr>
          <w:rFonts w:hint="eastAsia" w:ascii="宋体" w:hAnsi="宋体" w:cs="宋体"/>
          <w:b/>
          <w:bCs/>
          <w:sz w:val="22"/>
          <w:szCs w:val="22"/>
          <w:highlight w:val="none"/>
        </w:rPr>
        <w:t>1.质量保证</w:t>
      </w:r>
    </w:p>
    <w:p w14:paraId="5381E20D">
      <w:pPr>
        <w:adjustRightInd w:val="0"/>
        <w:spacing w:line="440" w:lineRule="exact"/>
        <w:ind w:firstLine="440" w:firstLineChars="200"/>
        <w:jc w:val="left"/>
        <w:rPr>
          <w:rFonts w:ascii="宋体" w:hAnsi="宋体" w:cs="宋体"/>
          <w:sz w:val="22"/>
          <w:szCs w:val="22"/>
          <w:highlight w:val="none"/>
        </w:rPr>
      </w:pPr>
      <w:r>
        <w:rPr>
          <w:rFonts w:hint="eastAsia" w:ascii="宋体" w:hAnsi="宋体" w:cs="宋体"/>
          <w:sz w:val="22"/>
          <w:szCs w:val="22"/>
          <w:highlight w:val="none"/>
        </w:rPr>
        <w:t>1.1中标人提供的产品须为全新的、未使用过的，符合招标需求要求。</w:t>
      </w:r>
    </w:p>
    <w:p w14:paraId="4143B2BF">
      <w:pPr>
        <w:adjustRightInd w:val="0"/>
        <w:spacing w:line="440" w:lineRule="exact"/>
        <w:ind w:firstLine="440" w:firstLineChars="200"/>
        <w:jc w:val="left"/>
        <w:rPr>
          <w:rFonts w:ascii="宋体" w:hAnsi="宋体" w:cs="宋体"/>
          <w:sz w:val="22"/>
          <w:szCs w:val="22"/>
          <w:highlight w:val="none"/>
        </w:rPr>
      </w:pPr>
      <w:r>
        <w:rPr>
          <w:rFonts w:hint="eastAsia" w:ascii="宋体" w:hAnsi="宋体" w:cs="宋体"/>
          <w:sz w:val="22"/>
          <w:szCs w:val="22"/>
          <w:highlight w:val="none"/>
        </w:rPr>
        <w:t>1.2质保期：调试合格并通过验收后12个月。</w:t>
      </w:r>
    </w:p>
    <w:p w14:paraId="317304B7">
      <w:pPr>
        <w:adjustRightInd w:val="0"/>
        <w:spacing w:line="440" w:lineRule="exact"/>
        <w:ind w:firstLine="440" w:firstLineChars="200"/>
        <w:jc w:val="left"/>
        <w:rPr>
          <w:rFonts w:ascii="宋体" w:hAnsi="宋体" w:cs="宋体"/>
          <w:sz w:val="22"/>
          <w:szCs w:val="22"/>
          <w:highlight w:val="none"/>
        </w:rPr>
      </w:pPr>
      <w:r>
        <w:rPr>
          <w:rFonts w:hint="eastAsia" w:ascii="宋体" w:hAnsi="宋体" w:cs="宋体"/>
          <w:sz w:val="22"/>
          <w:szCs w:val="22"/>
          <w:highlight w:val="none"/>
        </w:rPr>
        <w:t>1.3在质保期内因质量问题出现故障，中标人无偿保修或更换。一般故障应于到达现场后24小时内修复，重大故障（导致停机）应于到达现场后7个工作日内修复。逾期未修复，中标人需赔偿招标人实际损失。</w:t>
      </w:r>
    </w:p>
    <w:p w14:paraId="546BA887">
      <w:pPr>
        <w:adjustRightInd w:val="0"/>
        <w:spacing w:line="440" w:lineRule="exact"/>
        <w:ind w:firstLine="442" w:firstLineChars="200"/>
        <w:jc w:val="left"/>
        <w:rPr>
          <w:rFonts w:ascii="宋体" w:hAnsi="宋体" w:cs="宋体"/>
          <w:b/>
          <w:bCs/>
          <w:sz w:val="22"/>
          <w:szCs w:val="22"/>
          <w:highlight w:val="none"/>
        </w:rPr>
      </w:pPr>
      <w:r>
        <w:rPr>
          <w:rFonts w:hint="eastAsia" w:ascii="宋体" w:hAnsi="宋体" w:cs="宋体"/>
          <w:b/>
          <w:bCs/>
          <w:sz w:val="22"/>
          <w:szCs w:val="22"/>
          <w:highlight w:val="none"/>
        </w:rPr>
        <w:t>2.售后服务</w:t>
      </w:r>
    </w:p>
    <w:p w14:paraId="1E00785B">
      <w:pPr>
        <w:adjustRightInd w:val="0"/>
        <w:spacing w:line="440" w:lineRule="exact"/>
        <w:ind w:firstLine="440" w:firstLineChars="200"/>
        <w:jc w:val="left"/>
        <w:rPr>
          <w:rFonts w:ascii="宋体" w:hAnsi="宋体" w:cs="宋体"/>
          <w:sz w:val="22"/>
          <w:szCs w:val="22"/>
          <w:highlight w:val="none"/>
        </w:rPr>
      </w:pPr>
      <w:r>
        <w:rPr>
          <w:rFonts w:hint="eastAsia" w:ascii="宋体" w:hAnsi="宋体" w:cs="宋体"/>
          <w:sz w:val="22"/>
          <w:szCs w:val="22"/>
          <w:highlight w:val="none"/>
        </w:rPr>
        <w:t>2.1质保期内，中标人接到通知后2小时内响应，24小时内派员到场处理。</w:t>
      </w:r>
    </w:p>
    <w:p w14:paraId="15536383">
      <w:pPr>
        <w:adjustRightInd w:val="0"/>
        <w:spacing w:line="440" w:lineRule="exact"/>
        <w:ind w:firstLine="440" w:firstLineChars="200"/>
        <w:jc w:val="left"/>
        <w:rPr>
          <w:rFonts w:ascii="宋体" w:hAnsi="宋体" w:cs="宋体"/>
          <w:sz w:val="22"/>
          <w:szCs w:val="22"/>
          <w:highlight w:val="none"/>
        </w:rPr>
      </w:pPr>
      <w:r>
        <w:rPr>
          <w:rFonts w:hint="eastAsia" w:ascii="宋体" w:hAnsi="宋体" w:cs="宋体"/>
          <w:sz w:val="22"/>
          <w:szCs w:val="22"/>
          <w:highlight w:val="none"/>
        </w:rPr>
        <w:t>2.2定期进行电话回访或现场检查，跟踪设备运行情况。</w:t>
      </w:r>
    </w:p>
    <w:p w14:paraId="2597B104">
      <w:pPr>
        <w:adjustRightInd w:val="0"/>
        <w:spacing w:line="440" w:lineRule="exact"/>
        <w:jc w:val="left"/>
        <w:outlineLvl w:val="2"/>
        <w:rPr>
          <w:rFonts w:ascii="宋体" w:hAnsi="宋体" w:cs="宋体"/>
          <w:sz w:val="22"/>
          <w:szCs w:val="22"/>
          <w:highlight w:val="none"/>
        </w:rPr>
      </w:pPr>
      <w:bookmarkStart w:id="27" w:name="_Toc3503"/>
      <w:r>
        <w:rPr>
          <w:rFonts w:hint="eastAsia" w:ascii="宋体" w:hAnsi="宋体" w:cs="宋体"/>
          <w:b/>
          <w:bCs/>
          <w:sz w:val="22"/>
          <w:szCs w:val="22"/>
          <w:highlight w:val="none"/>
        </w:rPr>
        <w:t>★六、人员要求</w:t>
      </w:r>
      <w:bookmarkEnd w:id="27"/>
    </w:p>
    <w:p w14:paraId="4B312F42">
      <w:pPr>
        <w:adjustRightInd w:val="0"/>
        <w:spacing w:line="440" w:lineRule="exact"/>
        <w:ind w:firstLine="440" w:firstLineChars="200"/>
        <w:jc w:val="left"/>
        <w:rPr>
          <w:rFonts w:ascii="宋体" w:hAnsi="宋体" w:cs="宋体"/>
          <w:sz w:val="22"/>
          <w:szCs w:val="22"/>
          <w:highlight w:val="none"/>
        </w:rPr>
      </w:pPr>
      <w:r>
        <w:rPr>
          <w:rFonts w:hint="eastAsia" w:ascii="宋体" w:hAnsi="宋体" w:cs="宋体"/>
          <w:sz w:val="22"/>
          <w:szCs w:val="22"/>
          <w:highlight w:val="none"/>
        </w:rPr>
        <w:t>1.至少配备专职安全员1名，现场兼职安全员1名（</w:t>
      </w:r>
      <w:r>
        <w:rPr>
          <w:rFonts w:hint="eastAsia"/>
          <w:highlight w:val="none"/>
        </w:rPr>
        <w:t>专职安全员可以兼任现场安全员</w:t>
      </w:r>
      <w:r>
        <w:rPr>
          <w:rFonts w:hint="eastAsia" w:ascii="宋体" w:hAnsi="宋体" w:cs="宋体"/>
          <w:sz w:val="22"/>
          <w:szCs w:val="22"/>
          <w:highlight w:val="none"/>
        </w:rPr>
        <w:t>）。</w:t>
      </w:r>
      <w:r>
        <w:rPr>
          <w:rFonts w:hint="eastAsia" w:ascii="宋体" w:hAnsi="宋体" w:cs="宋体"/>
          <w:sz w:val="22"/>
          <w:highlight w:val="none"/>
        </w:rPr>
        <w:t>并在投标文件中提供社保三年以上证明</w:t>
      </w:r>
      <w:r>
        <w:rPr>
          <w:rFonts w:hint="eastAsia" w:ascii="宋体" w:hAnsi="宋体" w:cs="宋体"/>
          <w:sz w:val="22"/>
          <w:szCs w:val="22"/>
          <w:highlight w:val="none"/>
        </w:rPr>
        <w:t>。（须提供相关部门颁发的有效的安全员证书）；</w:t>
      </w:r>
    </w:p>
    <w:p w14:paraId="0234A827">
      <w:pPr>
        <w:adjustRightInd w:val="0"/>
        <w:spacing w:line="440" w:lineRule="exact"/>
        <w:ind w:firstLine="440" w:firstLineChars="200"/>
        <w:jc w:val="left"/>
        <w:rPr>
          <w:rFonts w:ascii="宋体" w:hAnsi="宋体" w:cs="宋体"/>
          <w:sz w:val="22"/>
          <w:szCs w:val="22"/>
          <w:highlight w:val="none"/>
        </w:rPr>
      </w:pPr>
      <w:r>
        <w:rPr>
          <w:rFonts w:hint="eastAsia" w:ascii="宋体" w:hAnsi="宋体" w:cs="宋体"/>
          <w:sz w:val="22"/>
          <w:szCs w:val="22"/>
          <w:highlight w:val="none"/>
        </w:rPr>
        <w:t>2.项目负责人或主修需具有丰富经验（须提供合同复印件或验收单复印件或业主证明复印件并加盖单位公章），且在当前单位连续缴纳社保满1年（须提供社保证明材料并加盖单位公章）；</w:t>
      </w:r>
    </w:p>
    <w:p w14:paraId="4D8AC288">
      <w:pPr>
        <w:adjustRightInd w:val="0"/>
        <w:spacing w:line="440" w:lineRule="exact"/>
        <w:ind w:firstLine="440" w:firstLineChars="200"/>
        <w:jc w:val="left"/>
        <w:rPr>
          <w:rFonts w:ascii="宋体" w:hAnsi="宋体" w:cs="宋体"/>
          <w:sz w:val="22"/>
          <w:szCs w:val="22"/>
          <w:highlight w:val="none"/>
        </w:rPr>
      </w:pPr>
      <w:r>
        <w:rPr>
          <w:rFonts w:hint="eastAsia" w:ascii="宋体" w:hAnsi="宋体" w:cs="宋体"/>
          <w:sz w:val="22"/>
          <w:szCs w:val="22"/>
          <w:highlight w:val="none"/>
        </w:rPr>
        <w:t>3.所有进场人员需提供投标截止前3个月的社保证明及有效的工伤保险或人身意外险等保险证明（须提供社保证明材料并加盖单位公章）；</w:t>
      </w:r>
    </w:p>
    <w:p w14:paraId="379CEEE1">
      <w:pPr>
        <w:adjustRightInd w:val="0"/>
        <w:spacing w:line="440" w:lineRule="exact"/>
        <w:ind w:firstLine="440" w:firstLineChars="200"/>
        <w:jc w:val="left"/>
        <w:rPr>
          <w:rFonts w:ascii="宋体" w:hAnsi="宋体" w:cs="宋体"/>
          <w:sz w:val="22"/>
          <w:szCs w:val="22"/>
          <w:highlight w:val="none"/>
        </w:rPr>
      </w:pPr>
      <w:r>
        <w:rPr>
          <w:rFonts w:hint="eastAsia" w:ascii="宋体" w:hAnsi="宋体" w:cs="宋体"/>
          <w:sz w:val="22"/>
          <w:szCs w:val="22"/>
          <w:highlight w:val="none"/>
        </w:rPr>
        <w:t>4.特种作业人员持证上岗，人证合一（须提供承诺函并加盖单位公章）。</w:t>
      </w:r>
    </w:p>
    <w:p w14:paraId="0A8AD7A1">
      <w:pPr>
        <w:autoSpaceDE w:val="0"/>
        <w:autoSpaceDN w:val="0"/>
        <w:adjustRightInd w:val="0"/>
        <w:spacing w:line="520" w:lineRule="exact"/>
        <w:ind w:right="60"/>
        <w:jc w:val="left"/>
        <w:rPr>
          <w:rFonts w:ascii="宋体" w:hAnsi="宋体"/>
          <w:sz w:val="22"/>
          <w:szCs w:val="22"/>
          <w:highlight w:val="none"/>
        </w:rPr>
      </w:pPr>
    </w:p>
    <w:p w14:paraId="7AD0059C">
      <w:pPr>
        <w:autoSpaceDE w:val="0"/>
        <w:autoSpaceDN w:val="0"/>
        <w:adjustRightInd w:val="0"/>
        <w:spacing w:line="520" w:lineRule="exact"/>
        <w:ind w:right="60"/>
        <w:jc w:val="left"/>
        <w:rPr>
          <w:rFonts w:ascii="宋体" w:hAnsi="宋体"/>
          <w:sz w:val="22"/>
          <w:szCs w:val="22"/>
          <w:highlight w:val="none"/>
        </w:rPr>
        <w:sectPr>
          <w:footerReference r:id="rId6" w:type="default"/>
          <w:pgSz w:w="11907" w:h="16840"/>
          <w:pgMar w:top="1134" w:right="1134" w:bottom="1134" w:left="1134" w:header="964" w:footer="851" w:gutter="0"/>
          <w:pgNumType w:fmt="decimal" w:start="1"/>
          <w:cols w:space="720" w:num="1"/>
          <w:docGrid w:type="lines" w:linePitch="312" w:charSpace="0"/>
        </w:sectPr>
      </w:pPr>
    </w:p>
    <w:p w14:paraId="5BE6AF2D">
      <w:pPr>
        <w:pStyle w:val="23"/>
        <w:numPr>
          <w:ilvl w:val="0"/>
          <w:numId w:val="3"/>
        </w:numPr>
        <w:rPr>
          <w:highlight w:val="none"/>
        </w:rPr>
      </w:pPr>
      <w:bookmarkStart w:id="28" w:name="_Toc50128378"/>
      <w:r>
        <w:rPr>
          <w:rFonts w:hint="eastAsia"/>
          <w:highlight w:val="none"/>
        </w:rPr>
        <w:t xml:space="preserve"> </w:t>
      </w:r>
      <w:bookmarkStart w:id="29" w:name="_Toc15647"/>
      <w:r>
        <w:rPr>
          <w:rFonts w:hint="eastAsia"/>
          <w:highlight w:val="none"/>
        </w:rPr>
        <w:t>投标人须知</w:t>
      </w:r>
      <w:bookmarkEnd w:id="28"/>
      <w:bookmarkEnd w:id="29"/>
    </w:p>
    <w:p w14:paraId="49C46E87">
      <w:pPr>
        <w:pStyle w:val="12"/>
        <w:spacing w:after="0" w:line="440" w:lineRule="exact"/>
        <w:ind w:firstLine="0" w:firstLineChars="0"/>
        <w:jc w:val="center"/>
        <w:outlineLvl w:val="2"/>
        <w:rPr>
          <w:rFonts w:ascii="宋体" w:hAnsi="宋体" w:cs="宋体"/>
          <w:b/>
          <w:bCs/>
          <w:sz w:val="22"/>
          <w:szCs w:val="22"/>
          <w:highlight w:val="none"/>
        </w:rPr>
      </w:pPr>
      <w:bookmarkStart w:id="30" w:name="_Toc5062"/>
      <w:r>
        <w:rPr>
          <w:rFonts w:hint="eastAsia" w:ascii="宋体" w:hAnsi="宋体" w:cs="宋体"/>
          <w:b/>
          <w:bCs/>
          <w:sz w:val="22"/>
          <w:szCs w:val="22"/>
          <w:highlight w:val="none"/>
        </w:rPr>
        <w:t>投标人须知前附表</w:t>
      </w:r>
      <w:bookmarkEnd w:id="30"/>
    </w:p>
    <w:p w14:paraId="7E7A31E1">
      <w:pPr>
        <w:pStyle w:val="12"/>
        <w:spacing w:after="0" w:line="440" w:lineRule="exact"/>
        <w:ind w:firstLine="0" w:firstLineChars="0"/>
        <w:jc w:val="center"/>
        <w:rPr>
          <w:rFonts w:ascii="宋体" w:hAnsi="宋体" w:cs="宋体"/>
          <w:b/>
          <w:bCs/>
          <w:sz w:val="22"/>
          <w:szCs w:val="22"/>
          <w:highlight w:val="none"/>
        </w:rPr>
      </w:pPr>
    </w:p>
    <w:tbl>
      <w:tblPr>
        <w:tblStyle w:val="30"/>
        <w:tblpPr w:leftFromText="180" w:rightFromText="180" w:vertAnchor="text" w:horzAnchor="margin" w:tblpY="286"/>
        <w:tblOverlap w:val="never"/>
        <w:tblW w:w="8998" w:type="dxa"/>
        <w:tblInd w:w="0" w:type="dxa"/>
        <w:tblLayout w:type="fixed"/>
        <w:tblCellMar>
          <w:top w:w="0" w:type="dxa"/>
          <w:left w:w="108" w:type="dxa"/>
          <w:bottom w:w="0" w:type="dxa"/>
          <w:right w:w="108" w:type="dxa"/>
        </w:tblCellMar>
      </w:tblPr>
      <w:tblGrid>
        <w:gridCol w:w="867"/>
        <w:gridCol w:w="1560"/>
        <w:gridCol w:w="6571"/>
      </w:tblGrid>
      <w:tr w14:paraId="42698349">
        <w:tblPrEx>
          <w:tblCellMar>
            <w:top w:w="0" w:type="dxa"/>
            <w:left w:w="108" w:type="dxa"/>
            <w:bottom w:w="0" w:type="dxa"/>
            <w:right w:w="108" w:type="dxa"/>
          </w:tblCellMar>
        </w:tblPrEx>
        <w:trPr>
          <w:trHeight w:val="692" w:hRule="exact"/>
        </w:trPr>
        <w:tc>
          <w:tcPr>
            <w:tcW w:w="867" w:type="dxa"/>
            <w:tcBorders>
              <w:top w:val="single" w:color="auto" w:sz="4" w:space="0"/>
              <w:left w:val="single" w:color="auto" w:sz="4" w:space="0"/>
              <w:bottom w:val="single" w:color="auto" w:sz="4" w:space="0"/>
              <w:right w:val="single" w:color="auto" w:sz="4" w:space="0"/>
            </w:tcBorders>
            <w:vAlign w:val="center"/>
          </w:tcPr>
          <w:p w14:paraId="0B48A107">
            <w:pPr>
              <w:spacing w:line="320" w:lineRule="exact"/>
              <w:jc w:val="center"/>
              <w:rPr>
                <w:rFonts w:ascii="宋体" w:hAnsi="宋体" w:cs="宋体"/>
                <w:b/>
                <w:bCs/>
                <w:kern w:val="0"/>
                <w:szCs w:val="21"/>
                <w:highlight w:val="none"/>
              </w:rPr>
            </w:pPr>
            <w:r>
              <w:rPr>
                <w:rFonts w:hint="eastAsia" w:ascii="宋体" w:hAnsi="宋体" w:cs="宋体"/>
                <w:b/>
                <w:bCs/>
                <w:kern w:val="0"/>
                <w:szCs w:val="21"/>
                <w:highlight w:val="none"/>
              </w:rPr>
              <w:t>序号</w:t>
            </w:r>
          </w:p>
        </w:tc>
        <w:tc>
          <w:tcPr>
            <w:tcW w:w="1560" w:type="dxa"/>
            <w:tcBorders>
              <w:top w:val="single" w:color="auto" w:sz="4" w:space="0"/>
              <w:left w:val="single" w:color="auto" w:sz="4" w:space="0"/>
              <w:bottom w:val="single" w:color="auto" w:sz="4" w:space="0"/>
              <w:right w:val="single" w:color="auto" w:sz="4" w:space="0"/>
            </w:tcBorders>
            <w:vAlign w:val="center"/>
          </w:tcPr>
          <w:p w14:paraId="1F693C76">
            <w:pPr>
              <w:spacing w:line="320" w:lineRule="exact"/>
              <w:jc w:val="center"/>
              <w:rPr>
                <w:rFonts w:ascii="宋体" w:hAnsi="宋体" w:cs="宋体"/>
                <w:b/>
                <w:bCs/>
                <w:kern w:val="0"/>
                <w:szCs w:val="21"/>
                <w:highlight w:val="none"/>
              </w:rPr>
            </w:pPr>
            <w:r>
              <w:rPr>
                <w:rFonts w:hint="eastAsia" w:ascii="宋体" w:hAnsi="宋体" w:cs="宋体"/>
                <w:b/>
                <w:bCs/>
                <w:kern w:val="0"/>
                <w:szCs w:val="21"/>
                <w:highlight w:val="none"/>
              </w:rPr>
              <w:t>条款名称</w:t>
            </w:r>
          </w:p>
        </w:tc>
        <w:tc>
          <w:tcPr>
            <w:tcW w:w="6571" w:type="dxa"/>
            <w:tcBorders>
              <w:top w:val="single" w:color="auto" w:sz="4" w:space="0"/>
              <w:left w:val="single" w:color="auto" w:sz="4" w:space="0"/>
              <w:bottom w:val="single" w:color="auto" w:sz="4" w:space="0"/>
              <w:right w:val="single" w:color="auto" w:sz="4" w:space="0"/>
            </w:tcBorders>
            <w:vAlign w:val="center"/>
          </w:tcPr>
          <w:p w14:paraId="3EBA1512">
            <w:pPr>
              <w:spacing w:line="320" w:lineRule="exact"/>
              <w:jc w:val="center"/>
              <w:rPr>
                <w:rFonts w:ascii="宋体" w:hAnsi="宋体" w:cs="宋体"/>
                <w:b/>
                <w:bCs/>
                <w:kern w:val="0"/>
                <w:szCs w:val="21"/>
                <w:highlight w:val="none"/>
              </w:rPr>
            </w:pPr>
            <w:r>
              <w:rPr>
                <w:rFonts w:hint="eastAsia" w:ascii="宋体" w:hAnsi="宋体" w:cs="宋体"/>
                <w:b/>
                <w:bCs/>
                <w:kern w:val="0"/>
                <w:szCs w:val="21"/>
                <w:highlight w:val="none"/>
              </w:rPr>
              <w:t>编列内容</w:t>
            </w:r>
          </w:p>
        </w:tc>
      </w:tr>
      <w:tr w14:paraId="47173A32">
        <w:tblPrEx>
          <w:tblCellMar>
            <w:top w:w="0" w:type="dxa"/>
            <w:left w:w="108" w:type="dxa"/>
            <w:bottom w:w="0" w:type="dxa"/>
            <w:right w:w="108" w:type="dxa"/>
          </w:tblCellMar>
        </w:tblPrEx>
        <w:trPr>
          <w:trHeight w:val="1068" w:hRule="atLeast"/>
        </w:trPr>
        <w:tc>
          <w:tcPr>
            <w:tcW w:w="867" w:type="dxa"/>
            <w:tcBorders>
              <w:top w:val="single" w:color="auto" w:sz="4" w:space="0"/>
              <w:left w:val="single" w:color="auto" w:sz="4" w:space="0"/>
              <w:bottom w:val="single" w:color="auto" w:sz="4" w:space="0"/>
              <w:right w:val="single" w:color="auto" w:sz="4" w:space="0"/>
            </w:tcBorders>
            <w:vAlign w:val="center"/>
          </w:tcPr>
          <w:p w14:paraId="46401065">
            <w:pPr>
              <w:widowControl/>
              <w:spacing w:line="440" w:lineRule="exact"/>
              <w:jc w:val="center"/>
              <w:rPr>
                <w:rFonts w:ascii="宋体" w:hAnsi="宋体" w:cs="宋体"/>
                <w:bCs/>
                <w:kern w:val="0"/>
                <w:sz w:val="22"/>
                <w:szCs w:val="22"/>
                <w:highlight w:val="none"/>
              </w:rPr>
            </w:pPr>
            <w:r>
              <w:rPr>
                <w:rFonts w:hint="eastAsia" w:ascii="宋体" w:hAnsi="宋体" w:cs="宋体"/>
                <w:bCs/>
                <w:kern w:val="0"/>
                <w:sz w:val="22"/>
                <w:szCs w:val="22"/>
                <w:highlight w:val="none"/>
              </w:rPr>
              <w:t>1</w:t>
            </w:r>
          </w:p>
        </w:tc>
        <w:tc>
          <w:tcPr>
            <w:tcW w:w="1560" w:type="dxa"/>
            <w:tcBorders>
              <w:top w:val="single" w:color="auto" w:sz="4" w:space="0"/>
              <w:left w:val="single" w:color="auto" w:sz="4" w:space="0"/>
              <w:bottom w:val="single" w:color="auto" w:sz="4" w:space="0"/>
              <w:right w:val="single" w:color="auto" w:sz="4" w:space="0"/>
            </w:tcBorders>
            <w:vAlign w:val="center"/>
          </w:tcPr>
          <w:p w14:paraId="2C50E6DA">
            <w:pPr>
              <w:widowControl/>
              <w:spacing w:line="440" w:lineRule="exact"/>
              <w:jc w:val="left"/>
              <w:rPr>
                <w:rFonts w:ascii="宋体" w:hAnsi="宋体" w:cs="宋体"/>
                <w:bCs/>
                <w:kern w:val="0"/>
                <w:sz w:val="22"/>
                <w:szCs w:val="22"/>
                <w:highlight w:val="none"/>
              </w:rPr>
            </w:pPr>
            <w:r>
              <w:rPr>
                <w:rFonts w:hint="eastAsia" w:ascii="宋体" w:hAnsi="宋体" w:cs="宋体"/>
                <w:bCs/>
                <w:kern w:val="0"/>
                <w:sz w:val="22"/>
                <w:szCs w:val="22"/>
                <w:highlight w:val="none"/>
              </w:rPr>
              <w:t>招标人</w:t>
            </w:r>
          </w:p>
        </w:tc>
        <w:tc>
          <w:tcPr>
            <w:tcW w:w="6571" w:type="dxa"/>
            <w:tcBorders>
              <w:top w:val="single" w:color="auto" w:sz="4" w:space="0"/>
              <w:left w:val="single" w:color="auto" w:sz="4" w:space="0"/>
              <w:bottom w:val="single" w:color="auto" w:sz="4" w:space="0"/>
              <w:right w:val="single" w:color="auto" w:sz="4" w:space="0"/>
            </w:tcBorders>
            <w:vAlign w:val="center"/>
          </w:tcPr>
          <w:p w14:paraId="237CBDCC">
            <w:pPr>
              <w:widowControl/>
              <w:spacing w:line="440" w:lineRule="exact"/>
              <w:jc w:val="left"/>
              <w:rPr>
                <w:rFonts w:ascii="宋体" w:hAnsi="宋体" w:cs="宋体"/>
                <w:bCs/>
                <w:kern w:val="0"/>
                <w:sz w:val="22"/>
                <w:szCs w:val="22"/>
                <w:highlight w:val="none"/>
              </w:rPr>
            </w:pPr>
            <w:r>
              <w:rPr>
                <w:rFonts w:hint="eastAsia" w:ascii="宋体" w:hAnsi="宋体" w:cs="宋体"/>
                <w:bCs/>
                <w:kern w:val="0"/>
                <w:sz w:val="22"/>
                <w:szCs w:val="22"/>
                <w:highlight w:val="none"/>
              </w:rPr>
              <w:t>名  称：温州港集团有限公司龙湾港务分公司</w:t>
            </w:r>
          </w:p>
          <w:p w14:paraId="572C4615">
            <w:pPr>
              <w:widowControl/>
              <w:spacing w:line="440" w:lineRule="exact"/>
              <w:jc w:val="left"/>
              <w:rPr>
                <w:rFonts w:ascii="宋体" w:hAnsi="宋体" w:cs="宋体"/>
                <w:bCs/>
                <w:kern w:val="0"/>
                <w:sz w:val="22"/>
                <w:szCs w:val="22"/>
                <w:highlight w:val="none"/>
              </w:rPr>
            </w:pPr>
            <w:r>
              <w:rPr>
                <w:rFonts w:hint="eastAsia" w:ascii="宋体" w:hAnsi="宋体" w:cs="宋体"/>
                <w:bCs/>
                <w:kern w:val="0"/>
                <w:sz w:val="22"/>
                <w:szCs w:val="22"/>
                <w:highlight w:val="none"/>
              </w:rPr>
              <w:t>联系人：高先生</w:t>
            </w:r>
          </w:p>
          <w:p w14:paraId="6E23AE95">
            <w:pPr>
              <w:widowControl/>
              <w:spacing w:line="440" w:lineRule="exact"/>
              <w:jc w:val="left"/>
              <w:rPr>
                <w:rFonts w:ascii="宋体" w:hAnsi="宋体" w:cs="宋体"/>
                <w:bCs/>
                <w:kern w:val="0"/>
                <w:sz w:val="22"/>
                <w:szCs w:val="22"/>
                <w:highlight w:val="none"/>
              </w:rPr>
            </w:pPr>
            <w:r>
              <w:rPr>
                <w:rFonts w:hint="eastAsia" w:ascii="宋体" w:hAnsi="宋体" w:cs="宋体"/>
                <w:bCs/>
                <w:kern w:val="0"/>
                <w:sz w:val="22"/>
                <w:szCs w:val="22"/>
                <w:highlight w:val="none"/>
              </w:rPr>
              <w:t>联系方式：0577-56669872</w:t>
            </w:r>
            <w:bookmarkStart w:id="121" w:name="_GoBack"/>
            <w:bookmarkEnd w:id="121"/>
          </w:p>
        </w:tc>
      </w:tr>
      <w:tr w14:paraId="5EF29545">
        <w:tblPrEx>
          <w:tblCellMar>
            <w:top w:w="0" w:type="dxa"/>
            <w:left w:w="108" w:type="dxa"/>
            <w:bottom w:w="0" w:type="dxa"/>
            <w:right w:w="108" w:type="dxa"/>
          </w:tblCellMar>
        </w:tblPrEx>
        <w:trPr>
          <w:trHeight w:val="685" w:hRule="atLeast"/>
        </w:trPr>
        <w:tc>
          <w:tcPr>
            <w:tcW w:w="867" w:type="dxa"/>
            <w:tcBorders>
              <w:top w:val="single" w:color="auto" w:sz="4" w:space="0"/>
              <w:left w:val="single" w:color="auto" w:sz="4" w:space="0"/>
              <w:bottom w:val="single" w:color="auto" w:sz="4" w:space="0"/>
              <w:right w:val="single" w:color="auto" w:sz="4" w:space="0"/>
            </w:tcBorders>
            <w:vAlign w:val="center"/>
          </w:tcPr>
          <w:p w14:paraId="4210F759">
            <w:pPr>
              <w:widowControl/>
              <w:spacing w:line="440" w:lineRule="exact"/>
              <w:jc w:val="center"/>
              <w:rPr>
                <w:rFonts w:ascii="宋体" w:hAnsi="宋体" w:cs="宋体"/>
                <w:bCs/>
                <w:kern w:val="0"/>
                <w:sz w:val="22"/>
                <w:szCs w:val="22"/>
                <w:highlight w:val="none"/>
              </w:rPr>
            </w:pPr>
            <w:r>
              <w:rPr>
                <w:rFonts w:hint="eastAsia" w:ascii="宋体" w:hAnsi="宋体" w:cs="宋体"/>
                <w:bCs/>
                <w:kern w:val="0"/>
                <w:sz w:val="22"/>
                <w:szCs w:val="22"/>
                <w:highlight w:val="none"/>
              </w:rPr>
              <w:t>2</w:t>
            </w:r>
          </w:p>
        </w:tc>
        <w:tc>
          <w:tcPr>
            <w:tcW w:w="1560" w:type="dxa"/>
            <w:tcBorders>
              <w:top w:val="single" w:color="auto" w:sz="4" w:space="0"/>
              <w:left w:val="single" w:color="auto" w:sz="4" w:space="0"/>
              <w:bottom w:val="single" w:color="auto" w:sz="4" w:space="0"/>
              <w:right w:val="single" w:color="auto" w:sz="4" w:space="0"/>
            </w:tcBorders>
            <w:vAlign w:val="center"/>
          </w:tcPr>
          <w:p w14:paraId="2D76A72D">
            <w:pPr>
              <w:widowControl/>
              <w:spacing w:line="440" w:lineRule="exact"/>
              <w:jc w:val="left"/>
              <w:rPr>
                <w:rFonts w:ascii="宋体" w:hAnsi="宋体" w:cs="宋体"/>
                <w:bCs/>
                <w:kern w:val="0"/>
                <w:sz w:val="22"/>
                <w:szCs w:val="22"/>
                <w:highlight w:val="none"/>
              </w:rPr>
            </w:pPr>
            <w:r>
              <w:rPr>
                <w:rFonts w:hint="eastAsia" w:ascii="宋体" w:hAnsi="宋体" w:cs="宋体"/>
                <w:bCs/>
                <w:kern w:val="0"/>
                <w:sz w:val="22"/>
                <w:szCs w:val="22"/>
                <w:highlight w:val="none"/>
              </w:rPr>
              <w:t>招标代理机构</w:t>
            </w:r>
          </w:p>
        </w:tc>
        <w:tc>
          <w:tcPr>
            <w:tcW w:w="6571" w:type="dxa"/>
            <w:tcBorders>
              <w:top w:val="single" w:color="auto" w:sz="4" w:space="0"/>
              <w:left w:val="single" w:color="auto" w:sz="4" w:space="0"/>
              <w:bottom w:val="single" w:color="auto" w:sz="4" w:space="0"/>
              <w:right w:val="single" w:color="auto" w:sz="4" w:space="0"/>
            </w:tcBorders>
            <w:vAlign w:val="center"/>
          </w:tcPr>
          <w:p w14:paraId="3114C2C7">
            <w:pPr>
              <w:widowControl/>
              <w:spacing w:line="440" w:lineRule="exact"/>
              <w:jc w:val="left"/>
              <w:rPr>
                <w:rFonts w:ascii="宋体" w:hAnsi="宋体" w:cs="宋体"/>
                <w:bCs/>
                <w:kern w:val="0"/>
                <w:sz w:val="22"/>
                <w:szCs w:val="22"/>
                <w:highlight w:val="none"/>
              </w:rPr>
            </w:pPr>
            <w:r>
              <w:rPr>
                <w:rFonts w:hint="eastAsia" w:ascii="宋体" w:hAnsi="宋体" w:cs="宋体"/>
                <w:bCs/>
                <w:kern w:val="0"/>
                <w:sz w:val="22"/>
                <w:szCs w:val="22"/>
                <w:highlight w:val="none"/>
              </w:rPr>
              <w:t>名  称：华信咨询设计研究院有限公司</w:t>
            </w:r>
          </w:p>
          <w:p w14:paraId="455808F4">
            <w:pPr>
              <w:widowControl/>
              <w:spacing w:line="440" w:lineRule="exact"/>
              <w:jc w:val="left"/>
              <w:rPr>
                <w:rFonts w:ascii="宋体" w:hAnsi="宋体" w:cs="宋体"/>
                <w:bCs/>
                <w:kern w:val="0"/>
                <w:sz w:val="22"/>
                <w:szCs w:val="22"/>
                <w:highlight w:val="none"/>
              </w:rPr>
            </w:pPr>
            <w:r>
              <w:rPr>
                <w:rFonts w:hint="eastAsia" w:ascii="宋体" w:hAnsi="宋体" w:cs="宋体"/>
                <w:bCs/>
                <w:kern w:val="0"/>
                <w:sz w:val="22"/>
                <w:szCs w:val="22"/>
                <w:highlight w:val="none"/>
              </w:rPr>
              <w:t>联系人：尚云飞、羊奕杭、王鑫霖</w:t>
            </w:r>
          </w:p>
          <w:p w14:paraId="1DCB9C0F">
            <w:pPr>
              <w:widowControl/>
              <w:spacing w:line="440" w:lineRule="exact"/>
              <w:jc w:val="left"/>
              <w:rPr>
                <w:rFonts w:ascii="宋体" w:hAnsi="宋体" w:cs="宋体"/>
                <w:bCs/>
                <w:kern w:val="0"/>
                <w:sz w:val="22"/>
                <w:szCs w:val="22"/>
                <w:highlight w:val="none"/>
              </w:rPr>
            </w:pPr>
            <w:r>
              <w:rPr>
                <w:rFonts w:hint="eastAsia" w:ascii="宋体" w:hAnsi="宋体" w:cs="宋体"/>
                <w:bCs/>
                <w:kern w:val="0"/>
                <w:sz w:val="22"/>
                <w:szCs w:val="22"/>
                <w:highlight w:val="none"/>
              </w:rPr>
              <w:t>联系电话：15225996022、15257143905</w:t>
            </w:r>
          </w:p>
        </w:tc>
      </w:tr>
      <w:tr w14:paraId="15716215">
        <w:tblPrEx>
          <w:tblCellMar>
            <w:top w:w="0" w:type="dxa"/>
            <w:left w:w="108" w:type="dxa"/>
            <w:bottom w:w="0" w:type="dxa"/>
            <w:right w:w="108" w:type="dxa"/>
          </w:tblCellMar>
        </w:tblPrEx>
        <w:trPr>
          <w:trHeight w:val="685" w:hRule="atLeast"/>
        </w:trPr>
        <w:tc>
          <w:tcPr>
            <w:tcW w:w="867" w:type="dxa"/>
            <w:tcBorders>
              <w:top w:val="single" w:color="auto" w:sz="4" w:space="0"/>
              <w:left w:val="single" w:color="auto" w:sz="4" w:space="0"/>
              <w:bottom w:val="single" w:color="auto" w:sz="4" w:space="0"/>
              <w:right w:val="single" w:color="auto" w:sz="4" w:space="0"/>
            </w:tcBorders>
            <w:vAlign w:val="center"/>
          </w:tcPr>
          <w:p w14:paraId="11374D27">
            <w:pPr>
              <w:widowControl/>
              <w:spacing w:line="440" w:lineRule="exact"/>
              <w:jc w:val="center"/>
              <w:rPr>
                <w:rFonts w:ascii="宋体" w:hAnsi="宋体" w:cs="宋体"/>
                <w:bCs/>
                <w:kern w:val="0"/>
                <w:sz w:val="22"/>
                <w:szCs w:val="22"/>
                <w:highlight w:val="none"/>
              </w:rPr>
            </w:pPr>
            <w:r>
              <w:rPr>
                <w:rFonts w:hint="eastAsia" w:ascii="宋体" w:hAnsi="宋体" w:cs="宋体"/>
                <w:bCs/>
                <w:kern w:val="0"/>
                <w:sz w:val="22"/>
                <w:szCs w:val="22"/>
                <w:highlight w:val="none"/>
              </w:rPr>
              <w:t>3</w:t>
            </w:r>
          </w:p>
        </w:tc>
        <w:tc>
          <w:tcPr>
            <w:tcW w:w="1560" w:type="dxa"/>
            <w:tcBorders>
              <w:top w:val="single" w:color="auto" w:sz="4" w:space="0"/>
              <w:left w:val="single" w:color="auto" w:sz="4" w:space="0"/>
              <w:bottom w:val="single" w:color="auto" w:sz="4" w:space="0"/>
              <w:right w:val="single" w:color="auto" w:sz="4" w:space="0"/>
            </w:tcBorders>
            <w:vAlign w:val="center"/>
          </w:tcPr>
          <w:p w14:paraId="595A7C46">
            <w:pPr>
              <w:widowControl/>
              <w:spacing w:line="440" w:lineRule="exact"/>
              <w:jc w:val="left"/>
              <w:rPr>
                <w:rFonts w:ascii="宋体" w:hAnsi="宋体" w:cs="宋体"/>
                <w:bCs/>
                <w:kern w:val="0"/>
                <w:sz w:val="22"/>
                <w:szCs w:val="22"/>
                <w:highlight w:val="none"/>
              </w:rPr>
            </w:pPr>
            <w:r>
              <w:rPr>
                <w:rFonts w:hint="eastAsia" w:ascii="宋体" w:hAnsi="宋体" w:cs="宋体"/>
                <w:bCs/>
                <w:kern w:val="0"/>
                <w:sz w:val="22"/>
                <w:szCs w:val="22"/>
                <w:highlight w:val="none"/>
              </w:rPr>
              <w:t>项目名称</w:t>
            </w:r>
          </w:p>
        </w:tc>
        <w:tc>
          <w:tcPr>
            <w:tcW w:w="6571" w:type="dxa"/>
            <w:tcBorders>
              <w:top w:val="single" w:color="auto" w:sz="4" w:space="0"/>
              <w:left w:val="single" w:color="auto" w:sz="4" w:space="0"/>
              <w:bottom w:val="single" w:color="auto" w:sz="4" w:space="0"/>
              <w:right w:val="single" w:color="auto" w:sz="4" w:space="0"/>
            </w:tcBorders>
            <w:vAlign w:val="center"/>
          </w:tcPr>
          <w:p w14:paraId="3B48F151">
            <w:pPr>
              <w:widowControl/>
              <w:spacing w:line="440" w:lineRule="exact"/>
              <w:jc w:val="left"/>
              <w:rPr>
                <w:rFonts w:ascii="宋体" w:hAnsi="宋体" w:cs="宋体"/>
                <w:bCs/>
                <w:kern w:val="0"/>
                <w:sz w:val="22"/>
                <w:szCs w:val="22"/>
                <w:highlight w:val="none"/>
              </w:rPr>
            </w:pPr>
            <w:r>
              <w:rPr>
                <w:rFonts w:hint="eastAsia" w:ascii="宋体" w:hAnsi="宋体" w:cs="宋体"/>
                <w:kern w:val="0"/>
                <w:sz w:val="22"/>
                <w:szCs w:val="22"/>
                <w:highlight w:val="none"/>
                <w:lang w:val="zh-CN"/>
              </w:rPr>
              <w:t>温州港集团有限公司龙湾港务分公司35吨门机回转支承更换及16吨门机臂架头部铰点维修</w:t>
            </w:r>
          </w:p>
        </w:tc>
      </w:tr>
      <w:tr w14:paraId="4FFD675C">
        <w:tblPrEx>
          <w:tblCellMar>
            <w:top w:w="0" w:type="dxa"/>
            <w:left w:w="108" w:type="dxa"/>
            <w:bottom w:w="0" w:type="dxa"/>
            <w:right w:w="108" w:type="dxa"/>
          </w:tblCellMar>
        </w:tblPrEx>
        <w:trPr>
          <w:trHeight w:val="559" w:hRule="atLeast"/>
        </w:trPr>
        <w:tc>
          <w:tcPr>
            <w:tcW w:w="867" w:type="dxa"/>
            <w:tcBorders>
              <w:top w:val="single" w:color="auto" w:sz="4" w:space="0"/>
              <w:left w:val="single" w:color="auto" w:sz="4" w:space="0"/>
              <w:bottom w:val="single" w:color="auto" w:sz="4" w:space="0"/>
              <w:right w:val="single" w:color="auto" w:sz="4" w:space="0"/>
            </w:tcBorders>
            <w:vAlign w:val="center"/>
          </w:tcPr>
          <w:p w14:paraId="716030F1">
            <w:pPr>
              <w:widowControl/>
              <w:spacing w:line="440" w:lineRule="exact"/>
              <w:jc w:val="center"/>
              <w:rPr>
                <w:rFonts w:ascii="宋体" w:hAnsi="宋体" w:cs="宋体"/>
                <w:bCs/>
                <w:kern w:val="0"/>
                <w:sz w:val="22"/>
                <w:szCs w:val="22"/>
                <w:highlight w:val="none"/>
              </w:rPr>
            </w:pPr>
            <w:r>
              <w:rPr>
                <w:rFonts w:hint="eastAsia" w:ascii="宋体" w:hAnsi="宋体" w:cs="宋体"/>
                <w:bCs/>
                <w:kern w:val="0"/>
                <w:sz w:val="22"/>
                <w:szCs w:val="22"/>
                <w:highlight w:val="none"/>
              </w:rPr>
              <w:t>4</w:t>
            </w:r>
          </w:p>
        </w:tc>
        <w:tc>
          <w:tcPr>
            <w:tcW w:w="1560" w:type="dxa"/>
            <w:tcBorders>
              <w:top w:val="single" w:color="auto" w:sz="4" w:space="0"/>
              <w:left w:val="single" w:color="auto" w:sz="4" w:space="0"/>
              <w:bottom w:val="single" w:color="auto" w:sz="4" w:space="0"/>
              <w:right w:val="single" w:color="auto" w:sz="4" w:space="0"/>
            </w:tcBorders>
            <w:vAlign w:val="center"/>
          </w:tcPr>
          <w:p w14:paraId="50DADABB">
            <w:pPr>
              <w:widowControl/>
              <w:spacing w:line="440" w:lineRule="exact"/>
              <w:jc w:val="left"/>
              <w:rPr>
                <w:rFonts w:ascii="宋体" w:hAnsi="宋体" w:cs="宋体"/>
                <w:bCs/>
                <w:kern w:val="0"/>
                <w:sz w:val="22"/>
                <w:szCs w:val="22"/>
                <w:highlight w:val="none"/>
              </w:rPr>
            </w:pPr>
            <w:r>
              <w:rPr>
                <w:rFonts w:hint="eastAsia" w:ascii="宋体" w:hAnsi="宋体" w:cs="宋体"/>
                <w:bCs/>
                <w:kern w:val="0"/>
                <w:sz w:val="22"/>
                <w:szCs w:val="22"/>
                <w:highlight w:val="none"/>
              </w:rPr>
              <w:t>项目概况</w:t>
            </w:r>
          </w:p>
        </w:tc>
        <w:tc>
          <w:tcPr>
            <w:tcW w:w="6571" w:type="dxa"/>
            <w:tcBorders>
              <w:top w:val="single" w:color="auto" w:sz="4" w:space="0"/>
              <w:left w:val="single" w:color="auto" w:sz="4" w:space="0"/>
              <w:bottom w:val="single" w:color="auto" w:sz="4" w:space="0"/>
              <w:right w:val="single" w:color="auto" w:sz="4" w:space="0"/>
            </w:tcBorders>
            <w:vAlign w:val="center"/>
          </w:tcPr>
          <w:p w14:paraId="7458D311">
            <w:pPr>
              <w:pStyle w:val="12"/>
              <w:spacing w:after="0" w:line="440" w:lineRule="exact"/>
              <w:ind w:firstLine="0" w:firstLineChars="0"/>
              <w:jc w:val="left"/>
              <w:rPr>
                <w:rFonts w:ascii="宋体" w:hAnsi="宋体" w:cs="宋体"/>
                <w:sz w:val="22"/>
                <w:szCs w:val="22"/>
                <w:highlight w:val="none"/>
                <w:lang w:val="zh-CN"/>
              </w:rPr>
            </w:pPr>
            <w:r>
              <w:rPr>
                <w:rFonts w:hint="eastAsia" w:ascii="宋体" w:hAnsi="宋体" w:cs="宋体"/>
                <w:sz w:val="22"/>
                <w:szCs w:val="22"/>
                <w:highlight w:val="none"/>
                <w:lang w:val="zh-CN"/>
              </w:rPr>
              <w:t>本项目为温州港集团有限公司龙湾港务分公司35吨门机回转支承更换以及16吨门机臂架头部铰点维修，需对35吨门机回转支承进行更换，具体工作内容包括但不限于：门机回转支承及连接螺栓的拆卸与更换、回转减速箱的拆除与安装、现场清理及与回转支承更换有关的其它工作；需对16吨门机臂架头部铰点进行维修，更换铰点处轴、轴承、轴套及其相关部件。本项目为交钥匙工程，本次报价是包含招标文件规定的完成本项目所需的人工费、材料费、汽车吊租赁费、保险费、调试、施工方案审查费、检测检验费、13%增值税税金及项目涉及的一切服务和辅材等全部工作的总费用（含平台交易服务费）。现场安装、调试所需叉车、用电、用水、齿轮油、锂基脂均不含在投标报价内，由招标人负</w:t>
            </w:r>
            <w:r>
              <w:rPr>
                <w:rFonts w:hint="eastAsia" w:ascii="宋体" w:hAnsi="宋体" w:cs="宋体"/>
                <w:sz w:val="22"/>
                <w:szCs w:val="22"/>
                <w:highlight w:val="none"/>
                <w:lang w:val="en-US" w:eastAsia="zh-CN"/>
              </w:rPr>
              <w:t>责</w:t>
            </w:r>
            <w:r>
              <w:rPr>
                <w:rFonts w:hint="eastAsia" w:ascii="宋体" w:hAnsi="宋体" w:cs="宋体"/>
                <w:sz w:val="22"/>
                <w:szCs w:val="22"/>
                <w:highlight w:val="none"/>
                <w:lang w:val="zh-CN"/>
              </w:rPr>
              <w:t>。招标人不再另行支付其它任何费用。（详见招标文件第二章招标需求）</w:t>
            </w:r>
          </w:p>
        </w:tc>
      </w:tr>
      <w:tr w14:paraId="18E304B5">
        <w:tblPrEx>
          <w:tblCellMar>
            <w:top w:w="0" w:type="dxa"/>
            <w:left w:w="108" w:type="dxa"/>
            <w:bottom w:w="0" w:type="dxa"/>
            <w:right w:w="108" w:type="dxa"/>
          </w:tblCellMar>
        </w:tblPrEx>
        <w:trPr>
          <w:trHeight w:val="646" w:hRule="atLeast"/>
        </w:trPr>
        <w:tc>
          <w:tcPr>
            <w:tcW w:w="867" w:type="dxa"/>
            <w:tcBorders>
              <w:top w:val="single" w:color="auto" w:sz="4" w:space="0"/>
              <w:left w:val="single" w:color="auto" w:sz="4" w:space="0"/>
              <w:bottom w:val="single" w:color="auto" w:sz="4" w:space="0"/>
              <w:right w:val="single" w:color="auto" w:sz="4" w:space="0"/>
            </w:tcBorders>
            <w:vAlign w:val="center"/>
          </w:tcPr>
          <w:p w14:paraId="0A9A8D20">
            <w:pPr>
              <w:widowControl/>
              <w:spacing w:line="440" w:lineRule="exact"/>
              <w:jc w:val="center"/>
              <w:rPr>
                <w:rFonts w:ascii="宋体" w:hAnsi="宋体" w:cs="宋体"/>
                <w:bCs/>
                <w:kern w:val="0"/>
                <w:sz w:val="22"/>
                <w:szCs w:val="22"/>
                <w:highlight w:val="none"/>
              </w:rPr>
            </w:pPr>
            <w:r>
              <w:rPr>
                <w:rFonts w:hint="eastAsia" w:ascii="宋体" w:hAnsi="宋体" w:cs="宋体"/>
                <w:bCs/>
                <w:kern w:val="0"/>
                <w:sz w:val="22"/>
                <w:szCs w:val="22"/>
                <w:highlight w:val="none"/>
              </w:rPr>
              <w:t>5</w:t>
            </w:r>
          </w:p>
        </w:tc>
        <w:tc>
          <w:tcPr>
            <w:tcW w:w="1560" w:type="dxa"/>
            <w:tcBorders>
              <w:top w:val="single" w:color="auto" w:sz="4" w:space="0"/>
              <w:left w:val="single" w:color="auto" w:sz="4" w:space="0"/>
              <w:bottom w:val="single" w:color="auto" w:sz="4" w:space="0"/>
              <w:right w:val="single" w:color="auto" w:sz="4" w:space="0"/>
            </w:tcBorders>
            <w:shd w:val="clear" w:color="auto" w:fill="auto"/>
            <w:vAlign w:val="center"/>
          </w:tcPr>
          <w:p w14:paraId="73617A28">
            <w:pPr>
              <w:widowControl/>
              <w:spacing w:line="440" w:lineRule="exact"/>
              <w:jc w:val="left"/>
              <w:rPr>
                <w:rFonts w:ascii="宋体" w:hAnsi="宋体" w:cs="宋体"/>
                <w:bCs/>
                <w:kern w:val="0"/>
                <w:sz w:val="22"/>
                <w:szCs w:val="22"/>
                <w:highlight w:val="none"/>
              </w:rPr>
            </w:pPr>
            <w:r>
              <w:rPr>
                <w:rFonts w:hint="eastAsia" w:ascii="宋体" w:hAnsi="宋体" w:cs="宋体"/>
                <w:b/>
                <w:sz w:val="22"/>
                <w:szCs w:val="22"/>
                <w:highlight w:val="none"/>
              </w:rPr>
              <w:t>★</w:t>
            </w:r>
            <w:r>
              <w:rPr>
                <w:rFonts w:hint="eastAsia" w:ascii="宋体" w:hAnsi="宋体" w:cs="宋体"/>
                <w:bCs/>
                <w:kern w:val="0"/>
                <w:sz w:val="22"/>
                <w:szCs w:val="22"/>
                <w:highlight w:val="none"/>
              </w:rPr>
              <w:t>项目最高限价</w:t>
            </w:r>
          </w:p>
        </w:tc>
        <w:tc>
          <w:tcPr>
            <w:tcW w:w="6571" w:type="dxa"/>
            <w:tcBorders>
              <w:top w:val="single" w:color="auto" w:sz="4" w:space="0"/>
              <w:left w:val="single" w:color="auto" w:sz="4" w:space="0"/>
              <w:bottom w:val="single" w:color="auto" w:sz="4" w:space="0"/>
              <w:right w:val="single" w:color="auto" w:sz="4" w:space="0"/>
            </w:tcBorders>
            <w:shd w:val="clear" w:color="auto" w:fill="auto"/>
            <w:vAlign w:val="center"/>
          </w:tcPr>
          <w:p w14:paraId="3DB3B55C">
            <w:pPr>
              <w:spacing w:line="440" w:lineRule="exact"/>
              <w:jc w:val="left"/>
              <w:rPr>
                <w:rFonts w:ascii="宋体" w:hAnsi="宋体" w:cs="宋体"/>
                <w:b/>
                <w:kern w:val="0"/>
                <w:sz w:val="22"/>
                <w:szCs w:val="22"/>
                <w:highlight w:val="none"/>
                <w:u w:val="single"/>
              </w:rPr>
            </w:pPr>
            <w:r>
              <w:rPr>
                <w:rFonts w:hint="eastAsia" w:ascii="宋体" w:hAnsi="宋体" w:cs="宋体"/>
                <w:bCs/>
                <w:kern w:val="0"/>
                <w:sz w:val="22"/>
                <w:szCs w:val="22"/>
                <w:highlight w:val="none"/>
              </w:rPr>
              <w:t>55万元（人民币）。</w:t>
            </w:r>
          </w:p>
        </w:tc>
      </w:tr>
      <w:tr w14:paraId="57722948">
        <w:tblPrEx>
          <w:tblCellMar>
            <w:top w:w="0" w:type="dxa"/>
            <w:left w:w="108" w:type="dxa"/>
            <w:bottom w:w="0" w:type="dxa"/>
            <w:right w:w="108" w:type="dxa"/>
          </w:tblCellMar>
        </w:tblPrEx>
        <w:trPr>
          <w:trHeight w:val="646" w:hRule="atLeast"/>
        </w:trPr>
        <w:tc>
          <w:tcPr>
            <w:tcW w:w="867" w:type="dxa"/>
            <w:tcBorders>
              <w:top w:val="single" w:color="auto" w:sz="4" w:space="0"/>
              <w:left w:val="single" w:color="auto" w:sz="4" w:space="0"/>
              <w:bottom w:val="single" w:color="auto" w:sz="4" w:space="0"/>
              <w:right w:val="single" w:color="auto" w:sz="4" w:space="0"/>
            </w:tcBorders>
            <w:shd w:val="clear" w:color="auto" w:fill="auto"/>
            <w:vAlign w:val="center"/>
          </w:tcPr>
          <w:p w14:paraId="6082EAE8">
            <w:pPr>
              <w:widowControl/>
              <w:spacing w:line="440" w:lineRule="exact"/>
              <w:jc w:val="center"/>
              <w:rPr>
                <w:rFonts w:ascii="宋体" w:hAnsi="宋体" w:cs="宋体"/>
                <w:bCs/>
                <w:kern w:val="0"/>
                <w:sz w:val="22"/>
                <w:szCs w:val="22"/>
                <w:highlight w:val="none"/>
              </w:rPr>
            </w:pPr>
            <w:r>
              <w:rPr>
                <w:rFonts w:hint="eastAsia" w:ascii="宋体" w:hAnsi="宋体" w:cs="宋体"/>
                <w:bCs/>
                <w:kern w:val="0"/>
                <w:sz w:val="22"/>
                <w:szCs w:val="22"/>
                <w:highlight w:val="none"/>
              </w:rPr>
              <w:t>6</w:t>
            </w:r>
          </w:p>
        </w:tc>
        <w:tc>
          <w:tcPr>
            <w:tcW w:w="1560" w:type="dxa"/>
            <w:tcBorders>
              <w:top w:val="single" w:color="auto" w:sz="4" w:space="0"/>
              <w:left w:val="single" w:color="auto" w:sz="4" w:space="0"/>
              <w:bottom w:val="single" w:color="auto" w:sz="4" w:space="0"/>
              <w:right w:val="single" w:color="auto" w:sz="4" w:space="0"/>
            </w:tcBorders>
            <w:shd w:val="clear" w:color="auto" w:fill="auto"/>
            <w:vAlign w:val="center"/>
          </w:tcPr>
          <w:p w14:paraId="49F06B6D">
            <w:pPr>
              <w:widowControl/>
              <w:spacing w:line="440" w:lineRule="exact"/>
              <w:jc w:val="left"/>
              <w:rPr>
                <w:rFonts w:ascii="宋体" w:hAnsi="宋体" w:cs="宋体"/>
                <w:bCs/>
                <w:kern w:val="0"/>
                <w:sz w:val="22"/>
                <w:szCs w:val="22"/>
                <w:highlight w:val="none"/>
              </w:rPr>
            </w:pPr>
            <w:r>
              <w:rPr>
                <w:rFonts w:hint="eastAsia" w:ascii="宋体" w:hAnsi="宋体" w:cs="宋体"/>
                <w:bCs/>
                <w:kern w:val="0"/>
                <w:sz w:val="22"/>
                <w:szCs w:val="22"/>
                <w:highlight w:val="none"/>
              </w:rPr>
              <w:t>项目工期</w:t>
            </w:r>
          </w:p>
        </w:tc>
        <w:tc>
          <w:tcPr>
            <w:tcW w:w="6571" w:type="dxa"/>
            <w:tcBorders>
              <w:top w:val="single" w:color="auto" w:sz="4" w:space="0"/>
              <w:left w:val="single" w:color="auto" w:sz="4" w:space="0"/>
              <w:bottom w:val="single" w:color="auto" w:sz="4" w:space="0"/>
              <w:right w:val="single" w:color="auto" w:sz="4" w:space="0"/>
            </w:tcBorders>
            <w:shd w:val="clear" w:color="auto" w:fill="auto"/>
            <w:vAlign w:val="center"/>
          </w:tcPr>
          <w:p w14:paraId="15EB4BD7">
            <w:pPr>
              <w:spacing w:line="440" w:lineRule="exact"/>
              <w:jc w:val="left"/>
              <w:rPr>
                <w:rFonts w:ascii="宋体" w:hAnsi="宋体" w:cs="宋体"/>
                <w:color w:val="000000"/>
                <w:sz w:val="22"/>
                <w:szCs w:val="22"/>
                <w:highlight w:val="none"/>
              </w:rPr>
            </w:pPr>
            <w:r>
              <w:rPr>
                <w:rFonts w:hint="eastAsia" w:ascii="宋体" w:hAnsi="宋体" w:cs="宋体"/>
                <w:color w:val="000000"/>
                <w:sz w:val="22"/>
                <w:szCs w:val="22"/>
                <w:highlight w:val="none"/>
              </w:rPr>
              <w:t>①35吨门机回转支承需在合同签订后60日历天内完成到港并验收通过。②两台设备现场维修工期为：接到招标人书面通知之日起30日历天内完成安装调试并通过招标人验收。</w:t>
            </w:r>
          </w:p>
        </w:tc>
      </w:tr>
      <w:tr w14:paraId="040CBA95">
        <w:tblPrEx>
          <w:tblCellMar>
            <w:top w:w="0" w:type="dxa"/>
            <w:left w:w="108" w:type="dxa"/>
            <w:bottom w:w="0" w:type="dxa"/>
            <w:right w:w="108" w:type="dxa"/>
          </w:tblCellMar>
        </w:tblPrEx>
        <w:trPr>
          <w:trHeight w:val="648" w:hRule="atLeast"/>
        </w:trPr>
        <w:tc>
          <w:tcPr>
            <w:tcW w:w="867" w:type="dxa"/>
            <w:tcBorders>
              <w:top w:val="single" w:color="auto" w:sz="4" w:space="0"/>
              <w:left w:val="single" w:color="auto" w:sz="4" w:space="0"/>
              <w:bottom w:val="single" w:color="auto" w:sz="4" w:space="0"/>
              <w:right w:val="single" w:color="auto" w:sz="4" w:space="0"/>
            </w:tcBorders>
            <w:shd w:val="clear" w:color="auto" w:fill="auto"/>
            <w:vAlign w:val="center"/>
          </w:tcPr>
          <w:p w14:paraId="20D97AA0">
            <w:pPr>
              <w:widowControl/>
              <w:spacing w:line="440" w:lineRule="exact"/>
              <w:jc w:val="center"/>
              <w:rPr>
                <w:rFonts w:ascii="宋体" w:hAnsi="宋体" w:cs="宋体"/>
                <w:bCs/>
                <w:kern w:val="0"/>
                <w:sz w:val="22"/>
                <w:szCs w:val="22"/>
                <w:highlight w:val="none"/>
              </w:rPr>
            </w:pPr>
            <w:r>
              <w:rPr>
                <w:rFonts w:hint="eastAsia" w:ascii="宋体" w:hAnsi="宋体" w:cs="宋体"/>
                <w:bCs/>
                <w:kern w:val="0"/>
                <w:sz w:val="22"/>
                <w:szCs w:val="22"/>
                <w:highlight w:val="none"/>
              </w:rPr>
              <w:t>7</w:t>
            </w:r>
          </w:p>
        </w:tc>
        <w:tc>
          <w:tcPr>
            <w:tcW w:w="1560" w:type="dxa"/>
            <w:tcBorders>
              <w:top w:val="single" w:color="auto" w:sz="4" w:space="0"/>
              <w:left w:val="single" w:color="auto" w:sz="4" w:space="0"/>
              <w:bottom w:val="single" w:color="auto" w:sz="4" w:space="0"/>
              <w:right w:val="single" w:color="auto" w:sz="4" w:space="0"/>
            </w:tcBorders>
            <w:shd w:val="clear" w:color="auto" w:fill="auto"/>
            <w:vAlign w:val="center"/>
          </w:tcPr>
          <w:p w14:paraId="2F12BA4B">
            <w:pPr>
              <w:widowControl/>
              <w:spacing w:line="440" w:lineRule="exact"/>
              <w:jc w:val="left"/>
              <w:rPr>
                <w:rFonts w:ascii="宋体" w:hAnsi="宋体" w:cs="宋体"/>
                <w:b/>
                <w:bCs/>
                <w:kern w:val="0"/>
                <w:sz w:val="22"/>
                <w:szCs w:val="22"/>
                <w:highlight w:val="none"/>
              </w:rPr>
            </w:pPr>
            <w:r>
              <w:rPr>
                <w:rFonts w:hint="eastAsia" w:ascii="宋体" w:hAnsi="宋体" w:cs="宋体"/>
                <w:b/>
                <w:color w:val="000000"/>
                <w:sz w:val="22"/>
                <w:szCs w:val="22"/>
                <w:highlight w:val="none"/>
              </w:rPr>
              <w:t>★</w:t>
            </w:r>
            <w:r>
              <w:rPr>
                <w:rFonts w:hint="eastAsia" w:ascii="宋体" w:hAnsi="宋体" w:cs="宋体"/>
                <w:b/>
                <w:bCs/>
                <w:kern w:val="0"/>
                <w:sz w:val="22"/>
                <w:szCs w:val="22"/>
                <w:highlight w:val="none"/>
              </w:rPr>
              <w:t>投标人资质要求</w:t>
            </w:r>
          </w:p>
        </w:tc>
        <w:tc>
          <w:tcPr>
            <w:tcW w:w="6571" w:type="dxa"/>
            <w:tcBorders>
              <w:top w:val="single" w:color="auto" w:sz="4" w:space="0"/>
              <w:left w:val="single" w:color="auto" w:sz="4" w:space="0"/>
              <w:bottom w:val="single" w:color="auto" w:sz="4" w:space="0"/>
              <w:right w:val="single" w:color="auto" w:sz="4" w:space="0"/>
            </w:tcBorders>
            <w:shd w:val="clear" w:color="auto" w:fill="auto"/>
            <w:vAlign w:val="center"/>
          </w:tcPr>
          <w:p w14:paraId="36732C48">
            <w:pPr>
              <w:pStyle w:val="72"/>
              <w:spacing w:line="440" w:lineRule="exact"/>
              <w:ind w:right="-78" w:rightChars="-37" w:firstLine="0" w:firstLineChars="0"/>
              <w:jc w:val="left"/>
              <w:rPr>
                <w:rFonts w:ascii="宋体" w:hAnsi="宋体" w:cs="宋体"/>
                <w:kern w:val="0"/>
                <w:sz w:val="22"/>
                <w:szCs w:val="22"/>
                <w:highlight w:val="none"/>
              </w:rPr>
            </w:pPr>
            <w:r>
              <w:rPr>
                <w:rFonts w:hint="eastAsia" w:ascii="宋体" w:hAnsi="宋体" w:cs="宋体"/>
                <w:kern w:val="0"/>
                <w:sz w:val="22"/>
                <w:szCs w:val="22"/>
                <w:highlight w:val="none"/>
              </w:rPr>
              <w:t>同招标公告</w:t>
            </w:r>
          </w:p>
        </w:tc>
      </w:tr>
      <w:tr w14:paraId="1CCFE8D2">
        <w:tblPrEx>
          <w:tblCellMar>
            <w:top w:w="0" w:type="dxa"/>
            <w:left w:w="108" w:type="dxa"/>
            <w:bottom w:w="0" w:type="dxa"/>
            <w:right w:w="108" w:type="dxa"/>
          </w:tblCellMar>
        </w:tblPrEx>
        <w:trPr>
          <w:trHeight w:val="548" w:hRule="atLeast"/>
        </w:trPr>
        <w:tc>
          <w:tcPr>
            <w:tcW w:w="867" w:type="dxa"/>
            <w:tcBorders>
              <w:top w:val="single" w:color="auto" w:sz="4" w:space="0"/>
              <w:left w:val="single" w:color="auto" w:sz="4" w:space="0"/>
              <w:bottom w:val="single" w:color="auto" w:sz="4" w:space="0"/>
              <w:right w:val="single" w:color="auto" w:sz="4" w:space="0"/>
            </w:tcBorders>
            <w:shd w:val="clear" w:color="auto" w:fill="auto"/>
            <w:vAlign w:val="center"/>
          </w:tcPr>
          <w:p w14:paraId="6B0A8744">
            <w:pPr>
              <w:widowControl/>
              <w:spacing w:line="440" w:lineRule="exact"/>
              <w:jc w:val="center"/>
              <w:rPr>
                <w:rFonts w:ascii="宋体" w:hAnsi="宋体" w:cs="宋体"/>
                <w:bCs/>
                <w:kern w:val="0"/>
                <w:sz w:val="22"/>
                <w:szCs w:val="22"/>
                <w:highlight w:val="none"/>
              </w:rPr>
            </w:pPr>
            <w:r>
              <w:rPr>
                <w:rFonts w:hint="eastAsia" w:ascii="宋体" w:hAnsi="宋体" w:cs="宋体"/>
                <w:bCs/>
                <w:kern w:val="0"/>
                <w:sz w:val="22"/>
                <w:szCs w:val="22"/>
                <w:highlight w:val="none"/>
              </w:rPr>
              <w:t>8</w:t>
            </w:r>
          </w:p>
        </w:tc>
        <w:tc>
          <w:tcPr>
            <w:tcW w:w="1560" w:type="dxa"/>
            <w:tcBorders>
              <w:top w:val="single" w:color="auto" w:sz="4" w:space="0"/>
              <w:left w:val="single" w:color="auto" w:sz="4" w:space="0"/>
              <w:bottom w:val="single" w:color="auto" w:sz="4" w:space="0"/>
              <w:right w:val="single" w:color="auto" w:sz="4" w:space="0"/>
            </w:tcBorders>
            <w:shd w:val="clear" w:color="auto" w:fill="auto"/>
            <w:vAlign w:val="center"/>
          </w:tcPr>
          <w:p w14:paraId="3E70DC72">
            <w:pPr>
              <w:widowControl/>
              <w:spacing w:line="440" w:lineRule="exact"/>
              <w:jc w:val="left"/>
              <w:rPr>
                <w:rFonts w:ascii="宋体" w:hAnsi="宋体" w:cs="宋体"/>
                <w:bCs/>
                <w:kern w:val="0"/>
                <w:sz w:val="22"/>
                <w:szCs w:val="22"/>
                <w:highlight w:val="none"/>
              </w:rPr>
            </w:pPr>
            <w:r>
              <w:rPr>
                <w:rFonts w:hint="eastAsia" w:ascii="宋体" w:hAnsi="宋体" w:cs="宋体"/>
                <w:bCs/>
                <w:kern w:val="0"/>
                <w:sz w:val="22"/>
                <w:szCs w:val="22"/>
                <w:highlight w:val="none"/>
              </w:rPr>
              <w:t>是否接受联合体投标</w:t>
            </w:r>
          </w:p>
        </w:tc>
        <w:tc>
          <w:tcPr>
            <w:tcW w:w="6571" w:type="dxa"/>
            <w:tcBorders>
              <w:top w:val="single" w:color="auto" w:sz="4" w:space="0"/>
              <w:left w:val="single" w:color="auto" w:sz="4" w:space="0"/>
              <w:bottom w:val="single" w:color="auto" w:sz="4" w:space="0"/>
              <w:right w:val="single" w:color="auto" w:sz="4" w:space="0"/>
            </w:tcBorders>
            <w:shd w:val="clear" w:color="auto" w:fill="auto"/>
            <w:vAlign w:val="center"/>
          </w:tcPr>
          <w:p w14:paraId="0D6D6E7B">
            <w:pPr>
              <w:widowControl/>
              <w:spacing w:line="440" w:lineRule="exact"/>
              <w:jc w:val="left"/>
              <w:rPr>
                <w:rFonts w:ascii="宋体" w:hAnsi="宋体" w:cs="宋体"/>
                <w:bCs/>
                <w:kern w:val="0"/>
                <w:sz w:val="22"/>
                <w:szCs w:val="22"/>
                <w:highlight w:val="none"/>
              </w:rPr>
            </w:pPr>
            <w:r>
              <w:rPr>
                <w:rFonts w:hint="eastAsia" w:ascii="宋体" w:hAnsi="宋体" w:cs="宋体"/>
                <w:bCs/>
                <w:kern w:val="0"/>
                <w:sz w:val="22"/>
                <w:szCs w:val="22"/>
                <w:highlight w:val="none"/>
              </w:rPr>
              <w:t>不接受</w:t>
            </w:r>
          </w:p>
        </w:tc>
      </w:tr>
      <w:tr w14:paraId="7C66269E">
        <w:tblPrEx>
          <w:tblCellMar>
            <w:top w:w="0" w:type="dxa"/>
            <w:left w:w="108" w:type="dxa"/>
            <w:bottom w:w="0" w:type="dxa"/>
            <w:right w:w="108" w:type="dxa"/>
          </w:tblCellMar>
        </w:tblPrEx>
        <w:trPr>
          <w:trHeight w:val="548" w:hRule="atLeast"/>
        </w:trPr>
        <w:tc>
          <w:tcPr>
            <w:tcW w:w="867" w:type="dxa"/>
            <w:tcBorders>
              <w:top w:val="single" w:color="auto" w:sz="4" w:space="0"/>
              <w:left w:val="single" w:color="auto" w:sz="4" w:space="0"/>
              <w:bottom w:val="single" w:color="auto" w:sz="4" w:space="0"/>
              <w:right w:val="single" w:color="auto" w:sz="4" w:space="0"/>
            </w:tcBorders>
            <w:shd w:val="clear" w:color="auto" w:fill="auto"/>
            <w:vAlign w:val="center"/>
          </w:tcPr>
          <w:p w14:paraId="15EAE37E">
            <w:pPr>
              <w:widowControl/>
              <w:spacing w:line="440" w:lineRule="exact"/>
              <w:jc w:val="center"/>
              <w:rPr>
                <w:rFonts w:ascii="宋体" w:hAnsi="宋体" w:cs="宋体"/>
                <w:bCs/>
                <w:kern w:val="0"/>
                <w:sz w:val="22"/>
                <w:szCs w:val="22"/>
                <w:highlight w:val="none"/>
              </w:rPr>
            </w:pPr>
            <w:r>
              <w:rPr>
                <w:rFonts w:hint="eastAsia" w:ascii="宋体" w:hAnsi="宋体" w:cs="宋体"/>
                <w:bCs/>
                <w:kern w:val="0"/>
                <w:sz w:val="22"/>
                <w:szCs w:val="22"/>
                <w:highlight w:val="none"/>
              </w:rPr>
              <w:t>9</w:t>
            </w:r>
          </w:p>
        </w:tc>
        <w:tc>
          <w:tcPr>
            <w:tcW w:w="1560" w:type="dxa"/>
            <w:tcBorders>
              <w:top w:val="single" w:color="auto" w:sz="4" w:space="0"/>
              <w:left w:val="single" w:color="auto" w:sz="4" w:space="0"/>
              <w:bottom w:val="single" w:color="auto" w:sz="4" w:space="0"/>
              <w:right w:val="single" w:color="auto" w:sz="4" w:space="0"/>
            </w:tcBorders>
            <w:shd w:val="clear" w:color="auto" w:fill="auto"/>
            <w:vAlign w:val="center"/>
          </w:tcPr>
          <w:p w14:paraId="30F8AD03">
            <w:pPr>
              <w:widowControl/>
              <w:spacing w:line="440" w:lineRule="exact"/>
              <w:jc w:val="left"/>
              <w:rPr>
                <w:rFonts w:ascii="宋体" w:hAnsi="宋体" w:cs="宋体"/>
                <w:bCs/>
                <w:kern w:val="0"/>
                <w:sz w:val="22"/>
                <w:szCs w:val="22"/>
                <w:highlight w:val="none"/>
              </w:rPr>
            </w:pPr>
            <w:r>
              <w:rPr>
                <w:rFonts w:hint="eastAsia" w:ascii="宋体" w:hAnsi="宋体" w:cs="宋体"/>
                <w:bCs/>
                <w:kern w:val="0"/>
                <w:sz w:val="22"/>
                <w:szCs w:val="22"/>
                <w:highlight w:val="none"/>
              </w:rPr>
              <w:t>踏勘现场</w:t>
            </w:r>
          </w:p>
        </w:tc>
        <w:tc>
          <w:tcPr>
            <w:tcW w:w="6571" w:type="dxa"/>
            <w:tcBorders>
              <w:top w:val="single" w:color="auto" w:sz="4" w:space="0"/>
              <w:left w:val="single" w:color="auto" w:sz="4" w:space="0"/>
              <w:bottom w:val="single" w:color="auto" w:sz="4" w:space="0"/>
              <w:right w:val="single" w:color="auto" w:sz="4" w:space="0"/>
            </w:tcBorders>
            <w:shd w:val="clear" w:color="auto" w:fill="auto"/>
            <w:vAlign w:val="center"/>
          </w:tcPr>
          <w:p w14:paraId="74BE11EB">
            <w:pPr>
              <w:widowControl/>
              <w:spacing w:line="440" w:lineRule="exact"/>
              <w:jc w:val="left"/>
              <w:rPr>
                <w:rFonts w:ascii="宋体" w:hAnsi="宋体" w:cs="宋体"/>
                <w:bCs/>
                <w:kern w:val="0"/>
                <w:sz w:val="22"/>
                <w:szCs w:val="22"/>
                <w:highlight w:val="none"/>
              </w:rPr>
            </w:pPr>
            <w:r>
              <w:rPr>
                <w:rFonts w:hint="eastAsia" w:ascii="宋体" w:hAnsi="宋体" w:cs="宋体"/>
                <w:bCs/>
                <w:kern w:val="0"/>
                <w:sz w:val="22"/>
                <w:szCs w:val="22"/>
                <w:highlight w:val="none"/>
              </w:rPr>
              <w:t>不组织，自行前往，产生的费用由投标人自行承担。</w:t>
            </w:r>
          </w:p>
        </w:tc>
      </w:tr>
      <w:tr w14:paraId="0427FE3A">
        <w:tblPrEx>
          <w:tblCellMar>
            <w:top w:w="0" w:type="dxa"/>
            <w:left w:w="108" w:type="dxa"/>
            <w:bottom w:w="0" w:type="dxa"/>
            <w:right w:w="108" w:type="dxa"/>
          </w:tblCellMar>
        </w:tblPrEx>
        <w:trPr>
          <w:trHeight w:val="981" w:hRule="atLeast"/>
        </w:trPr>
        <w:tc>
          <w:tcPr>
            <w:tcW w:w="867" w:type="dxa"/>
            <w:tcBorders>
              <w:top w:val="single" w:color="auto" w:sz="4" w:space="0"/>
              <w:left w:val="single" w:color="auto" w:sz="4" w:space="0"/>
              <w:bottom w:val="single" w:color="auto" w:sz="4" w:space="0"/>
              <w:right w:val="single" w:color="auto" w:sz="4" w:space="0"/>
            </w:tcBorders>
            <w:shd w:val="clear" w:color="auto" w:fill="auto"/>
            <w:vAlign w:val="center"/>
          </w:tcPr>
          <w:p w14:paraId="5BFCEBF3">
            <w:pPr>
              <w:widowControl/>
              <w:spacing w:line="440" w:lineRule="exact"/>
              <w:jc w:val="center"/>
              <w:rPr>
                <w:rFonts w:ascii="宋体" w:hAnsi="宋体" w:cs="宋体"/>
                <w:bCs/>
                <w:kern w:val="0"/>
                <w:sz w:val="22"/>
                <w:szCs w:val="22"/>
                <w:highlight w:val="none"/>
              </w:rPr>
            </w:pPr>
            <w:r>
              <w:rPr>
                <w:rFonts w:hint="eastAsia" w:ascii="宋体" w:hAnsi="宋体" w:cs="宋体"/>
                <w:bCs/>
                <w:kern w:val="0"/>
                <w:sz w:val="22"/>
                <w:szCs w:val="22"/>
                <w:highlight w:val="none"/>
              </w:rPr>
              <w:t>10</w:t>
            </w:r>
          </w:p>
        </w:tc>
        <w:tc>
          <w:tcPr>
            <w:tcW w:w="1560" w:type="dxa"/>
            <w:tcBorders>
              <w:top w:val="single" w:color="auto" w:sz="4" w:space="0"/>
              <w:left w:val="single" w:color="auto" w:sz="4" w:space="0"/>
              <w:bottom w:val="single" w:color="auto" w:sz="4" w:space="0"/>
              <w:right w:val="single" w:color="auto" w:sz="4" w:space="0"/>
            </w:tcBorders>
            <w:shd w:val="clear" w:color="auto" w:fill="auto"/>
            <w:vAlign w:val="center"/>
          </w:tcPr>
          <w:p w14:paraId="3FC2BD11">
            <w:pPr>
              <w:widowControl/>
              <w:spacing w:line="440" w:lineRule="exact"/>
              <w:jc w:val="left"/>
              <w:rPr>
                <w:rFonts w:ascii="宋体" w:hAnsi="宋体" w:cs="宋体"/>
                <w:bCs/>
                <w:kern w:val="0"/>
                <w:sz w:val="22"/>
                <w:szCs w:val="22"/>
                <w:highlight w:val="none"/>
              </w:rPr>
            </w:pPr>
            <w:r>
              <w:rPr>
                <w:rFonts w:hint="eastAsia" w:ascii="宋体" w:hAnsi="宋体" w:cs="宋体"/>
                <w:bCs/>
                <w:kern w:val="0"/>
                <w:sz w:val="22"/>
                <w:szCs w:val="22"/>
                <w:highlight w:val="none"/>
              </w:rPr>
              <w:t>投标预备会</w:t>
            </w:r>
          </w:p>
        </w:tc>
        <w:tc>
          <w:tcPr>
            <w:tcW w:w="6571" w:type="dxa"/>
            <w:tcBorders>
              <w:top w:val="single" w:color="auto" w:sz="4" w:space="0"/>
              <w:left w:val="single" w:color="auto" w:sz="4" w:space="0"/>
              <w:bottom w:val="single" w:color="auto" w:sz="4" w:space="0"/>
              <w:right w:val="single" w:color="auto" w:sz="4" w:space="0"/>
            </w:tcBorders>
            <w:shd w:val="clear" w:color="auto" w:fill="auto"/>
            <w:vAlign w:val="center"/>
          </w:tcPr>
          <w:p w14:paraId="6CE23BF8">
            <w:pPr>
              <w:widowControl/>
              <w:spacing w:line="440" w:lineRule="exact"/>
              <w:jc w:val="left"/>
              <w:rPr>
                <w:rFonts w:ascii="宋体" w:hAnsi="宋体" w:cs="宋体"/>
                <w:bCs/>
                <w:kern w:val="0"/>
                <w:sz w:val="22"/>
                <w:szCs w:val="22"/>
                <w:highlight w:val="none"/>
              </w:rPr>
            </w:pPr>
            <w:r>
              <w:rPr>
                <w:rFonts w:hint="eastAsia" w:ascii="宋体" w:hAnsi="宋体" w:cs="宋体"/>
                <w:bCs/>
                <w:kern w:val="0"/>
                <w:sz w:val="22"/>
                <w:szCs w:val="22"/>
                <w:highlight w:val="none"/>
              </w:rPr>
              <w:t>不召开</w:t>
            </w:r>
          </w:p>
        </w:tc>
      </w:tr>
      <w:tr w14:paraId="3C82638F">
        <w:tblPrEx>
          <w:tblCellMar>
            <w:top w:w="0" w:type="dxa"/>
            <w:left w:w="108" w:type="dxa"/>
            <w:bottom w:w="0" w:type="dxa"/>
            <w:right w:w="108" w:type="dxa"/>
          </w:tblCellMar>
        </w:tblPrEx>
        <w:trPr>
          <w:trHeight w:val="708" w:hRule="atLeast"/>
        </w:trPr>
        <w:tc>
          <w:tcPr>
            <w:tcW w:w="867" w:type="dxa"/>
            <w:tcBorders>
              <w:top w:val="single" w:color="auto" w:sz="4" w:space="0"/>
              <w:left w:val="single" w:color="auto" w:sz="4" w:space="0"/>
              <w:bottom w:val="single" w:color="auto" w:sz="4" w:space="0"/>
              <w:right w:val="single" w:color="auto" w:sz="4" w:space="0"/>
            </w:tcBorders>
            <w:shd w:val="clear" w:color="auto" w:fill="auto"/>
            <w:vAlign w:val="center"/>
          </w:tcPr>
          <w:p w14:paraId="3D8EF126">
            <w:pPr>
              <w:widowControl/>
              <w:spacing w:line="440" w:lineRule="exact"/>
              <w:jc w:val="center"/>
              <w:rPr>
                <w:rFonts w:ascii="宋体" w:hAnsi="宋体" w:cs="宋体"/>
                <w:bCs/>
                <w:kern w:val="0"/>
                <w:sz w:val="22"/>
                <w:szCs w:val="22"/>
                <w:highlight w:val="none"/>
              </w:rPr>
            </w:pPr>
            <w:r>
              <w:rPr>
                <w:rFonts w:hint="eastAsia" w:ascii="宋体" w:hAnsi="宋体" w:cs="宋体"/>
                <w:bCs/>
                <w:kern w:val="0"/>
                <w:sz w:val="22"/>
                <w:szCs w:val="22"/>
                <w:highlight w:val="none"/>
              </w:rPr>
              <w:t>11</w:t>
            </w:r>
          </w:p>
        </w:tc>
        <w:tc>
          <w:tcPr>
            <w:tcW w:w="1560" w:type="dxa"/>
            <w:tcBorders>
              <w:top w:val="single" w:color="auto" w:sz="4" w:space="0"/>
              <w:left w:val="single" w:color="auto" w:sz="4" w:space="0"/>
              <w:bottom w:val="single" w:color="auto" w:sz="4" w:space="0"/>
              <w:right w:val="single" w:color="auto" w:sz="4" w:space="0"/>
            </w:tcBorders>
            <w:shd w:val="clear" w:color="auto" w:fill="auto"/>
            <w:vAlign w:val="center"/>
          </w:tcPr>
          <w:p w14:paraId="7F19B6C8">
            <w:pPr>
              <w:widowControl/>
              <w:spacing w:line="440" w:lineRule="exact"/>
              <w:jc w:val="left"/>
              <w:rPr>
                <w:rFonts w:ascii="宋体" w:hAnsi="宋体" w:cs="宋体"/>
                <w:bCs/>
                <w:kern w:val="0"/>
                <w:sz w:val="22"/>
                <w:szCs w:val="22"/>
                <w:highlight w:val="none"/>
              </w:rPr>
            </w:pPr>
            <w:r>
              <w:rPr>
                <w:rFonts w:hint="eastAsia" w:ascii="宋体" w:hAnsi="宋体" w:cs="宋体"/>
                <w:bCs/>
                <w:kern w:val="0"/>
                <w:sz w:val="22"/>
                <w:szCs w:val="22"/>
                <w:highlight w:val="none"/>
              </w:rPr>
              <w:t>分包</w:t>
            </w:r>
          </w:p>
        </w:tc>
        <w:tc>
          <w:tcPr>
            <w:tcW w:w="6571" w:type="dxa"/>
            <w:tcBorders>
              <w:top w:val="single" w:color="auto" w:sz="4" w:space="0"/>
              <w:left w:val="single" w:color="auto" w:sz="4" w:space="0"/>
              <w:bottom w:val="single" w:color="auto" w:sz="4" w:space="0"/>
              <w:right w:val="single" w:color="auto" w:sz="4" w:space="0"/>
            </w:tcBorders>
            <w:shd w:val="clear" w:color="auto" w:fill="auto"/>
            <w:vAlign w:val="center"/>
          </w:tcPr>
          <w:p w14:paraId="13A65D0D">
            <w:pPr>
              <w:widowControl/>
              <w:spacing w:line="440" w:lineRule="exact"/>
              <w:jc w:val="left"/>
              <w:rPr>
                <w:rFonts w:ascii="宋体" w:hAnsi="宋体" w:cs="宋体"/>
                <w:bCs/>
                <w:kern w:val="0"/>
                <w:sz w:val="22"/>
                <w:szCs w:val="22"/>
                <w:highlight w:val="none"/>
              </w:rPr>
            </w:pPr>
            <w:r>
              <w:rPr>
                <w:rFonts w:hint="eastAsia" w:ascii="宋体" w:hAnsi="宋体" w:cs="宋体"/>
                <w:bCs/>
                <w:kern w:val="0"/>
                <w:sz w:val="22"/>
                <w:szCs w:val="22"/>
                <w:highlight w:val="none"/>
              </w:rPr>
              <w:t>不允许</w:t>
            </w:r>
          </w:p>
        </w:tc>
      </w:tr>
      <w:tr w14:paraId="554CE652">
        <w:tblPrEx>
          <w:tblCellMar>
            <w:top w:w="0" w:type="dxa"/>
            <w:left w:w="108" w:type="dxa"/>
            <w:bottom w:w="0" w:type="dxa"/>
            <w:right w:w="108" w:type="dxa"/>
          </w:tblCellMar>
        </w:tblPrEx>
        <w:trPr>
          <w:trHeight w:val="734" w:hRule="atLeast"/>
        </w:trPr>
        <w:tc>
          <w:tcPr>
            <w:tcW w:w="867" w:type="dxa"/>
            <w:tcBorders>
              <w:top w:val="single" w:color="auto" w:sz="4" w:space="0"/>
              <w:left w:val="single" w:color="auto" w:sz="4" w:space="0"/>
              <w:bottom w:val="single" w:color="auto" w:sz="4" w:space="0"/>
              <w:right w:val="single" w:color="auto" w:sz="4" w:space="0"/>
            </w:tcBorders>
            <w:shd w:val="clear" w:color="auto" w:fill="auto"/>
            <w:vAlign w:val="center"/>
          </w:tcPr>
          <w:p w14:paraId="2305C9D8">
            <w:pPr>
              <w:widowControl/>
              <w:spacing w:line="440" w:lineRule="exact"/>
              <w:jc w:val="center"/>
              <w:rPr>
                <w:rFonts w:ascii="宋体" w:hAnsi="宋体" w:cs="宋体"/>
                <w:bCs/>
                <w:kern w:val="0"/>
                <w:sz w:val="22"/>
                <w:szCs w:val="22"/>
                <w:highlight w:val="none"/>
              </w:rPr>
            </w:pPr>
            <w:r>
              <w:rPr>
                <w:rFonts w:hint="eastAsia" w:ascii="宋体" w:hAnsi="宋体" w:cs="宋体"/>
                <w:bCs/>
                <w:kern w:val="0"/>
                <w:sz w:val="22"/>
                <w:szCs w:val="22"/>
                <w:highlight w:val="none"/>
              </w:rPr>
              <w:t>12</w:t>
            </w:r>
          </w:p>
        </w:tc>
        <w:tc>
          <w:tcPr>
            <w:tcW w:w="1560" w:type="dxa"/>
            <w:tcBorders>
              <w:top w:val="single" w:color="auto" w:sz="4" w:space="0"/>
              <w:left w:val="single" w:color="auto" w:sz="4" w:space="0"/>
              <w:bottom w:val="single" w:color="auto" w:sz="4" w:space="0"/>
              <w:right w:val="single" w:color="auto" w:sz="4" w:space="0"/>
            </w:tcBorders>
            <w:shd w:val="clear" w:color="auto" w:fill="auto"/>
            <w:vAlign w:val="center"/>
          </w:tcPr>
          <w:p w14:paraId="2F99A8C4">
            <w:pPr>
              <w:widowControl/>
              <w:spacing w:line="440" w:lineRule="exact"/>
              <w:jc w:val="left"/>
              <w:rPr>
                <w:rFonts w:ascii="宋体" w:hAnsi="宋体" w:cs="宋体"/>
                <w:bCs/>
                <w:kern w:val="0"/>
                <w:sz w:val="22"/>
                <w:szCs w:val="22"/>
                <w:highlight w:val="none"/>
              </w:rPr>
            </w:pPr>
            <w:r>
              <w:rPr>
                <w:rFonts w:hint="eastAsia" w:ascii="宋体" w:hAnsi="宋体" w:cs="宋体"/>
                <w:bCs/>
                <w:kern w:val="0"/>
                <w:sz w:val="22"/>
                <w:szCs w:val="22"/>
                <w:highlight w:val="none"/>
              </w:rPr>
              <w:t>偏离</w:t>
            </w:r>
          </w:p>
        </w:tc>
        <w:tc>
          <w:tcPr>
            <w:tcW w:w="6571" w:type="dxa"/>
            <w:tcBorders>
              <w:top w:val="single" w:color="auto" w:sz="4" w:space="0"/>
              <w:left w:val="single" w:color="auto" w:sz="4" w:space="0"/>
              <w:bottom w:val="single" w:color="auto" w:sz="4" w:space="0"/>
              <w:right w:val="single" w:color="auto" w:sz="4" w:space="0"/>
            </w:tcBorders>
            <w:shd w:val="clear" w:color="auto" w:fill="auto"/>
            <w:vAlign w:val="center"/>
          </w:tcPr>
          <w:p w14:paraId="60F1F3E2">
            <w:pPr>
              <w:widowControl/>
              <w:spacing w:line="440" w:lineRule="exact"/>
              <w:ind w:left="-1" w:leftChars="-1" w:hanging="1"/>
              <w:jc w:val="left"/>
              <w:rPr>
                <w:rFonts w:ascii="宋体" w:hAnsi="宋体" w:cs="宋体"/>
                <w:bCs/>
                <w:kern w:val="0"/>
                <w:sz w:val="22"/>
                <w:szCs w:val="22"/>
                <w:highlight w:val="none"/>
              </w:rPr>
            </w:pPr>
            <w:r>
              <w:rPr>
                <w:rFonts w:hint="eastAsia" w:ascii="宋体" w:hAnsi="宋体" w:cs="宋体"/>
                <w:kern w:val="0"/>
                <w:sz w:val="22"/>
                <w:szCs w:val="22"/>
                <w:highlight w:val="none"/>
              </w:rPr>
              <w:t>偏差允许幅度及其处理方法：允许细微偏差，不允许重大偏差。由评标委员会判断，细微偏差要求投标人在评标结束前予以澄清、说明或补正，不接受要求进行的，评标委员会有权做无效标处理，详见评标办法。</w:t>
            </w:r>
          </w:p>
        </w:tc>
      </w:tr>
      <w:tr w14:paraId="3B7B7B55">
        <w:tblPrEx>
          <w:tblCellMar>
            <w:top w:w="0" w:type="dxa"/>
            <w:left w:w="108" w:type="dxa"/>
            <w:bottom w:w="0" w:type="dxa"/>
            <w:right w:w="108" w:type="dxa"/>
          </w:tblCellMar>
        </w:tblPrEx>
        <w:trPr>
          <w:trHeight w:val="540" w:hRule="atLeast"/>
        </w:trPr>
        <w:tc>
          <w:tcPr>
            <w:tcW w:w="867" w:type="dxa"/>
            <w:tcBorders>
              <w:top w:val="single" w:color="auto" w:sz="4" w:space="0"/>
              <w:left w:val="single" w:color="auto" w:sz="4" w:space="0"/>
              <w:bottom w:val="single" w:color="auto" w:sz="4" w:space="0"/>
              <w:right w:val="single" w:color="auto" w:sz="4" w:space="0"/>
            </w:tcBorders>
            <w:shd w:val="clear" w:color="auto" w:fill="auto"/>
            <w:vAlign w:val="center"/>
          </w:tcPr>
          <w:p w14:paraId="6C634EEA">
            <w:pPr>
              <w:widowControl/>
              <w:spacing w:line="440" w:lineRule="exact"/>
              <w:jc w:val="center"/>
              <w:rPr>
                <w:rFonts w:ascii="宋体" w:hAnsi="宋体" w:cs="宋体"/>
                <w:bCs/>
                <w:kern w:val="0"/>
                <w:sz w:val="22"/>
                <w:szCs w:val="22"/>
                <w:highlight w:val="none"/>
              </w:rPr>
            </w:pPr>
            <w:r>
              <w:rPr>
                <w:rFonts w:hint="eastAsia" w:ascii="宋体" w:hAnsi="宋体" w:cs="宋体"/>
                <w:bCs/>
                <w:kern w:val="0"/>
                <w:sz w:val="22"/>
                <w:szCs w:val="22"/>
                <w:highlight w:val="none"/>
              </w:rPr>
              <w:t>13</w:t>
            </w:r>
          </w:p>
        </w:tc>
        <w:tc>
          <w:tcPr>
            <w:tcW w:w="1560" w:type="dxa"/>
            <w:tcBorders>
              <w:top w:val="single" w:color="auto" w:sz="4" w:space="0"/>
              <w:left w:val="single" w:color="auto" w:sz="4" w:space="0"/>
              <w:bottom w:val="single" w:color="auto" w:sz="4" w:space="0"/>
              <w:right w:val="single" w:color="auto" w:sz="4" w:space="0"/>
            </w:tcBorders>
            <w:shd w:val="clear" w:color="auto" w:fill="auto"/>
            <w:vAlign w:val="center"/>
          </w:tcPr>
          <w:p w14:paraId="72532F2D">
            <w:pPr>
              <w:widowControl/>
              <w:spacing w:line="440" w:lineRule="exact"/>
              <w:jc w:val="left"/>
              <w:rPr>
                <w:rFonts w:ascii="宋体" w:hAnsi="宋体" w:cs="宋体"/>
                <w:bCs/>
                <w:kern w:val="0"/>
                <w:sz w:val="22"/>
                <w:szCs w:val="22"/>
                <w:highlight w:val="none"/>
              </w:rPr>
            </w:pPr>
            <w:r>
              <w:rPr>
                <w:rFonts w:hint="eastAsia" w:ascii="宋体" w:hAnsi="宋体" w:cs="宋体"/>
                <w:bCs/>
                <w:kern w:val="0"/>
                <w:sz w:val="22"/>
                <w:szCs w:val="22"/>
                <w:highlight w:val="none"/>
              </w:rPr>
              <w:t>投标有效期</w:t>
            </w:r>
          </w:p>
        </w:tc>
        <w:tc>
          <w:tcPr>
            <w:tcW w:w="6571" w:type="dxa"/>
            <w:tcBorders>
              <w:top w:val="single" w:color="auto" w:sz="4" w:space="0"/>
              <w:left w:val="single" w:color="auto" w:sz="4" w:space="0"/>
              <w:bottom w:val="single" w:color="auto" w:sz="4" w:space="0"/>
              <w:right w:val="single" w:color="auto" w:sz="4" w:space="0"/>
            </w:tcBorders>
            <w:shd w:val="clear" w:color="auto" w:fill="auto"/>
            <w:vAlign w:val="center"/>
          </w:tcPr>
          <w:p w14:paraId="0F9843D7">
            <w:pPr>
              <w:widowControl/>
              <w:spacing w:line="440" w:lineRule="exact"/>
              <w:jc w:val="left"/>
              <w:rPr>
                <w:rFonts w:ascii="宋体" w:hAnsi="宋体" w:cs="宋体"/>
                <w:bCs/>
                <w:kern w:val="0"/>
                <w:sz w:val="22"/>
                <w:szCs w:val="22"/>
                <w:highlight w:val="none"/>
              </w:rPr>
            </w:pPr>
            <w:r>
              <w:rPr>
                <w:rFonts w:hint="eastAsia" w:ascii="宋体" w:hAnsi="宋体" w:cs="宋体"/>
                <w:bCs/>
                <w:kern w:val="0"/>
                <w:sz w:val="22"/>
                <w:szCs w:val="22"/>
                <w:highlight w:val="none"/>
              </w:rPr>
              <w:t>投标文件自投标截止时间起生效，有效期90日。</w:t>
            </w:r>
          </w:p>
        </w:tc>
      </w:tr>
      <w:tr w14:paraId="5FA2A02C">
        <w:tblPrEx>
          <w:tblCellMar>
            <w:top w:w="0" w:type="dxa"/>
            <w:left w:w="108" w:type="dxa"/>
            <w:bottom w:w="0" w:type="dxa"/>
            <w:right w:w="108" w:type="dxa"/>
          </w:tblCellMar>
        </w:tblPrEx>
        <w:trPr>
          <w:trHeight w:val="857" w:hRule="atLeast"/>
        </w:trPr>
        <w:tc>
          <w:tcPr>
            <w:tcW w:w="867" w:type="dxa"/>
            <w:tcBorders>
              <w:top w:val="single" w:color="auto" w:sz="4" w:space="0"/>
              <w:left w:val="single" w:color="auto" w:sz="4" w:space="0"/>
              <w:bottom w:val="single" w:color="auto" w:sz="4" w:space="0"/>
              <w:right w:val="single" w:color="auto" w:sz="4" w:space="0"/>
            </w:tcBorders>
            <w:shd w:val="clear" w:color="auto" w:fill="auto"/>
            <w:vAlign w:val="center"/>
          </w:tcPr>
          <w:p w14:paraId="4255FA23">
            <w:pPr>
              <w:widowControl/>
              <w:spacing w:line="440" w:lineRule="exact"/>
              <w:jc w:val="center"/>
              <w:rPr>
                <w:rFonts w:ascii="宋体" w:hAnsi="宋体" w:cs="宋体"/>
                <w:bCs/>
                <w:kern w:val="0"/>
                <w:sz w:val="22"/>
                <w:szCs w:val="22"/>
                <w:highlight w:val="none"/>
              </w:rPr>
            </w:pPr>
            <w:r>
              <w:rPr>
                <w:rFonts w:hint="eastAsia" w:ascii="宋体" w:hAnsi="宋体" w:cs="宋体"/>
                <w:bCs/>
                <w:kern w:val="0"/>
                <w:sz w:val="22"/>
                <w:szCs w:val="22"/>
                <w:highlight w:val="none"/>
              </w:rPr>
              <w:t>14</w:t>
            </w:r>
          </w:p>
        </w:tc>
        <w:tc>
          <w:tcPr>
            <w:tcW w:w="1560" w:type="dxa"/>
            <w:tcBorders>
              <w:top w:val="single" w:color="auto" w:sz="4" w:space="0"/>
              <w:left w:val="single" w:color="auto" w:sz="4" w:space="0"/>
              <w:bottom w:val="single" w:color="auto" w:sz="4" w:space="0"/>
              <w:right w:val="single" w:color="auto" w:sz="4" w:space="0"/>
            </w:tcBorders>
            <w:shd w:val="clear" w:color="auto" w:fill="auto"/>
            <w:vAlign w:val="center"/>
          </w:tcPr>
          <w:p w14:paraId="3D2384AC">
            <w:pPr>
              <w:widowControl/>
              <w:spacing w:line="440" w:lineRule="exact"/>
              <w:jc w:val="left"/>
              <w:rPr>
                <w:rFonts w:ascii="宋体" w:hAnsi="宋体" w:cs="宋体"/>
                <w:bCs/>
                <w:kern w:val="0"/>
                <w:sz w:val="22"/>
                <w:szCs w:val="22"/>
                <w:highlight w:val="none"/>
              </w:rPr>
            </w:pPr>
            <w:r>
              <w:rPr>
                <w:rFonts w:hint="eastAsia" w:ascii="宋体" w:hAnsi="宋体" w:cs="宋体"/>
                <w:bCs/>
                <w:kern w:val="0"/>
                <w:sz w:val="22"/>
                <w:szCs w:val="22"/>
                <w:highlight w:val="none"/>
              </w:rPr>
              <w:t>投标保证金</w:t>
            </w:r>
          </w:p>
        </w:tc>
        <w:tc>
          <w:tcPr>
            <w:tcW w:w="6571" w:type="dxa"/>
            <w:tcBorders>
              <w:top w:val="single" w:color="auto" w:sz="4" w:space="0"/>
              <w:left w:val="single" w:color="auto" w:sz="4" w:space="0"/>
              <w:bottom w:val="single" w:color="auto" w:sz="4" w:space="0"/>
              <w:right w:val="single" w:color="auto" w:sz="4" w:space="0"/>
            </w:tcBorders>
            <w:shd w:val="clear" w:color="auto" w:fill="auto"/>
            <w:vAlign w:val="center"/>
          </w:tcPr>
          <w:p w14:paraId="775619B9">
            <w:pPr>
              <w:widowControl/>
              <w:spacing w:line="440" w:lineRule="exact"/>
              <w:jc w:val="left"/>
              <w:rPr>
                <w:rFonts w:ascii="宋体" w:hAnsi="宋体" w:cs="宋体"/>
                <w:bCs/>
                <w:kern w:val="0"/>
                <w:sz w:val="22"/>
                <w:szCs w:val="22"/>
                <w:highlight w:val="none"/>
              </w:rPr>
            </w:pPr>
            <w:r>
              <w:rPr>
                <w:rFonts w:hint="eastAsia" w:ascii="宋体" w:hAnsi="宋体" w:cs="宋体"/>
                <w:bCs/>
                <w:color w:val="000000" w:themeColor="text1"/>
                <w:kern w:val="0"/>
                <w:sz w:val="22"/>
                <w:szCs w:val="22"/>
                <w:highlight w:val="none"/>
                <w14:textFill>
                  <w14:solidFill>
                    <w14:schemeClr w14:val="tx1"/>
                  </w14:solidFill>
                </w14:textFill>
              </w:rPr>
              <w:t>投标保证金的金额：</w:t>
            </w:r>
            <w:r>
              <w:rPr>
                <w:rFonts w:hint="eastAsia" w:ascii="宋体" w:hAnsi="宋体" w:cs="宋体"/>
                <w:bCs/>
                <w:kern w:val="0"/>
                <w:sz w:val="22"/>
                <w:szCs w:val="22"/>
                <w:highlight w:val="none"/>
              </w:rPr>
              <w:t>人民币壹万壹仟元整（¥11000.00）</w:t>
            </w:r>
          </w:p>
          <w:p w14:paraId="20209E98">
            <w:pPr>
              <w:widowControl/>
              <w:spacing w:line="440" w:lineRule="exact"/>
              <w:jc w:val="left"/>
              <w:rPr>
                <w:rFonts w:ascii="宋体" w:hAnsi="宋体" w:cs="宋体"/>
                <w:bCs/>
                <w:color w:val="000000" w:themeColor="text1"/>
                <w:kern w:val="0"/>
                <w:sz w:val="22"/>
                <w:szCs w:val="22"/>
                <w:highlight w:val="none"/>
                <w14:textFill>
                  <w14:solidFill>
                    <w14:schemeClr w14:val="tx1"/>
                  </w14:solidFill>
                </w14:textFill>
              </w:rPr>
            </w:pPr>
            <w:r>
              <w:rPr>
                <w:rFonts w:hint="eastAsia" w:ascii="宋体" w:hAnsi="宋体" w:cs="宋体"/>
                <w:bCs/>
                <w:color w:val="000000" w:themeColor="text1"/>
                <w:kern w:val="0"/>
                <w:sz w:val="22"/>
                <w:szCs w:val="22"/>
                <w:highlight w:val="none"/>
                <w14:textFill>
                  <w14:solidFill>
                    <w14:schemeClr w14:val="tx1"/>
                  </w14:solidFill>
                </w14:textFill>
              </w:rPr>
              <w:t>投标保证金的形式：电汇或银行转账</w:t>
            </w:r>
          </w:p>
          <w:p w14:paraId="5544B8CD">
            <w:pPr>
              <w:widowControl/>
              <w:spacing w:line="440" w:lineRule="exact"/>
              <w:jc w:val="left"/>
              <w:rPr>
                <w:rFonts w:ascii="宋体" w:hAnsi="宋体" w:cs="宋体"/>
                <w:bCs/>
                <w:color w:val="000000" w:themeColor="text1"/>
                <w:kern w:val="0"/>
                <w:sz w:val="22"/>
                <w:szCs w:val="22"/>
                <w:highlight w:val="none"/>
                <w14:textFill>
                  <w14:solidFill>
                    <w14:schemeClr w14:val="tx1"/>
                  </w14:solidFill>
                </w14:textFill>
              </w:rPr>
            </w:pPr>
            <w:r>
              <w:rPr>
                <w:rFonts w:hint="eastAsia" w:ascii="宋体" w:hAnsi="宋体" w:cs="宋体"/>
                <w:bCs/>
                <w:color w:val="000000" w:themeColor="text1"/>
                <w:kern w:val="0"/>
                <w:sz w:val="22"/>
                <w:szCs w:val="22"/>
                <w:highlight w:val="none"/>
                <w14:textFill>
                  <w14:solidFill>
                    <w14:schemeClr w14:val="tx1"/>
                  </w14:solidFill>
                </w14:textFill>
              </w:rPr>
              <w:t>投标人应于2026年  月  日12:00前通过浙江省海港集团电子招标采购平台汇入指定账户。</w:t>
            </w:r>
          </w:p>
          <w:p w14:paraId="6EDBC7A4">
            <w:pPr>
              <w:widowControl/>
              <w:spacing w:line="440" w:lineRule="exact"/>
              <w:jc w:val="left"/>
              <w:rPr>
                <w:rFonts w:ascii="宋体" w:hAnsi="宋体" w:cs="宋体"/>
                <w:bCs/>
                <w:color w:val="000000" w:themeColor="text1"/>
                <w:kern w:val="0"/>
                <w:sz w:val="22"/>
                <w:szCs w:val="22"/>
                <w:highlight w:val="none"/>
                <w:u w:val="single"/>
                <w14:textFill>
                  <w14:solidFill>
                    <w14:schemeClr w14:val="tx1"/>
                  </w14:solidFill>
                </w14:textFill>
              </w:rPr>
            </w:pPr>
            <w:r>
              <w:rPr>
                <w:rFonts w:hint="eastAsia" w:ascii="宋体" w:hAnsi="宋体" w:cs="宋体"/>
                <w:bCs/>
                <w:color w:val="000000" w:themeColor="text1"/>
                <w:kern w:val="0"/>
                <w:sz w:val="22"/>
                <w:szCs w:val="22"/>
                <w:highlight w:val="none"/>
                <w14:textFill>
                  <w14:solidFill>
                    <w14:schemeClr w14:val="tx1"/>
                  </w14:solidFill>
                </w14:textFill>
              </w:rPr>
              <w:t>投标保证金应通过投标单位银行基本账户汇入，否则视为投标保证金无效。</w:t>
            </w:r>
          </w:p>
        </w:tc>
      </w:tr>
      <w:tr w14:paraId="4726A99E">
        <w:tblPrEx>
          <w:tblCellMar>
            <w:top w:w="0" w:type="dxa"/>
            <w:left w:w="108" w:type="dxa"/>
            <w:bottom w:w="0" w:type="dxa"/>
            <w:right w:w="108" w:type="dxa"/>
          </w:tblCellMar>
        </w:tblPrEx>
        <w:trPr>
          <w:trHeight w:val="3630" w:hRule="exact"/>
        </w:trPr>
        <w:tc>
          <w:tcPr>
            <w:tcW w:w="867" w:type="dxa"/>
            <w:tcBorders>
              <w:top w:val="single" w:color="auto" w:sz="4" w:space="0"/>
              <w:left w:val="single" w:color="auto" w:sz="4" w:space="0"/>
              <w:bottom w:val="single" w:color="auto" w:sz="4" w:space="0"/>
              <w:right w:val="single" w:color="auto" w:sz="4" w:space="0"/>
            </w:tcBorders>
            <w:shd w:val="clear" w:color="auto" w:fill="auto"/>
            <w:vAlign w:val="center"/>
          </w:tcPr>
          <w:p w14:paraId="70C4511C">
            <w:pPr>
              <w:widowControl/>
              <w:spacing w:line="440" w:lineRule="exact"/>
              <w:jc w:val="center"/>
              <w:rPr>
                <w:rFonts w:ascii="宋体" w:hAnsi="宋体" w:cs="宋体"/>
                <w:bCs/>
                <w:kern w:val="0"/>
                <w:sz w:val="22"/>
                <w:szCs w:val="22"/>
                <w:highlight w:val="none"/>
              </w:rPr>
            </w:pPr>
            <w:r>
              <w:rPr>
                <w:rFonts w:hint="eastAsia" w:ascii="宋体" w:hAnsi="宋体" w:cs="宋体"/>
                <w:bCs/>
                <w:kern w:val="0"/>
                <w:sz w:val="22"/>
                <w:szCs w:val="22"/>
                <w:highlight w:val="none"/>
              </w:rPr>
              <w:t>15</w:t>
            </w:r>
          </w:p>
        </w:tc>
        <w:tc>
          <w:tcPr>
            <w:tcW w:w="1560" w:type="dxa"/>
            <w:tcBorders>
              <w:top w:val="single" w:color="auto" w:sz="4" w:space="0"/>
              <w:left w:val="single" w:color="auto" w:sz="4" w:space="0"/>
              <w:bottom w:val="single" w:color="auto" w:sz="4" w:space="0"/>
              <w:right w:val="single" w:color="auto" w:sz="4" w:space="0"/>
            </w:tcBorders>
            <w:shd w:val="clear" w:color="auto" w:fill="auto"/>
            <w:vAlign w:val="center"/>
          </w:tcPr>
          <w:p w14:paraId="5345071D">
            <w:pPr>
              <w:widowControl/>
              <w:spacing w:line="440" w:lineRule="exact"/>
              <w:jc w:val="left"/>
              <w:rPr>
                <w:rFonts w:ascii="宋体" w:hAnsi="宋体" w:cs="宋体"/>
                <w:bCs/>
                <w:kern w:val="0"/>
                <w:sz w:val="22"/>
                <w:szCs w:val="22"/>
                <w:highlight w:val="none"/>
              </w:rPr>
            </w:pPr>
            <w:r>
              <w:rPr>
                <w:rFonts w:hint="eastAsia" w:ascii="宋体" w:hAnsi="宋体" w:cs="宋体"/>
                <w:bCs/>
                <w:kern w:val="0"/>
                <w:sz w:val="22"/>
                <w:szCs w:val="22"/>
                <w:highlight w:val="none"/>
              </w:rPr>
              <w:t>履约保证金</w:t>
            </w:r>
          </w:p>
        </w:tc>
        <w:tc>
          <w:tcPr>
            <w:tcW w:w="6571" w:type="dxa"/>
            <w:tcBorders>
              <w:top w:val="single" w:color="auto" w:sz="4" w:space="0"/>
              <w:left w:val="single" w:color="auto" w:sz="4" w:space="0"/>
              <w:bottom w:val="single" w:color="auto" w:sz="4" w:space="0"/>
              <w:right w:val="single" w:color="auto" w:sz="4" w:space="0"/>
            </w:tcBorders>
            <w:shd w:val="clear" w:color="auto" w:fill="auto"/>
            <w:vAlign w:val="center"/>
          </w:tcPr>
          <w:p w14:paraId="75005CCE">
            <w:pPr>
              <w:spacing w:line="440" w:lineRule="exact"/>
              <w:jc w:val="left"/>
              <w:rPr>
                <w:rFonts w:ascii="宋体" w:hAnsi="宋体" w:cs="宋体"/>
                <w:color w:val="000000" w:themeColor="text1"/>
                <w:kern w:val="0"/>
                <w:sz w:val="22"/>
                <w:szCs w:val="22"/>
                <w:highlight w:val="none"/>
                <w14:textFill>
                  <w14:solidFill>
                    <w14:schemeClr w14:val="tx1"/>
                  </w14:solidFill>
                </w14:textFill>
              </w:rPr>
            </w:pPr>
            <w:r>
              <w:rPr>
                <w:rFonts w:hint="eastAsia" w:ascii="宋体" w:hAnsi="宋体" w:cs="宋体"/>
                <w:color w:val="000000" w:themeColor="text1"/>
                <w:kern w:val="0"/>
                <w:sz w:val="22"/>
                <w:szCs w:val="22"/>
                <w:highlight w:val="none"/>
                <w14:textFill>
                  <w14:solidFill>
                    <w14:schemeClr w14:val="tx1"/>
                  </w14:solidFill>
                </w14:textFill>
              </w:rPr>
              <w:t>□不需要</w:t>
            </w:r>
          </w:p>
          <w:p w14:paraId="219D954B">
            <w:pPr>
              <w:spacing w:line="440" w:lineRule="exact"/>
              <w:jc w:val="left"/>
              <w:rPr>
                <w:rFonts w:ascii="宋体" w:hAnsi="宋体" w:cs="宋体"/>
                <w:color w:val="000000" w:themeColor="text1"/>
                <w:kern w:val="0"/>
                <w:sz w:val="22"/>
                <w:szCs w:val="22"/>
                <w:highlight w:val="none"/>
                <w14:textFill>
                  <w14:solidFill>
                    <w14:schemeClr w14:val="tx1"/>
                  </w14:solidFill>
                </w14:textFill>
              </w:rPr>
            </w:pPr>
            <w:r>
              <w:rPr>
                <w:rFonts w:hint="eastAsia" w:ascii="宋体" w:hAnsi="宋体" w:cs="宋体"/>
                <w:color w:val="000000" w:themeColor="text1"/>
                <w:kern w:val="0"/>
                <w:sz w:val="22"/>
                <w:szCs w:val="22"/>
                <w:highlight w:val="none"/>
                <w14:textFill>
                  <w14:solidFill>
                    <w14:schemeClr w14:val="tx1"/>
                  </w14:solidFill>
                </w14:textFill>
              </w:rPr>
              <w:fldChar w:fldCharType="begin"/>
            </w:r>
            <w:r>
              <w:rPr>
                <w:rFonts w:hint="eastAsia" w:ascii="宋体" w:hAnsi="宋体" w:cs="宋体"/>
                <w:color w:val="000000" w:themeColor="text1"/>
                <w:kern w:val="0"/>
                <w:sz w:val="22"/>
                <w:szCs w:val="22"/>
                <w:highlight w:val="none"/>
                <w14:textFill>
                  <w14:solidFill>
                    <w14:schemeClr w14:val="tx1"/>
                  </w14:solidFill>
                </w14:textFill>
              </w:rPr>
              <w:instrText xml:space="preserve"> eq \o\ac(</w:instrText>
            </w:r>
            <w:r>
              <w:rPr>
                <w:rFonts w:hint="eastAsia" w:ascii="宋体" w:hAnsi="宋体" w:cs="宋体"/>
                <w:color w:val="000000" w:themeColor="text1"/>
                <w:kern w:val="0"/>
                <w:position w:val="-4"/>
                <w:sz w:val="22"/>
                <w:szCs w:val="22"/>
                <w:highlight w:val="none"/>
                <w14:textFill>
                  <w14:solidFill>
                    <w14:schemeClr w14:val="tx1"/>
                  </w14:solidFill>
                </w14:textFill>
              </w:rPr>
              <w:instrText xml:space="preserve">□</w:instrText>
            </w:r>
            <w:r>
              <w:rPr>
                <w:rFonts w:hint="eastAsia" w:ascii="宋体" w:hAnsi="宋体" w:cs="宋体"/>
                <w:color w:val="000000" w:themeColor="text1"/>
                <w:kern w:val="0"/>
                <w:sz w:val="22"/>
                <w:szCs w:val="22"/>
                <w:highlight w:val="none"/>
                <w14:textFill>
                  <w14:solidFill>
                    <w14:schemeClr w14:val="tx1"/>
                  </w14:solidFill>
                </w14:textFill>
              </w:rPr>
              <w:instrText xml:space="preserve">,√)</w:instrText>
            </w:r>
            <w:r>
              <w:rPr>
                <w:rFonts w:hint="eastAsia" w:ascii="宋体" w:hAnsi="宋体" w:cs="宋体"/>
                <w:color w:val="000000" w:themeColor="text1"/>
                <w:kern w:val="0"/>
                <w:sz w:val="22"/>
                <w:szCs w:val="22"/>
                <w:highlight w:val="none"/>
                <w14:textFill>
                  <w14:solidFill>
                    <w14:schemeClr w14:val="tx1"/>
                  </w14:solidFill>
                </w14:textFill>
              </w:rPr>
              <w:fldChar w:fldCharType="end"/>
            </w:r>
            <w:r>
              <w:rPr>
                <w:rFonts w:hint="eastAsia" w:ascii="宋体" w:hAnsi="宋体" w:cs="宋体"/>
                <w:color w:val="000000" w:themeColor="text1"/>
                <w:kern w:val="0"/>
                <w:sz w:val="22"/>
                <w:szCs w:val="22"/>
                <w:highlight w:val="none"/>
                <w14:textFill>
                  <w14:solidFill>
                    <w14:schemeClr w14:val="tx1"/>
                  </w14:solidFill>
                </w14:textFill>
              </w:rPr>
              <w:t>需要</w:t>
            </w:r>
          </w:p>
          <w:p w14:paraId="6ABB4F36">
            <w:pPr>
              <w:spacing w:line="440" w:lineRule="exact"/>
              <w:jc w:val="left"/>
              <w:rPr>
                <w:rFonts w:ascii="宋体" w:hAnsi="宋体" w:cs="宋体"/>
                <w:color w:val="000000" w:themeColor="text1"/>
                <w:kern w:val="0"/>
                <w:sz w:val="22"/>
                <w:szCs w:val="22"/>
                <w:highlight w:val="none"/>
                <w14:textFill>
                  <w14:solidFill>
                    <w14:schemeClr w14:val="tx1"/>
                  </w14:solidFill>
                </w14:textFill>
              </w:rPr>
            </w:pPr>
            <w:r>
              <w:rPr>
                <w:rFonts w:hint="eastAsia" w:ascii="宋体" w:hAnsi="宋体" w:cs="宋体"/>
                <w:color w:val="000000" w:themeColor="text1"/>
                <w:kern w:val="0"/>
                <w:sz w:val="22"/>
                <w:szCs w:val="22"/>
                <w:highlight w:val="none"/>
                <w14:textFill>
                  <w14:solidFill>
                    <w14:schemeClr w14:val="tx1"/>
                  </w14:solidFill>
                </w14:textFill>
              </w:rPr>
              <w:t>履约保证金的形式：银行转账</w:t>
            </w:r>
          </w:p>
          <w:p w14:paraId="1E689D9D">
            <w:pPr>
              <w:spacing w:line="440" w:lineRule="exact"/>
              <w:jc w:val="left"/>
              <w:rPr>
                <w:rFonts w:ascii="宋体" w:hAnsi="宋体" w:cs="宋体"/>
                <w:color w:val="000000" w:themeColor="text1"/>
                <w:sz w:val="22"/>
                <w:szCs w:val="22"/>
                <w:highlight w:val="none"/>
                <w14:textFill>
                  <w14:solidFill>
                    <w14:schemeClr w14:val="tx1"/>
                  </w14:solidFill>
                </w14:textFill>
              </w:rPr>
            </w:pPr>
            <w:r>
              <w:rPr>
                <w:rFonts w:hint="eastAsia" w:ascii="宋体" w:hAnsi="宋体" w:cs="宋体"/>
                <w:color w:val="000000" w:themeColor="text1"/>
                <w:kern w:val="0"/>
                <w:sz w:val="22"/>
                <w:szCs w:val="22"/>
                <w:highlight w:val="none"/>
                <w14:textFill>
                  <w14:solidFill>
                    <w14:schemeClr w14:val="tx1"/>
                  </w14:solidFill>
                </w14:textFill>
              </w:rPr>
              <w:t>履约保</w:t>
            </w:r>
            <w:r>
              <w:rPr>
                <w:rFonts w:hint="eastAsia" w:ascii="宋体" w:hAnsi="宋体" w:cs="宋体"/>
                <w:kern w:val="0"/>
                <w:sz w:val="22"/>
                <w:szCs w:val="22"/>
                <w:highlight w:val="none"/>
              </w:rPr>
              <w:t>证金的金额：</w:t>
            </w:r>
            <w:r>
              <w:rPr>
                <w:rFonts w:hint="eastAsia" w:ascii="宋体" w:hAnsi="宋体" w:cs="宋体"/>
                <w:color w:val="000000" w:themeColor="text1"/>
                <w:kern w:val="0"/>
                <w:sz w:val="22"/>
                <w:szCs w:val="22"/>
                <w:highlight w:val="none"/>
                <w14:textFill>
                  <w14:solidFill>
                    <w14:schemeClr w14:val="tx1"/>
                  </w14:solidFill>
                </w14:textFill>
              </w:rPr>
              <w:t>中标人在合同签订之前须向招标人提交合同总价5%的履约保证金，并且要保证履约保证金在合同履行期间的有效性。</w:t>
            </w:r>
            <w:r>
              <w:rPr>
                <w:rFonts w:hint="eastAsia" w:ascii="宋体" w:hAnsi="宋体" w:cs="宋体"/>
                <w:color w:val="000000" w:themeColor="text1"/>
                <w:sz w:val="22"/>
                <w:szCs w:val="22"/>
                <w:highlight w:val="none"/>
                <w14:textFill>
                  <w14:solidFill>
                    <w14:schemeClr w14:val="tx1"/>
                  </w14:solidFill>
                </w14:textFill>
              </w:rPr>
              <w:t>履约保证金在验收合格后转为质量保证金继续执行，待质保期满后，维修的设备正常运行无质量问题，招标人在30个日历天内无息向</w:t>
            </w:r>
            <w:r>
              <w:rPr>
                <w:rFonts w:hint="eastAsia"/>
                <w:highlight w:val="none"/>
              </w:rPr>
              <w:t>中标人</w:t>
            </w:r>
            <w:r>
              <w:rPr>
                <w:rFonts w:hint="eastAsia" w:ascii="宋体" w:hAnsi="宋体" w:cs="宋体"/>
                <w:color w:val="000000" w:themeColor="text1"/>
                <w:sz w:val="22"/>
                <w:szCs w:val="22"/>
                <w:highlight w:val="none"/>
                <w14:textFill>
                  <w14:solidFill>
                    <w14:schemeClr w14:val="tx1"/>
                  </w14:solidFill>
                </w14:textFill>
              </w:rPr>
              <w:t>退还。</w:t>
            </w:r>
          </w:p>
        </w:tc>
      </w:tr>
      <w:tr w14:paraId="49A99CCC">
        <w:tblPrEx>
          <w:tblCellMar>
            <w:top w:w="0" w:type="dxa"/>
            <w:left w:w="108" w:type="dxa"/>
            <w:bottom w:w="0" w:type="dxa"/>
            <w:right w:w="108" w:type="dxa"/>
          </w:tblCellMar>
        </w:tblPrEx>
        <w:trPr>
          <w:trHeight w:val="1245" w:hRule="atLeast"/>
        </w:trPr>
        <w:tc>
          <w:tcPr>
            <w:tcW w:w="867" w:type="dxa"/>
            <w:tcBorders>
              <w:top w:val="single" w:color="auto" w:sz="4" w:space="0"/>
              <w:left w:val="single" w:color="auto" w:sz="4" w:space="0"/>
              <w:bottom w:val="single" w:color="auto" w:sz="4" w:space="0"/>
              <w:right w:val="single" w:color="auto" w:sz="4" w:space="0"/>
            </w:tcBorders>
            <w:shd w:val="clear" w:color="auto" w:fill="auto"/>
            <w:vAlign w:val="center"/>
          </w:tcPr>
          <w:p w14:paraId="14C5A521">
            <w:pPr>
              <w:widowControl/>
              <w:spacing w:line="440" w:lineRule="exact"/>
              <w:jc w:val="center"/>
              <w:rPr>
                <w:rFonts w:ascii="宋体" w:hAnsi="宋体" w:cs="宋体"/>
                <w:bCs/>
                <w:kern w:val="0"/>
                <w:sz w:val="22"/>
                <w:szCs w:val="22"/>
                <w:highlight w:val="none"/>
              </w:rPr>
            </w:pPr>
            <w:r>
              <w:rPr>
                <w:rFonts w:hint="eastAsia" w:ascii="宋体" w:hAnsi="宋体" w:cs="宋体"/>
                <w:bCs/>
                <w:kern w:val="0"/>
                <w:sz w:val="22"/>
                <w:szCs w:val="22"/>
                <w:highlight w:val="none"/>
              </w:rPr>
              <w:t>16</w:t>
            </w:r>
          </w:p>
        </w:tc>
        <w:tc>
          <w:tcPr>
            <w:tcW w:w="1560" w:type="dxa"/>
            <w:tcBorders>
              <w:top w:val="single" w:color="auto" w:sz="4" w:space="0"/>
              <w:left w:val="single" w:color="auto" w:sz="4" w:space="0"/>
              <w:bottom w:val="single" w:color="auto" w:sz="4" w:space="0"/>
              <w:right w:val="single" w:color="auto" w:sz="4" w:space="0"/>
            </w:tcBorders>
            <w:shd w:val="clear" w:color="auto" w:fill="auto"/>
            <w:vAlign w:val="center"/>
          </w:tcPr>
          <w:p w14:paraId="566657D2">
            <w:pPr>
              <w:spacing w:line="440" w:lineRule="exact"/>
              <w:jc w:val="left"/>
              <w:rPr>
                <w:rFonts w:ascii="宋体" w:hAnsi="宋体" w:cs="宋体"/>
                <w:b/>
                <w:kern w:val="0"/>
                <w:sz w:val="22"/>
                <w:szCs w:val="22"/>
                <w:highlight w:val="none"/>
              </w:rPr>
            </w:pPr>
            <w:r>
              <w:rPr>
                <w:rFonts w:hint="eastAsia" w:ascii="宋体" w:hAnsi="宋体" w:cs="宋体"/>
                <w:bCs/>
                <w:kern w:val="0"/>
                <w:sz w:val="22"/>
                <w:szCs w:val="22"/>
                <w:highlight w:val="none"/>
              </w:rPr>
              <w:t>包装要求</w:t>
            </w:r>
          </w:p>
        </w:tc>
        <w:tc>
          <w:tcPr>
            <w:tcW w:w="6571" w:type="dxa"/>
            <w:tcBorders>
              <w:top w:val="single" w:color="auto" w:sz="4" w:space="0"/>
              <w:left w:val="single" w:color="auto" w:sz="4" w:space="0"/>
              <w:bottom w:val="single" w:color="auto" w:sz="4" w:space="0"/>
              <w:right w:val="single" w:color="auto" w:sz="4" w:space="0"/>
            </w:tcBorders>
            <w:shd w:val="clear" w:color="auto" w:fill="auto"/>
            <w:vAlign w:val="center"/>
          </w:tcPr>
          <w:p w14:paraId="37F3E44D">
            <w:pPr>
              <w:spacing w:line="440" w:lineRule="exact"/>
              <w:jc w:val="left"/>
              <w:rPr>
                <w:rFonts w:ascii="宋体" w:hAnsi="宋体" w:cs="宋体"/>
                <w:kern w:val="0"/>
                <w:sz w:val="22"/>
                <w:szCs w:val="22"/>
                <w:highlight w:val="none"/>
              </w:rPr>
            </w:pPr>
            <w:r>
              <w:rPr>
                <w:rFonts w:hint="eastAsia" w:ascii="宋体" w:hAnsi="宋体" w:cs="宋体"/>
                <w:kern w:val="0"/>
                <w:sz w:val="22"/>
                <w:szCs w:val="22"/>
                <w:highlight w:val="none"/>
              </w:rPr>
              <w:t>将电子投标文件加密后递交至电子招标采购平台。</w:t>
            </w:r>
          </w:p>
        </w:tc>
      </w:tr>
      <w:tr w14:paraId="611B0242">
        <w:tblPrEx>
          <w:tblCellMar>
            <w:top w:w="0" w:type="dxa"/>
            <w:left w:w="108" w:type="dxa"/>
            <w:bottom w:w="0" w:type="dxa"/>
            <w:right w:w="108" w:type="dxa"/>
          </w:tblCellMar>
        </w:tblPrEx>
        <w:trPr>
          <w:trHeight w:val="685" w:hRule="atLeast"/>
        </w:trPr>
        <w:tc>
          <w:tcPr>
            <w:tcW w:w="867" w:type="dxa"/>
            <w:tcBorders>
              <w:top w:val="single" w:color="auto" w:sz="4" w:space="0"/>
              <w:left w:val="single" w:color="auto" w:sz="4" w:space="0"/>
              <w:bottom w:val="single" w:color="auto" w:sz="4" w:space="0"/>
              <w:right w:val="single" w:color="auto" w:sz="4" w:space="0"/>
            </w:tcBorders>
            <w:shd w:val="clear" w:color="auto" w:fill="auto"/>
            <w:vAlign w:val="center"/>
          </w:tcPr>
          <w:p w14:paraId="6C1DF3FE">
            <w:pPr>
              <w:widowControl/>
              <w:spacing w:line="440" w:lineRule="exact"/>
              <w:jc w:val="center"/>
              <w:rPr>
                <w:rFonts w:ascii="宋体" w:hAnsi="宋体" w:cs="宋体"/>
                <w:bCs/>
                <w:kern w:val="0"/>
                <w:sz w:val="22"/>
                <w:szCs w:val="22"/>
                <w:highlight w:val="none"/>
              </w:rPr>
            </w:pPr>
            <w:r>
              <w:rPr>
                <w:rFonts w:hint="eastAsia" w:ascii="宋体" w:hAnsi="宋体" w:cs="宋体"/>
                <w:bCs/>
                <w:kern w:val="0"/>
                <w:sz w:val="22"/>
                <w:szCs w:val="22"/>
                <w:highlight w:val="none"/>
              </w:rPr>
              <w:t>17</w:t>
            </w:r>
          </w:p>
        </w:tc>
        <w:tc>
          <w:tcPr>
            <w:tcW w:w="1560" w:type="dxa"/>
            <w:tcBorders>
              <w:top w:val="single" w:color="auto" w:sz="4" w:space="0"/>
              <w:left w:val="single" w:color="auto" w:sz="4" w:space="0"/>
              <w:bottom w:val="single" w:color="auto" w:sz="4" w:space="0"/>
              <w:right w:val="single" w:color="auto" w:sz="4" w:space="0"/>
            </w:tcBorders>
            <w:shd w:val="clear" w:color="auto" w:fill="auto"/>
            <w:vAlign w:val="center"/>
          </w:tcPr>
          <w:p w14:paraId="48937185">
            <w:pPr>
              <w:widowControl/>
              <w:spacing w:line="440" w:lineRule="exact"/>
              <w:jc w:val="left"/>
              <w:rPr>
                <w:rFonts w:ascii="宋体" w:hAnsi="宋体" w:cs="宋体"/>
                <w:bCs/>
                <w:kern w:val="0"/>
                <w:sz w:val="22"/>
                <w:szCs w:val="22"/>
                <w:highlight w:val="none"/>
              </w:rPr>
            </w:pPr>
            <w:r>
              <w:rPr>
                <w:rFonts w:hint="eastAsia" w:ascii="宋体" w:hAnsi="宋体" w:cs="宋体"/>
                <w:bCs/>
                <w:kern w:val="0"/>
                <w:sz w:val="22"/>
                <w:szCs w:val="22"/>
                <w:highlight w:val="none"/>
              </w:rPr>
              <w:t>答疑与澄清</w:t>
            </w:r>
          </w:p>
        </w:tc>
        <w:tc>
          <w:tcPr>
            <w:tcW w:w="6571" w:type="dxa"/>
            <w:tcBorders>
              <w:top w:val="single" w:color="auto" w:sz="4" w:space="0"/>
              <w:left w:val="single" w:color="auto" w:sz="4" w:space="0"/>
              <w:bottom w:val="single" w:color="auto" w:sz="4" w:space="0"/>
              <w:right w:val="single" w:color="auto" w:sz="4" w:space="0"/>
            </w:tcBorders>
            <w:shd w:val="clear" w:color="auto" w:fill="auto"/>
            <w:vAlign w:val="center"/>
          </w:tcPr>
          <w:p w14:paraId="514DF54C">
            <w:pPr>
              <w:spacing w:line="440" w:lineRule="exact"/>
              <w:ind w:hanging="4"/>
              <w:jc w:val="left"/>
              <w:rPr>
                <w:rFonts w:ascii="宋体" w:hAnsi="宋体" w:cs="宋体"/>
                <w:sz w:val="22"/>
                <w:szCs w:val="22"/>
                <w:highlight w:val="none"/>
                <w:lang w:val="zh-CN"/>
              </w:rPr>
            </w:pPr>
            <w:r>
              <w:rPr>
                <w:rFonts w:hint="eastAsia" w:ascii="宋体" w:hAnsi="宋体" w:cs="宋体"/>
                <w:sz w:val="22"/>
                <w:szCs w:val="22"/>
                <w:highlight w:val="none"/>
                <w:lang w:val="zh-CN"/>
              </w:rPr>
              <w:t>（1）招标人对已发出的招标文件进行必要的澄清和修改时，将在招标公告规定的投标截止时间</w:t>
            </w:r>
            <w:r>
              <w:rPr>
                <w:rFonts w:hint="eastAsia" w:ascii="宋体" w:hAnsi="宋体" w:cs="宋体"/>
                <w:sz w:val="22"/>
                <w:szCs w:val="22"/>
                <w:highlight w:val="none"/>
              </w:rPr>
              <w:t>10</w:t>
            </w:r>
            <w:r>
              <w:rPr>
                <w:rFonts w:hint="eastAsia" w:ascii="宋体" w:hAnsi="宋体" w:cs="宋体"/>
                <w:sz w:val="22"/>
                <w:szCs w:val="22"/>
                <w:highlight w:val="none"/>
                <w:lang w:val="zh-CN"/>
              </w:rPr>
              <w:t xml:space="preserve">日前，以书面形式或在规定信息发布网站上通知所有招标文件收受人，投标人须自行查看是否有澄清和修改文件，并按澄清和修改文件要求投标，否则责任自负，澄清和修改的内容作为招标文件的组成部分。招标人根据实际情况，作出延长投标截止时间和开标时间的决定，并发布变更公告。 </w:t>
            </w:r>
          </w:p>
          <w:p w14:paraId="328EC02A">
            <w:pPr>
              <w:spacing w:line="440" w:lineRule="exact"/>
              <w:ind w:hanging="4"/>
              <w:jc w:val="left"/>
              <w:rPr>
                <w:rFonts w:ascii="宋体" w:hAnsi="宋体" w:cs="宋体"/>
                <w:sz w:val="22"/>
                <w:szCs w:val="22"/>
                <w:highlight w:val="none"/>
                <w:lang w:val="zh-CN"/>
              </w:rPr>
            </w:pPr>
            <w:r>
              <w:rPr>
                <w:rFonts w:hint="eastAsia" w:ascii="宋体" w:hAnsi="宋体" w:cs="宋体"/>
                <w:sz w:val="22"/>
                <w:szCs w:val="22"/>
                <w:highlight w:val="none"/>
                <w:lang w:val="zh-CN"/>
              </w:rPr>
              <w:t>（2）购买招标文件的潜在投标人对招标文件有异议，应在投标截止时间10日前，在线提起质疑或送至招标代理公司或以邮件形式</w:t>
            </w:r>
            <w:r>
              <w:rPr>
                <w:rFonts w:hint="eastAsia" w:ascii="宋体" w:hAnsi="宋体" w:cs="宋体"/>
                <w:color w:val="000000" w:themeColor="text1"/>
                <w:sz w:val="22"/>
                <w:szCs w:val="22"/>
                <w:highlight w:val="none"/>
                <w14:textFill>
                  <w14:solidFill>
                    <w14:schemeClr w14:val="tx1"/>
                  </w14:solidFill>
                </w14:textFill>
              </w:rPr>
              <w:t>328814049@qq.com</w:t>
            </w:r>
            <w:r>
              <w:rPr>
                <w:rFonts w:hint="eastAsia" w:ascii="宋体" w:hAnsi="宋体" w:cs="宋体"/>
                <w:sz w:val="22"/>
                <w:szCs w:val="22"/>
                <w:highlight w:val="none"/>
                <w:lang w:val="zh-CN"/>
              </w:rPr>
              <w:t xml:space="preserve"> 。</w:t>
            </w:r>
          </w:p>
          <w:p w14:paraId="6136856E">
            <w:pPr>
              <w:spacing w:line="440" w:lineRule="exact"/>
              <w:ind w:hanging="4"/>
              <w:jc w:val="left"/>
              <w:rPr>
                <w:rFonts w:ascii="宋体" w:hAnsi="宋体" w:cs="宋体"/>
                <w:sz w:val="22"/>
                <w:szCs w:val="22"/>
                <w:highlight w:val="none"/>
                <w:lang w:val="zh-CN"/>
              </w:rPr>
            </w:pPr>
            <w:r>
              <w:rPr>
                <w:rFonts w:hint="eastAsia" w:ascii="宋体" w:hAnsi="宋体" w:cs="宋体"/>
                <w:sz w:val="22"/>
                <w:szCs w:val="22"/>
                <w:highlight w:val="none"/>
                <w:lang w:val="zh-CN"/>
              </w:rPr>
              <w:t>投标人在线提起质疑，路径为：浙江省海港集团电子招标采购平台-进入项目-澄清答疑。</w:t>
            </w:r>
          </w:p>
          <w:p w14:paraId="54D8BB94">
            <w:pPr>
              <w:spacing w:line="440" w:lineRule="exact"/>
              <w:ind w:hanging="4"/>
              <w:jc w:val="left"/>
              <w:rPr>
                <w:rFonts w:ascii="宋体" w:hAnsi="宋体" w:cs="宋体"/>
                <w:sz w:val="22"/>
                <w:szCs w:val="22"/>
                <w:highlight w:val="none"/>
                <w:lang w:val="zh-CN"/>
              </w:rPr>
            </w:pPr>
            <w:r>
              <w:rPr>
                <w:rFonts w:hint="eastAsia" w:ascii="宋体" w:hAnsi="宋体" w:cs="宋体"/>
                <w:sz w:val="22"/>
                <w:szCs w:val="22"/>
                <w:highlight w:val="none"/>
                <w:lang w:val="zh-CN"/>
              </w:rPr>
              <w:t>注意：在线质疑后，电话告知相关招标人、代理机构。</w:t>
            </w:r>
          </w:p>
          <w:p w14:paraId="64E12BA5">
            <w:pPr>
              <w:pStyle w:val="17"/>
              <w:spacing w:beforeLines="0" w:afterLines="0" w:line="440" w:lineRule="exact"/>
              <w:jc w:val="left"/>
              <w:rPr>
                <w:rFonts w:hAnsi="宋体" w:cs="宋体"/>
                <w:color w:val="000000"/>
                <w:kern w:val="2"/>
                <w:sz w:val="22"/>
                <w:szCs w:val="22"/>
                <w:highlight w:val="none"/>
              </w:rPr>
            </w:pPr>
            <w:r>
              <w:rPr>
                <w:rFonts w:hint="eastAsia" w:hAnsi="宋体" w:cs="宋体"/>
                <w:kern w:val="2"/>
                <w:sz w:val="22"/>
                <w:szCs w:val="22"/>
                <w:highlight w:val="none"/>
                <w:lang w:val="zh-CN"/>
              </w:rPr>
              <w:t>（3）没有提出异议且又参与了该项目投标的投标人将被视为完全认同招标文件。</w:t>
            </w:r>
          </w:p>
        </w:tc>
      </w:tr>
      <w:tr w14:paraId="5F768CBD">
        <w:tblPrEx>
          <w:tblCellMar>
            <w:top w:w="0" w:type="dxa"/>
            <w:left w:w="108" w:type="dxa"/>
            <w:bottom w:w="0" w:type="dxa"/>
            <w:right w:w="108" w:type="dxa"/>
          </w:tblCellMar>
        </w:tblPrEx>
        <w:trPr>
          <w:trHeight w:val="649" w:hRule="atLeast"/>
        </w:trPr>
        <w:tc>
          <w:tcPr>
            <w:tcW w:w="867" w:type="dxa"/>
            <w:tcBorders>
              <w:top w:val="single" w:color="auto" w:sz="4" w:space="0"/>
              <w:left w:val="single" w:color="auto" w:sz="4" w:space="0"/>
              <w:bottom w:val="single" w:color="auto" w:sz="4" w:space="0"/>
              <w:right w:val="single" w:color="auto" w:sz="4" w:space="0"/>
            </w:tcBorders>
            <w:shd w:val="clear" w:color="auto" w:fill="auto"/>
            <w:vAlign w:val="center"/>
          </w:tcPr>
          <w:p w14:paraId="7AA55D46">
            <w:pPr>
              <w:widowControl/>
              <w:spacing w:line="440" w:lineRule="exact"/>
              <w:jc w:val="center"/>
              <w:rPr>
                <w:rFonts w:ascii="宋体" w:hAnsi="宋体" w:cs="宋体"/>
                <w:bCs/>
                <w:kern w:val="0"/>
                <w:sz w:val="22"/>
                <w:szCs w:val="22"/>
                <w:highlight w:val="none"/>
              </w:rPr>
            </w:pPr>
            <w:r>
              <w:rPr>
                <w:rFonts w:hint="eastAsia" w:ascii="宋体" w:hAnsi="宋体" w:cs="宋体"/>
                <w:bCs/>
                <w:kern w:val="0"/>
                <w:sz w:val="22"/>
                <w:szCs w:val="22"/>
                <w:highlight w:val="none"/>
              </w:rPr>
              <w:t>18</w:t>
            </w:r>
          </w:p>
        </w:tc>
        <w:tc>
          <w:tcPr>
            <w:tcW w:w="1560" w:type="dxa"/>
            <w:tcBorders>
              <w:top w:val="single" w:color="auto" w:sz="4" w:space="0"/>
              <w:left w:val="single" w:color="auto" w:sz="4" w:space="0"/>
              <w:bottom w:val="single" w:color="auto" w:sz="4" w:space="0"/>
              <w:right w:val="single" w:color="auto" w:sz="4" w:space="0"/>
            </w:tcBorders>
            <w:shd w:val="clear" w:color="auto" w:fill="auto"/>
            <w:vAlign w:val="center"/>
          </w:tcPr>
          <w:p w14:paraId="326AE46F">
            <w:pPr>
              <w:widowControl/>
              <w:spacing w:line="440" w:lineRule="exact"/>
              <w:jc w:val="left"/>
              <w:rPr>
                <w:rFonts w:ascii="宋体" w:hAnsi="宋体" w:cs="宋体"/>
                <w:bCs/>
                <w:kern w:val="0"/>
                <w:sz w:val="22"/>
                <w:szCs w:val="22"/>
                <w:highlight w:val="none"/>
              </w:rPr>
            </w:pPr>
            <w:r>
              <w:rPr>
                <w:rFonts w:hint="eastAsia" w:ascii="宋体" w:hAnsi="宋体" w:cs="宋体"/>
                <w:bCs/>
                <w:kern w:val="0"/>
                <w:sz w:val="22"/>
                <w:szCs w:val="22"/>
                <w:highlight w:val="none"/>
              </w:rPr>
              <w:t>递交投标文件地点及截止时间</w:t>
            </w:r>
          </w:p>
        </w:tc>
        <w:tc>
          <w:tcPr>
            <w:tcW w:w="6571" w:type="dxa"/>
            <w:tcBorders>
              <w:top w:val="single" w:color="auto" w:sz="4" w:space="0"/>
              <w:left w:val="single" w:color="auto" w:sz="4" w:space="0"/>
              <w:bottom w:val="single" w:color="auto" w:sz="4" w:space="0"/>
              <w:right w:val="single" w:color="auto" w:sz="4" w:space="0"/>
            </w:tcBorders>
            <w:shd w:val="clear" w:color="auto" w:fill="auto"/>
            <w:vAlign w:val="center"/>
          </w:tcPr>
          <w:p w14:paraId="4BE187C1">
            <w:pPr>
              <w:pStyle w:val="12"/>
              <w:spacing w:after="0" w:line="440" w:lineRule="exact"/>
              <w:ind w:firstLine="0" w:firstLineChars="0"/>
              <w:jc w:val="left"/>
              <w:rPr>
                <w:rFonts w:ascii="宋体" w:hAnsi="宋体" w:cs="宋体"/>
                <w:kern w:val="2"/>
                <w:sz w:val="22"/>
                <w:szCs w:val="22"/>
                <w:highlight w:val="none"/>
              </w:rPr>
            </w:pPr>
            <w:r>
              <w:rPr>
                <w:rFonts w:hint="eastAsia" w:ascii="宋体" w:hAnsi="宋体" w:cs="宋体"/>
                <w:bCs/>
                <w:sz w:val="22"/>
                <w:szCs w:val="22"/>
                <w:highlight w:val="none"/>
              </w:rPr>
              <w:t>同招标公告</w:t>
            </w:r>
          </w:p>
        </w:tc>
      </w:tr>
      <w:tr w14:paraId="1A9DA57D">
        <w:tblPrEx>
          <w:tblCellMar>
            <w:top w:w="0" w:type="dxa"/>
            <w:left w:w="108" w:type="dxa"/>
            <w:bottom w:w="0" w:type="dxa"/>
            <w:right w:w="108" w:type="dxa"/>
          </w:tblCellMar>
        </w:tblPrEx>
        <w:trPr>
          <w:trHeight w:val="127" w:hRule="atLeast"/>
        </w:trPr>
        <w:tc>
          <w:tcPr>
            <w:tcW w:w="867" w:type="dxa"/>
            <w:tcBorders>
              <w:top w:val="single" w:color="auto" w:sz="4" w:space="0"/>
              <w:left w:val="single" w:color="auto" w:sz="4" w:space="0"/>
              <w:bottom w:val="single" w:color="auto" w:sz="4" w:space="0"/>
              <w:right w:val="single" w:color="auto" w:sz="4" w:space="0"/>
            </w:tcBorders>
            <w:shd w:val="clear" w:color="auto" w:fill="auto"/>
            <w:vAlign w:val="center"/>
          </w:tcPr>
          <w:p w14:paraId="7D180C4D">
            <w:pPr>
              <w:widowControl/>
              <w:spacing w:line="440" w:lineRule="exact"/>
              <w:jc w:val="center"/>
              <w:rPr>
                <w:rFonts w:ascii="宋体" w:hAnsi="宋体" w:cs="宋体"/>
                <w:bCs/>
                <w:kern w:val="0"/>
                <w:sz w:val="22"/>
                <w:szCs w:val="22"/>
                <w:highlight w:val="none"/>
              </w:rPr>
            </w:pPr>
            <w:r>
              <w:rPr>
                <w:rFonts w:hint="eastAsia" w:ascii="宋体" w:hAnsi="宋体" w:cs="宋体"/>
                <w:bCs/>
                <w:kern w:val="0"/>
                <w:sz w:val="22"/>
                <w:szCs w:val="22"/>
                <w:highlight w:val="none"/>
              </w:rPr>
              <w:t>19</w:t>
            </w:r>
          </w:p>
        </w:tc>
        <w:tc>
          <w:tcPr>
            <w:tcW w:w="1560" w:type="dxa"/>
            <w:tcBorders>
              <w:top w:val="single" w:color="auto" w:sz="4" w:space="0"/>
              <w:left w:val="single" w:color="auto" w:sz="4" w:space="0"/>
              <w:bottom w:val="single" w:color="auto" w:sz="4" w:space="0"/>
              <w:right w:val="single" w:color="auto" w:sz="4" w:space="0"/>
            </w:tcBorders>
            <w:shd w:val="clear" w:color="auto" w:fill="auto"/>
            <w:vAlign w:val="center"/>
          </w:tcPr>
          <w:p w14:paraId="69CE1B59">
            <w:pPr>
              <w:widowControl/>
              <w:spacing w:line="440" w:lineRule="exact"/>
              <w:jc w:val="left"/>
              <w:rPr>
                <w:rFonts w:ascii="宋体" w:hAnsi="宋体" w:cs="宋体"/>
                <w:bCs/>
                <w:kern w:val="0"/>
                <w:sz w:val="22"/>
                <w:szCs w:val="22"/>
                <w:highlight w:val="none"/>
              </w:rPr>
            </w:pPr>
            <w:r>
              <w:rPr>
                <w:rFonts w:hint="eastAsia" w:ascii="宋体" w:hAnsi="宋体" w:cs="宋体"/>
                <w:bCs/>
                <w:kern w:val="0"/>
                <w:sz w:val="22"/>
                <w:szCs w:val="22"/>
                <w:highlight w:val="none"/>
              </w:rPr>
              <w:t>开标时间和地点</w:t>
            </w:r>
          </w:p>
        </w:tc>
        <w:tc>
          <w:tcPr>
            <w:tcW w:w="6571" w:type="dxa"/>
            <w:tcBorders>
              <w:top w:val="single" w:color="auto" w:sz="4" w:space="0"/>
              <w:left w:val="single" w:color="auto" w:sz="4" w:space="0"/>
              <w:bottom w:val="single" w:color="auto" w:sz="4" w:space="0"/>
              <w:right w:val="single" w:color="auto" w:sz="4" w:space="0"/>
            </w:tcBorders>
            <w:shd w:val="clear" w:color="auto" w:fill="auto"/>
            <w:vAlign w:val="center"/>
          </w:tcPr>
          <w:p w14:paraId="7ED43A66">
            <w:pPr>
              <w:widowControl/>
              <w:spacing w:line="440" w:lineRule="exact"/>
              <w:jc w:val="left"/>
              <w:rPr>
                <w:rFonts w:ascii="宋体" w:hAnsi="宋体" w:cs="宋体"/>
                <w:bCs/>
                <w:kern w:val="0"/>
                <w:sz w:val="22"/>
                <w:szCs w:val="22"/>
                <w:highlight w:val="none"/>
              </w:rPr>
            </w:pPr>
            <w:r>
              <w:rPr>
                <w:rFonts w:hint="eastAsia" w:ascii="宋体" w:hAnsi="宋体" w:cs="宋体"/>
                <w:bCs/>
                <w:kern w:val="0"/>
                <w:sz w:val="22"/>
                <w:szCs w:val="22"/>
                <w:highlight w:val="none"/>
              </w:rPr>
              <w:t>同招标公告</w:t>
            </w:r>
          </w:p>
        </w:tc>
      </w:tr>
      <w:tr w14:paraId="1F6D0086">
        <w:tblPrEx>
          <w:tblCellMar>
            <w:top w:w="0" w:type="dxa"/>
            <w:left w:w="108" w:type="dxa"/>
            <w:bottom w:w="0" w:type="dxa"/>
            <w:right w:w="108" w:type="dxa"/>
          </w:tblCellMar>
        </w:tblPrEx>
        <w:trPr>
          <w:trHeight w:val="865" w:hRule="atLeast"/>
        </w:trPr>
        <w:tc>
          <w:tcPr>
            <w:tcW w:w="867" w:type="dxa"/>
            <w:tcBorders>
              <w:top w:val="single" w:color="auto" w:sz="4" w:space="0"/>
              <w:left w:val="single" w:color="auto" w:sz="4" w:space="0"/>
              <w:bottom w:val="single" w:color="auto" w:sz="4" w:space="0"/>
              <w:right w:val="single" w:color="auto" w:sz="4" w:space="0"/>
            </w:tcBorders>
            <w:shd w:val="clear" w:color="auto" w:fill="auto"/>
            <w:vAlign w:val="center"/>
          </w:tcPr>
          <w:p w14:paraId="47C09696">
            <w:pPr>
              <w:widowControl/>
              <w:spacing w:line="440" w:lineRule="exact"/>
              <w:jc w:val="center"/>
              <w:rPr>
                <w:rFonts w:ascii="宋体" w:hAnsi="宋体" w:cs="宋体"/>
                <w:bCs/>
                <w:kern w:val="0"/>
                <w:sz w:val="22"/>
                <w:szCs w:val="22"/>
                <w:highlight w:val="none"/>
              </w:rPr>
            </w:pPr>
            <w:r>
              <w:rPr>
                <w:rFonts w:hint="eastAsia" w:ascii="宋体" w:hAnsi="宋体" w:cs="宋体"/>
                <w:bCs/>
                <w:kern w:val="0"/>
                <w:sz w:val="22"/>
                <w:szCs w:val="22"/>
                <w:highlight w:val="none"/>
              </w:rPr>
              <w:t>20</w:t>
            </w:r>
          </w:p>
        </w:tc>
        <w:tc>
          <w:tcPr>
            <w:tcW w:w="1560" w:type="dxa"/>
            <w:tcBorders>
              <w:top w:val="single" w:color="auto" w:sz="4" w:space="0"/>
              <w:left w:val="single" w:color="auto" w:sz="4" w:space="0"/>
              <w:bottom w:val="single" w:color="auto" w:sz="4" w:space="0"/>
              <w:right w:val="single" w:color="auto" w:sz="4" w:space="0"/>
            </w:tcBorders>
            <w:shd w:val="clear" w:color="auto" w:fill="auto"/>
            <w:vAlign w:val="center"/>
          </w:tcPr>
          <w:p w14:paraId="6072A54B">
            <w:pPr>
              <w:widowControl/>
              <w:spacing w:line="440" w:lineRule="exact"/>
              <w:jc w:val="left"/>
              <w:rPr>
                <w:rFonts w:ascii="宋体" w:hAnsi="宋体" w:cs="宋体"/>
                <w:bCs/>
                <w:kern w:val="0"/>
                <w:sz w:val="22"/>
                <w:szCs w:val="22"/>
                <w:highlight w:val="none"/>
              </w:rPr>
            </w:pPr>
            <w:r>
              <w:rPr>
                <w:rFonts w:hint="eastAsia" w:ascii="宋体" w:hAnsi="宋体" w:cs="宋体"/>
                <w:bCs/>
                <w:kern w:val="0"/>
                <w:sz w:val="22"/>
                <w:szCs w:val="22"/>
                <w:highlight w:val="none"/>
              </w:rPr>
              <w:t>评标专家的组建</w:t>
            </w:r>
          </w:p>
        </w:tc>
        <w:tc>
          <w:tcPr>
            <w:tcW w:w="6571" w:type="dxa"/>
            <w:tcBorders>
              <w:top w:val="single" w:color="auto" w:sz="4" w:space="0"/>
              <w:left w:val="single" w:color="auto" w:sz="4" w:space="0"/>
              <w:bottom w:val="single" w:color="auto" w:sz="4" w:space="0"/>
              <w:right w:val="single" w:color="auto" w:sz="4" w:space="0"/>
            </w:tcBorders>
            <w:shd w:val="clear" w:color="auto" w:fill="auto"/>
            <w:vAlign w:val="center"/>
          </w:tcPr>
          <w:p w14:paraId="00B7C92B">
            <w:pPr>
              <w:spacing w:line="440" w:lineRule="exact"/>
              <w:jc w:val="left"/>
              <w:rPr>
                <w:rFonts w:ascii="宋体" w:hAnsi="宋体" w:cs="宋体"/>
                <w:color w:val="000000"/>
                <w:sz w:val="22"/>
                <w:szCs w:val="22"/>
                <w:highlight w:val="none"/>
              </w:rPr>
            </w:pPr>
            <w:r>
              <w:rPr>
                <w:rFonts w:hint="eastAsia" w:ascii="宋体" w:hAnsi="宋体" w:cs="宋体"/>
                <w:bCs/>
                <w:kern w:val="0"/>
                <w:sz w:val="22"/>
                <w:szCs w:val="22"/>
                <w:highlight w:val="none"/>
              </w:rPr>
              <w:t>本项目评标委员会由招标人代表及评审专家共5人组成。</w:t>
            </w:r>
          </w:p>
        </w:tc>
      </w:tr>
      <w:tr w14:paraId="4DA7A90C">
        <w:tblPrEx>
          <w:tblCellMar>
            <w:top w:w="0" w:type="dxa"/>
            <w:left w:w="108" w:type="dxa"/>
            <w:bottom w:w="0" w:type="dxa"/>
            <w:right w:w="108" w:type="dxa"/>
          </w:tblCellMar>
        </w:tblPrEx>
        <w:trPr>
          <w:trHeight w:val="964" w:hRule="atLeast"/>
        </w:trPr>
        <w:tc>
          <w:tcPr>
            <w:tcW w:w="867" w:type="dxa"/>
            <w:tcBorders>
              <w:top w:val="single" w:color="auto" w:sz="4" w:space="0"/>
              <w:left w:val="single" w:color="auto" w:sz="4" w:space="0"/>
              <w:bottom w:val="single" w:color="auto" w:sz="4" w:space="0"/>
              <w:right w:val="single" w:color="auto" w:sz="4" w:space="0"/>
            </w:tcBorders>
            <w:shd w:val="clear" w:color="auto" w:fill="auto"/>
            <w:vAlign w:val="center"/>
          </w:tcPr>
          <w:p w14:paraId="266882C9">
            <w:pPr>
              <w:widowControl/>
              <w:spacing w:line="440" w:lineRule="exact"/>
              <w:jc w:val="center"/>
              <w:rPr>
                <w:rFonts w:ascii="宋体" w:hAnsi="宋体" w:cs="宋体"/>
                <w:bCs/>
                <w:kern w:val="0"/>
                <w:sz w:val="22"/>
                <w:szCs w:val="22"/>
                <w:highlight w:val="none"/>
              </w:rPr>
            </w:pPr>
            <w:r>
              <w:rPr>
                <w:rFonts w:hint="eastAsia" w:ascii="宋体" w:hAnsi="宋体" w:cs="宋体"/>
                <w:bCs/>
                <w:kern w:val="0"/>
                <w:sz w:val="22"/>
                <w:szCs w:val="22"/>
                <w:highlight w:val="none"/>
              </w:rPr>
              <w:t>21</w:t>
            </w:r>
          </w:p>
        </w:tc>
        <w:tc>
          <w:tcPr>
            <w:tcW w:w="1560" w:type="dxa"/>
            <w:tcBorders>
              <w:top w:val="single" w:color="auto" w:sz="4" w:space="0"/>
              <w:left w:val="single" w:color="auto" w:sz="4" w:space="0"/>
              <w:bottom w:val="single" w:color="auto" w:sz="4" w:space="0"/>
              <w:right w:val="single" w:color="auto" w:sz="4" w:space="0"/>
            </w:tcBorders>
            <w:shd w:val="clear" w:color="auto" w:fill="auto"/>
            <w:vAlign w:val="center"/>
          </w:tcPr>
          <w:p w14:paraId="17A3C9CA">
            <w:pPr>
              <w:widowControl/>
              <w:spacing w:line="440" w:lineRule="exact"/>
              <w:jc w:val="left"/>
              <w:rPr>
                <w:rFonts w:ascii="宋体" w:hAnsi="宋体" w:cs="宋体"/>
                <w:bCs/>
                <w:kern w:val="0"/>
                <w:sz w:val="22"/>
                <w:szCs w:val="22"/>
                <w:highlight w:val="none"/>
              </w:rPr>
            </w:pPr>
            <w:r>
              <w:rPr>
                <w:rFonts w:hint="eastAsia" w:ascii="宋体" w:hAnsi="宋体" w:cs="宋体"/>
                <w:bCs/>
                <w:kern w:val="0"/>
                <w:sz w:val="22"/>
                <w:szCs w:val="22"/>
                <w:highlight w:val="none"/>
              </w:rPr>
              <w:t>开评标程序</w:t>
            </w:r>
          </w:p>
        </w:tc>
        <w:tc>
          <w:tcPr>
            <w:tcW w:w="6571" w:type="dxa"/>
            <w:tcBorders>
              <w:top w:val="single" w:color="auto" w:sz="4" w:space="0"/>
              <w:left w:val="single" w:color="auto" w:sz="4" w:space="0"/>
              <w:bottom w:val="single" w:color="auto" w:sz="4" w:space="0"/>
              <w:right w:val="single" w:color="auto" w:sz="4" w:space="0"/>
            </w:tcBorders>
            <w:shd w:val="clear" w:color="auto" w:fill="auto"/>
            <w:vAlign w:val="center"/>
          </w:tcPr>
          <w:p w14:paraId="13408413">
            <w:pPr>
              <w:spacing w:line="440" w:lineRule="exact"/>
              <w:jc w:val="left"/>
              <w:rPr>
                <w:rFonts w:ascii="宋体" w:hAnsi="宋体" w:cs="宋体"/>
                <w:color w:val="000000"/>
                <w:sz w:val="22"/>
                <w:szCs w:val="22"/>
                <w:highlight w:val="none"/>
              </w:rPr>
            </w:pPr>
            <w:r>
              <w:rPr>
                <w:rFonts w:hint="eastAsia" w:ascii="宋体" w:hAnsi="宋体" w:cs="宋体"/>
                <w:bCs/>
                <w:kern w:val="0"/>
                <w:sz w:val="22"/>
                <w:szCs w:val="22"/>
                <w:highlight w:val="none"/>
              </w:rPr>
              <w:t>开启</w:t>
            </w:r>
            <w:r>
              <w:rPr>
                <w:rFonts w:hint="eastAsia" w:ascii="宋体" w:hAnsi="宋体" w:cs="宋体"/>
                <w:color w:val="000000"/>
                <w:kern w:val="0"/>
                <w:sz w:val="22"/>
                <w:szCs w:val="22"/>
                <w:highlight w:val="none"/>
              </w:rPr>
              <w:t>资格审查文件、商务技术标、</w:t>
            </w:r>
            <w:r>
              <w:rPr>
                <w:rFonts w:hint="eastAsia" w:ascii="宋体" w:hAnsi="宋体" w:cs="宋体"/>
                <w:color w:val="000000"/>
                <w:sz w:val="22"/>
                <w:szCs w:val="22"/>
                <w:highlight w:val="none"/>
              </w:rPr>
              <w:t>价格</w:t>
            </w:r>
            <w:r>
              <w:rPr>
                <w:rFonts w:hint="eastAsia" w:ascii="宋体" w:hAnsi="宋体" w:cs="宋体"/>
                <w:color w:val="000000"/>
                <w:kern w:val="0"/>
                <w:sz w:val="22"/>
                <w:szCs w:val="22"/>
                <w:highlight w:val="none"/>
              </w:rPr>
              <w:t>标</w:t>
            </w:r>
            <w:r>
              <w:rPr>
                <w:rFonts w:hint="eastAsia" w:ascii="宋体" w:hAnsi="宋体" w:cs="宋体"/>
                <w:bCs/>
                <w:kern w:val="0"/>
                <w:sz w:val="22"/>
                <w:szCs w:val="22"/>
                <w:highlight w:val="none"/>
              </w:rPr>
              <w:sym w:font="Wingdings" w:char="F0E8"/>
            </w:r>
            <w:r>
              <w:rPr>
                <w:rFonts w:hint="eastAsia" w:ascii="宋体" w:hAnsi="宋体" w:cs="宋体"/>
                <w:bCs/>
                <w:kern w:val="0"/>
                <w:sz w:val="22"/>
                <w:szCs w:val="22"/>
                <w:highlight w:val="none"/>
              </w:rPr>
              <w:t>资格性审查</w:t>
            </w:r>
            <w:r>
              <w:rPr>
                <w:rFonts w:hint="eastAsia" w:ascii="宋体" w:hAnsi="宋体" w:cs="宋体"/>
                <w:bCs/>
                <w:kern w:val="0"/>
                <w:sz w:val="22"/>
                <w:szCs w:val="22"/>
                <w:highlight w:val="none"/>
              </w:rPr>
              <w:sym w:font="Wingdings" w:char="F0E8"/>
            </w:r>
            <w:r>
              <w:rPr>
                <w:rFonts w:hint="eastAsia" w:ascii="宋体" w:hAnsi="宋体" w:cs="宋体"/>
                <w:color w:val="000000"/>
                <w:kern w:val="0"/>
                <w:sz w:val="22"/>
                <w:szCs w:val="22"/>
                <w:highlight w:val="none"/>
              </w:rPr>
              <w:t>商务技术标</w:t>
            </w:r>
            <w:r>
              <w:rPr>
                <w:rFonts w:hint="eastAsia" w:ascii="宋体" w:hAnsi="宋体" w:cs="宋体"/>
                <w:bCs/>
                <w:kern w:val="0"/>
                <w:sz w:val="22"/>
                <w:szCs w:val="22"/>
                <w:highlight w:val="none"/>
              </w:rPr>
              <w:t>评审</w:t>
            </w:r>
            <w:r>
              <w:rPr>
                <w:rFonts w:hint="eastAsia" w:ascii="宋体" w:hAnsi="宋体" w:cs="宋体"/>
                <w:bCs/>
                <w:kern w:val="0"/>
                <w:sz w:val="22"/>
                <w:szCs w:val="22"/>
                <w:highlight w:val="none"/>
              </w:rPr>
              <w:sym w:font="Wingdings" w:char="F0E8"/>
            </w:r>
            <w:r>
              <w:rPr>
                <w:rFonts w:hint="eastAsia" w:ascii="宋体" w:hAnsi="宋体" w:cs="宋体"/>
                <w:bCs/>
                <w:kern w:val="0"/>
                <w:sz w:val="22"/>
                <w:szCs w:val="22"/>
                <w:highlight w:val="none"/>
              </w:rPr>
              <w:t>价格标评审</w:t>
            </w:r>
            <w:r>
              <w:rPr>
                <w:rFonts w:hint="eastAsia" w:ascii="宋体" w:hAnsi="宋体" w:cs="宋体"/>
                <w:bCs/>
                <w:kern w:val="0"/>
                <w:sz w:val="22"/>
                <w:szCs w:val="22"/>
                <w:highlight w:val="none"/>
              </w:rPr>
              <w:sym w:font="Wingdings" w:char="F0E8"/>
            </w:r>
            <w:r>
              <w:rPr>
                <w:rFonts w:hint="eastAsia" w:ascii="宋体" w:hAnsi="宋体" w:cs="宋体"/>
                <w:bCs/>
                <w:kern w:val="0"/>
                <w:sz w:val="22"/>
                <w:szCs w:val="22"/>
                <w:highlight w:val="none"/>
              </w:rPr>
              <w:t>提交评审报告</w:t>
            </w:r>
          </w:p>
        </w:tc>
      </w:tr>
      <w:tr w14:paraId="3CCCA47C">
        <w:tblPrEx>
          <w:tblCellMar>
            <w:top w:w="0" w:type="dxa"/>
            <w:left w:w="108" w:type="dxa"/>
            <w:bottom w:w="0" w:type="dxa"/>
            <w:right w:w="108" w:type="dxa"/>
          </w:tblCellMar>
        </w:tblPrEx>
        <w:trPr>
          <w:trHeight w:val="964" w:hRule="exact"/>
        </w:trPr>
        <w:tc>
          <w:tcPr>
            <w:tcW w:w="867" w:type="dxa"/>
            <w:tcBorders>
              <w:top w:val="single" w:color="auto" w:sz="4" w:space="0"/>
              <w:left w:val="single" w:color="auto" w:sz="4" w:space="0"/>
              <w:bottom w:val="single" w:color="auto" w:sz="4" w:space="0"/>
              <w:right w:val="single" w:color="auto" w:sz="4" w:space="0"/>
            </w:tcBorders>
            <w:shd w:val="clear" w:color="auto" w:fill="auto"/>
            <w:vAlign w:val="center"/>
          </w:tcPr>
          <w:p w14:paraId="7ADF6305">
            <w:pPr>
              <w:widowControl/>
              <w:spacing w:line="440" w:lineRule="exact"/>
              <w:jc w:val="center"/>
              <w:rPr>
                <w:rFonts w:ascii="宋体" w:hAnsi="宋体" w:cs="宋体"/>
                <w:bCs/>
                <w:kern w:val="0"/>
                <w:sz w:val="22"/>
                <w:szCs w:val="22"/>
                <w:highlight w:val="none"/>
              </w:rPr>
            </w:pPr>
            <w:r>
              <w:rPr>
                <w:rFonts w:hint="eastAsia" w:ascii="宋体" w:hAnsi="宋体" w:cs="宋体"/>
                <w:bCs/>
                <w:kern w:val="0"/>
                <w:sz w:val="22"/>
                <w:szCs w:val="22"/>
                <w:highlight w:val="none"/>
              </w:rPr>
              <w:t>22</w:t>
            </w:r>
          </w:p>
        </w:tc>
        <w:tc>
          <w:tcPr>
            <w:tcW w:w="1560" w:type="dxa"/>
            <w:tcBorders>
              <w:top w:val="single" w:color="auto" w:sz="4" w:space="0"/>
              <w:left w:val="single" w:color="auto" w:sz="4" w:space="0"/>
              <w:bottom w:val="single" w:color="auto" w:sz="4" w:space="0"/>
              <w:right w:val="single" w:color="auto" w:sz="4" w:space="0"/>
            </w:tcBorders>
            <w:shd w:val="clear" w:color="auto" w:fill="auto"/>
            <w:vAlign w:val="center"/>
          </w:tcPr>
          <w:p w14:paraId="07AE7F03">
            <w:pPr>
              <w:widowControl/>
              <w:spacing w:line="440" w:lineRule="exact"/>
              <w:jc w:val="left"/>
              <w:rPr>
                <w:rFonts w:ascii="宋体" w:hAnsi="宋体" w:cs="宋体"/>
                <w:bCs/>
                <w:kern w:val="0"/>
                <w:sz w:val="22"/>
                <w:szCs w:val="22"/>
                <w:highlight w:val="none"/>
              </w:rPr>
            </w:pPr>
            <w:r>
              <w:rPr>
                <w:rFonts w:hint="eastAsia" w:ascii="宋体" w:hAnsi="宋体" w:cs="宋体"/>
                <w:bCs/>
                <w:kern w:val="0"/>
                <w:sz w:val="22"/>
                <w:szCs w:val="22"/>
                <w:highlight w:val="none"/>
              </w:rPr>
              <w:t>评标办法</w:t>
            </w:r>
          </w:p>
        </w:tc>
        <w:tc>
          <w:tcPr>
            <w:tcW w:w="6571" w:type="dxa"/>
            <w:tcBorders>
              <w:top w:val="single" w:color="auto" w:sz="4" w:space="0"/>
              <w:left w:val="single" w:color="auto" w:sz="4" w:space="0"/>
              <w:bottom w:val="single" w:color="auto" w:sz="4" w:space="0"/>
              <w:right w:val="single" w:color="auto" w:sz="4" w:space="0"/>
            </w:tcBorders>
            <w:shd w:val="clear" w:color="auto" w:fill="auto"/>
            <w:vAlign w:val="center"/>
          </w:tcPr>
          <w:p w14:paraId="163110A2">
            <w:pPr>
              <w:widowControl/>
              <w:spacing w:line="440" w:lineRule="exact"/>
              <w:jc w:val="left"/>
              <w:rPr>
                <w:rFonts w:ascii="宋体" w:hAnsi="宋体" w:cs="宋体"/>
                <w:color w:val="000000"/>
                <w:sz w:val="22"/>
                <w:szCs w:val="22"/>
                <w:highlight w:val="none"/>
              </w:rPr>
            </w:pPr>
            <w:r>
              <w:rPr>
                <w:rFonts w:hint="eastAsia" w:ascii="宋体" w:hAnsi="宋体" w:cs="宋体"/>
                <w:color w:val="000000"/>
                <w:sz w:val="22"/>
                <w:szCs w:val="22"/>
                <w:highlight w:val="none"/>
              </w:rPr>
              <w:t>评标办法及评分标准：详见第四章。</w:t>
            </w:r>
          </w:p>
        </w:tc>
      </w:tr>
      <w:tr w14:paraId="0385E94E">
        <w:tblPrEx>
          <w:tblCellMar>
            <w:top w:w="0" w:type="dxa"/>
            <w:left w:w="108" w:type="dxa"/>
            <w:bottom w:w="0" w:type="dxa"/>
            <w:right w:w="108" w:type="dxa"/>
          </w:tblCellMar>
        </w:tblPrEx>
        <w:trPr>
          <w:trHeight w:val="2815" w:hRule="exact"/>
        </w:trPr>
        <w:tc>
          <w:tcPr>
            <w:tcW w:w="867" w:type="dxa"/>
            <w:tcBorders>
              <w:top w:val="single" w:color="auto" w:sz="4" w:space="0"/>
              <w:left w:val="single" w:color="auto" w:sz="4" w:space="0"/>
              <w:bottom w:val="single" w:color="auto" w:sz="4" w:space="0"/>
              <w:right w:val="single" w:color="auto" w:sz="4" w:space="0"/>
            </w:tcBorders>
            <w:shd w:val="clear" w:color="auto" w:fill="auto"/>
            <w:vAlign w:val="center"/>
          </w:tcPr>
          <w:p w14:paraId="080D9062">
            <w:pPr>
              <w:widowControl/>
              <w:spacing w:line="440" w:lineRule="exact"/>
              <w:jc w:val="center"/>
              <w:rPr>
                <w:rFonts w:ascii="宋体" w:hAnsi="宋体" w:cs="宋体"/>
                <w:bCs/>
                <w:kern w:val="0"/>
                <w:sz w:val="22"/>
                <w:szCs w:val="22"/>
                <w:highlight w:val="none"/>
              </w:rPr>
            </w:pPr>
            <w:r>
              <w:rPr>
                <w:rFonts w:hint="eastAsia" w:ascii="宋体" w:hAnsi="宋体" w:cs="宋体"/>
                <w:bCs/>
                <w:kern w:val="0"/>
                <w:sz w:val="22"/>
                <w:szCs w:val="22"/>
                <w:highlight w:val="none"/>
              </w:rPr>
              <w:t>23</w:t>
            </w:r>
          </w:p>
        </w:tc>
        <w:tc>
          <w:tcPr>
            <w:tcW w:w="1560" w:type="dxa"/>
            <w:tcBorders>
              <w:top w:val="single" w:color="auto" w:sz="4" w:space="0"/>
              <w:left w:val="single" w:color="auto" w:sz="4" w:space="0"/>
              <w:bottom w:val="single" w:color="auto" w:sz="4" w:space="0"/>
              <w:right w:val="single" w:color="auto" w:sz="4" w:space="0"/>
            </w:tcBorders>
            <w:shd w:val="clear" w:color="auto" w:fill="auto"/>
            <w:vAlign w:val="center"/>
          </w:tcPr>
          <w:p w14:paraId="30D7CA1B">
            <w:pPr>
              <w:widowControl/>
              <w:spacing w:line="440" w:lineRule="exact"/>
              <w:jc w:val="left"/>
              <w:rPr>
                <w:rFonts w:ascii="宋体" w:hAnsi="宋体" w:cs="宋体"/>
                <w:bCs/>
                <w:kern w:val="0"/>
                <w:sz w:val="22"/>
                <w:szCs w:val="22"/>
                <w:highlight w:val="none"/>
              </w:rPr>
            </w:pPr>
            <w:r>
              <w:rPr>
                <w:rFonts w:hint="eastAsia" w:ascii="宋体" w:hAnsi="宋体" w:cs="宋体"/>
                <w:bCs/>
                <w:kern w:val="0"/>
                <w:sz w:val="22"/>
                <w:szCs w:val="22"/>
                <w:highlight w:val="none"/>
              </w:rPr>
              <w:t>注意事项</w:t>
            </w:r>
          </w:p>
        </w:tc>
        <w:tc>
          <w:tcPr>
            <w:tcW w:w="6571" w:type="dxa"/>
            <w:tcBorders>
              <w:top w:val="single" w:color="auto" w:sz="4" w:space="0"/>
              <w:left w:val="single" w:color="auto" w:sz="4" w:space="0"/>
              <w:bottom w:val="single" w:color="auto" w:sz="4" w:space="0"/>
              <w:right w:val="single" w:color="auto" w:sz="4" w:space="0"/>
            </w:tcBorders>
            <w:shd w:val="clear" w:color="auto" w:fill="auto"/>
            <w:vAlign w:val="center"/>
          </w:tcPr>
          <w:p w14:paraId="7772BA1D">
            <w:pPr>
              <w:widowControl/>
              <w:spacing w:line="440" w:lineRule="exact"/>
              <w:jc w:val="left"/>
              <w:rPr>
                <w:rFonts w:ascii="宋体" w:hAnsi="宋体" w:cs="宋体"/>
                <w:bCs/>
                <w:kern w:val="0"/>
                <w:sz w:val="22"/>
                <w:szCs w:val="22"/>
                <w:highlight w:val="none"/>
              </w:rPr>
            </w:pPr>
            <w:r>
              <w:rPr>
                <w:rFonts w:hint="eastAsia" w:ascii="宋体" w:hAnsi="宋体" w:cs="宋体"/>
                <w:bCs/>
                <w:kern w:val="0"/>
                <w:sz w:val="22"/>
                <w:szCs w:val="22"/>
                <w:highlight w:val="none"/>
              </w:rPr>
              <w:t>1）本招标文件涉及的时间为“北京时间”；</w:t>
            </w:r>
          </w:p>
          <w:p w14:paraId="72134B32">
            <w:pPr>
              <w:widowControl/>
              <w:spacing w:line="440" w:lineRule="exact"/>
              <w:jc w:val="left"/>
              <w:rPr>
                <w:rFonts w:ascii="宋体" w:hAnsi="宋体" w:cs="宋体"/>
                <w:bCs/>
                <w:kern w:val="0"/>
                <w:sz w:val="22"/>
                <w:szCs w:val="22"/>
                <w:highlight w:val="none"/>
              </w:rPr>
            </w:pPr>
            <w:r>
              <w:rPr>
                <w:rFonts w:hint="eastAsia" w:ascii="宋体" w:hAnsi="宋体" w:cs="宋体"/>
                <w:bCs/>
                <w:kern w:val="0"/>
                <w:sz w:val="22"/>
                <w:szCs w:val="22"/>
                <w:highlight w:val="none"/>
              </w:rPr>
              <w:t>2）本招标文件涉及的货币为“人民币”；</w:t>
            </w:r>
          </w:p>
          <w:p w14:paraId="0C5A52D6">
            <w:pPr>
              <w:widowControl/>
              <w:spacing w:line="440" w:lineRule="exact"/>
              <w:jc w:val="left"/>
              <w:rPr>
                <w:rFonts w:ascii="宋体" w:hAnsi="宋体" w:cs="宋体"/>
                <w:bCs/>
                <w:kern w:val="0"/>
                <w:sz w:val="22"/>
                <w:szCs w:val="22"/>
                <w:highlight w:val="none"/>
              </w:rPr>
            </w:pPr>
            <w:r>
              <w:rPr>
                <w:rFonts w:hint="eastAsia" w:ascii="宋体" w:hAnsi="宋体" w:cs="宋体"/>
                <w:bCs/>
                <w:kern w:val="0"/>
                <w:sz w:val="22"/>
                <w:szCs w:val="22"/>
                <w:highlight w:val="none"/>
              </w:rPr>
              <w:t>3）签订合同时间：中标通知书发出后30日内；</w:t>
            </w:r>
          </w:p>
          <w:p w14:paraId="5CBC36E1">
            <w:pPr>
              <w:widowControl/>
              <w:spacing w:line="440" w:lineRule="exact"/>
              <w:jc w:val="left"/>
              <w:rPr>
                <w:rFonts w:ascii="宋体" w:hAnsi="宋体" w:cs="宋体"/>
                <w:bCs/>
                <w:kern w:val="0"/>
                <w:sz w:val="22"/>
                <w:szCs w:val="22"/>
                <w:highlight w:val="none"/>
              </w:rPr>
            </w:pPr>
            <w:r>
              <w:rPr>
                <w:rFonts w:hint="eastAsia" w:ascii="宋体" w:hAnsi="宋体" w:cs="宋体"/>
                <w:bCs/>
                <w:kern w:val="0"/>
                <w:sz w:val="22"/>
                <w:szCs w:val="22"/>
                <w:highlight w:val="none"/>
              </w:rPr>
              <w:t>4）发布本次招标公告、评标结果公示的媒介；</w:t>
            </w:r>
          </w:p>
          <w:p w14:paraId="68F587CF">
            <w:pPr>
              <w:widowControl/>
              <w:spacing w:line="440" w:lineRule="exact"/>
              <w:jc w:val="left"/>
              <w:rPr>
                <w:rFonts w:ascii="宋体" w:hAnsi="宋体" w:cs="宋体"/>
                <w:bCs/>
                <w:kern w:val="0"/>
                <w:sz w:val="22"/>
                <w:szCs w:val="22"/>
                <w:highlight w:val="none"/>
              </w:rPr>
            </w:pPr>
            <w:r>
              <w:rPr>
                <w:rFonts w:hint="eastAsia" w:ascii="宋体" w:hAnsi="宋体" w:cs="宋体"/>
                <w:bCs/>
                <w:kern w:val="0"/>
                <w:sz w:val="22"/>
                <w:szCs w:val="22"/>
                <w:highlight w:val="none"/>
              </w:rPr>
              <w:t>在浙江海港电子招标采购平台（http://hgdzzb.nbport.com.cn/）、温州港集团有限公司网站（https://www.wzport.com/wzport/wzgzz/sy/index.html ）等网站上发布。</w:t>
            </w:r>
          </w:p>
        </w:tc>
      </w:tr>
      <w:tr w14:paraId="48F95681">
        <w:tblPrEx>
          <w:tblCellMar>
            <w:top w:w="0" w:type="dxa"/>
            <w:left w:w="108" w:type="dxa"/>
            <w:bottom w:w="0" w:type="dxa"/>
            <w:right w:w="108" w:type="dxa"/>
          </w:tblCellMar>
        </w:tblPrEx>
        <w:trPr>
          <w:trHeight w:val="658" w:hRule="atLeast"/>
        </w:trPr>
        <w:tc>
          <w:tcPr>
            <w:tcW w:w="867" w:type="dxa"/>
            <w:tcBorders>
              <w:top w:val="single" w:color="auto" w:sz="4" w:space="0"/>
              <w:left w:val="single" w:color="auto" w:sz="4" w:space="0"/>
              <w:bottom w:val="single" w:color="auto" w:sz="4" w:space="0"/>
              <w:right w:val="single" w:color="auto" w:sz="4" w:space="0"/>
            </w:tcBorders>
            <w:shd w:val="clear" w:color="auto" w:fill="auto"/>
            <w:vAlign w:val="center"/>
          </w:tcPr>
          <w:p w14:paraId="641C3400">
            <w:pPr>
              <w:widowControl/>
              <w:spacing w:line="440" w:lineRule="exact"/>
              <w:jc w:val="center"/>
              <w:rPr>
                <w:rFonts w:ascii="宋体" w:hAnsi="宋体" w:cs="宋体"/>
                <w:bCs/>
                <w:kern w:val="0"/>
                <w:sz w:val="22"/>
                <w:szCs w:val="22"/>
                <w:highlight w:val="none"/>
              </w:rPr>
            </w:pPr>
            <w:r>
              <w:rPr>
                <w:rFonts w:hint="eastAsia" w:ascii="宋体" w:hAnsi="宋体" w:cs="宋体"/>
                <w:bCs/>
                <w:kern w:val="0"/>
                <w:sz w:val="22"/>
                <w:szCs w:val="22"/>
                <w:highlight w:val="none"/>
              </w:rPr>
              <w:t>24</w:t>
            </w:r>
          </w:p>
        </w:tc>
        <w:tc>
          <w:tcPr>
            <w:tcW w:w="1560" w:type="dxa"/>
            <w:tcBorders>
              <w:top w:val="single" w:color="auto" w:sz="4" w:space="0"/>
              <w:left w:val="single" w:color="auto" w:sz="4" w:space="0"/>
              <w:bottom w:val="single" w:color="auto" w:sz="4" w:space="0"/>
              <w:right w:val="single" w:color="auto" w:sz="4" w:space="0"/>
            </w:tcBorders>
            <w:shd w:val="clear" w:color="auto" w:fill="auto"/>
            <w:vAlign w:val="center"/>
          </w:tcPr>
          <w:p w14:paraId="70730EE2">
            <w:pPr>
              <w:widowControl/>
              <w:spacing w:line="440" w:lineRule="exact"/>
              <w:jc w:val="left"/>
              <w:rPr>
                <w:rFonts w:ascii="宋体" w:hAnsi="宋体" w:cs="宋体"/>
                <w:color w:val="000000"/>
                <w:sz w:val="22"/>
                <w:szCs w:val="22"/>
                <w:highlight w:val="none"/>
              </w:rPr>
            </w:pPr>
            <w:r>
              <w:rPr>
                <w:rFonts w:hint="eastAsia" w:ascii="宋体" w:hAnsi="宋体" w:cs="宋体"/>
                <w:color w:val="000000"/>
                <w:sz w:val="22"/>
                <w:szCs w:val="22"/>
                <w:highlight w:val="none"/>
              </w:rPr>
              <w:t>解释</w:t>
            </w:r>
          </w:p>
        </w:tc>
        <w:tc>
          <w:tcPr>
            <w:tcW w:w="6571" w:type="dxa"/>
            <w:tcBorders>
              <w:top w:val="single" w:color="auto" w:sz="4" w:space="0"/>
              <w:left w:val="single" w:color="auto" w:sz="4" w:space="0"/>
              <w:bottom w:val="single" w:color="auto" w:sz="4" w:space="0"/>
              <w:right w:val="single" w:color="auto" w:sz="4" w:space="0"/>
            </w:tcBorders>
            <w:shd w:val="clear" w:color="auto" w:fill="auto"/>
            <w:vAlign w:val="center"/>
          </w:tcPr>
          <w:p w14:paraId="77D2269D">
            <w:pPr>
              <w:spacing w:line="440" w:lineRule="exact"/>
              <w:jc w:val="left"/>
              <w:rPr>
                <w:rFonts w:ascii="宋体" w:hAnsi="宋体" w:cs="宋体"/>
                <w:color w:val="000000"/>
                <w:sz w:val="22"/>
                <w:szCs w:val="22"/>
                <w:highlight w:val="none"/>
              </w:rPr>
            </w:pPr>
            <w:r>
              <w:rPr>
                <w:rFonts w:hint="eastAsia" w:ascii="宋体" w:hAnsi="宋体" w:cs="宋体"/>
                <w:bCs/>
                <w:kern w:val="0"/>
                <w:sz w:val="22"/>
                <w:szCs w:val="22"/>
                <w:highlight w:val="none"/>
              </w:rPr>
              <w:t>本招标文件条款由招标人及招标代理机构负责解释</w:t>
            </w:r>
          </w:p>
        </w:tc>
      </w:tr>
      <w:tr w14:paraId="0A4BC83A">
        <w:tblPrEx>
          <w:tblCellMar>
            <w:top w:w="0" w:type="dxa"/>
            <w:left w:w="108" w:type="dxa"/>
            <w:bottom w:w="0" w:type="dxa"/>
            <w:right w:w="108" w:type="dxa"/>
          </w:tblCellMar>
        </w:tblPrEx>
        <w:trPr>
          <w:trHeight w:val="865" w:hRule="atLeast"/>
        </w:trPr>
        <w:tc>
          <w:tcPr>
            <w:tcW w:w="867" w:type="dxa"/>
            <w:tcBorders>
              <w:top w:val="single" w:color="auto" w:sz="4" w:space="0"/>
              <w:left w:val="single" w:color="auto" w:sz="4" w:space="0"/>
              <w:bottom w:val="single" w:color="auto" w:sz="4" w:space="0"/>
              <w:right w:val="single" w:color="auto" w:sz="4" w:space="0"/>
            </w:tcBorders>
            <w:shd w:val="clear" w:color="auto" w:fill="auto"/>
            <w:vAlign w:val="center"/>
          </w:tcPr>
          <w:p w14:paraId="73811B90">
            <w:pPr>
              <w:widowControl/>
              <w:spacing w:line="440" w:lineRule="exact"/>
              <w:jc w:val="center"/>
              <w:rPr>
                <w:rFonts w:ascii="宋体" w:hAnsi="宋体" w:cs="宋体"/>
                <w:color w:val="000000"/>
                <w:sz w:val="22"/>
                <w:szCs w:val="22"/>
                <w:highlight w:val="none"/>
              </w:rPr>
            </w:pPr>
            <w:r>
              <w:rPr>
                <w:rFonts w:hint="eastAsia" w:ascii="宋体" w:hAnsi="宋体" w:cs="宋体"/>
                <w:color w:val="000000"/>
                <w:sz w:val="22"/>
                <w:szCs w:val="22"/>
                <w:highlight w:val="none"/>
              </w:rPr>
              <w:t>25</w:t>
            </w:r>
          </w:p>
        </w:tc>
        <w:tc>
          <w:tcPr>
            <w:tcW w:w="1560" w:type="dxa"/>
            <w:tcBorders>
              <w:top w:val="single" w:color="auto" w:sz="4" w:space="0"/>
              <w:left w:val="single" w:color="auto" w:sz="4" w:space="0"/>
              <w:bottom w:val="single" w:color="auto" w:sz="4" w:space="0"/>
              <w:right w:val="single" w:color="auto" w:sz="4" w:space="0"/>
            </w:tcBorders>
            <w:shd w:val="clear" w:color="auto" w:fill="auto"/>
            <w:vAlign w:val="center"/>
          </w:tcPr>
          <w:p w14:paraId="0F236930">
            <w:pPr>
              <w:widowControl/>
              <w:spacing w:line="440" w:lineRule="exact"/>
              <w:jc w:val="left"/>
              <w:rPr>
                <w:rFonts w:ascii="宋体" w:hAnsi="宋体" w:cs="宋体"/>
                <w:b/>
                <w:bCs/>
                <w:color w:val="000000"/>
                <w:sz w:val="22"/>
                <w:szCs w:val="22"/>
                <w:highlight w:val="none"/>
              </w:rPr>
            </w:pPr>
            <w:r>
              <w:rPr>
                <w:rFonts w:hint="eastAsia" w:ascii="宋体" w:hAnsi="宋体" w:cs="宋体"/>
                <w:b/>
                <w:bCs/>
                <w:color w:val="000000"/>
                <w:sz w:val="22"/>
                <w:szCs w:val="22"/>
                <w:highlight w:val="none"/>
              </w:rPr>
              <w:t>招标代理服务费</w:t>
            </w:r>
          </w:p>
        </w:tc>
        <w:tc>
          <w:tcPr>
            <w:tcW w:w="6571" w:type="dxa"/>
            <w:tcBorders>
              <w:top w:val="single" w:color="auto" w:sz="4" w:space="0"/>
              <w:left w:val="single" w:color="auto" w:sz="4" w:space="0"/>
              <w:bottom w:val="single" w:color="auto" w:sz="4" w:space="0"/>
              <w:right w:val="single" w:color="auto" w:sz="4" w:space="0"/>
            </w:tcBorders>
            <w:shd w:val="clear" w:color="auto" w:fill="auto"/>
            <w:vAlign w:val="center"/>
          </w:tcPr>
          <w:p w14:paraId="60622C0E">
            <w:pPr>
              <w:widowControl/>
              <w:spacing w:line="440" w:lineRule="exact"/>
              <w:jc w:val="left"/>
              <w:rPr>
                <w:rFonts w:ascii="宋体" w:hAnsi="宋体" w:cs="宋体"/>
                <w:b/>
                <w:bCs/>
                <w:sz w:val="22"/>
                <w:szCs w:val="22"/>
                <w:highlight w:val="none"/>
              </w:rPr>
            </w:pPr>
            <w:r>
              <w:rPr>
                <w:rFonts w:hint="eastAsia" w:ascii="宋体" w:hAnsi="宋体" w:cs="宋体"/>
                <w:b/>
                <w:bCs/>
                <w:sz w:val="22"/>
                <w:szCs w:val="22"/>
                <w:highlight w:val="none"/>
              </w:rPr>
              <w:t>本次招标招标代理服务费由招标人支付。</w:t>
            </w:r>
          </w:p>
        </w:tc>
      </w:tr>
      <w:tr w14:paraId="3C737A04">
        <w:tblPrEx>
          <w:tblCellMar>
            <w:top w:w="0" w:type="dxa"/>
            <w:left w:w="108" w:type="dxa"/>
            <w:bottom w:w="0" w:type="dxa"/>
            <w:right w:w="108" w:type="dxa"/>
          </w:tblCellMar>
        </w:tblPrEx>
        <w:trPr>
          <w:trHeight w:val="624" w:hRule="atLeast"/>
        </w:trPr>
        <w:tc>
          <w:tcPr>
            <w:tcW w:w="867" w:type="dxa"/>
            <w:tcBorders>
              <w:top w:val="single" w:color="auto" w:sz="4" w:space="0"/>
              <w:left w:val="single" w:color="auto" w:sz="4" w:space="0"/>
              <w:bottom w:val="single" w:color="auto" w:sz="4" w:space="0"/>
              <w:right w:val="single" w:color="auto" w:sz="4" w:space="0"/>
            </w:tcBorders>
            <w:shd w:val="clear" w:color="auto" w:fill="auto"/>
            <w:vAlign w:val="center"/>
          </w:tcPr>
          <w:p w14:paraId="6BE61567">
            <w:pPr>
              <w:widowControl/>
              <w:spacing w:line="440" w:lineRule="exact"/>
              <w:jc w:val="center"/>
              <w:rPr>
                <w:rFonts w:ascii="宋体" w:hAnsi="宋体" w:cs="宋体"/>
                <w:color w:val="000000"/>
                <w:sz w:val="22"/>
                <w:szCs w:val="22"/>
                <w:highlight w:val="none"/>
              </w:rPr>
            </w:pPr>
            <w:r>
              <w:rPr>
                <w:rFonts w:hint="eastAsia" w:ascii="宋体" w:hAnsi="宋体" w:cs="宋体"/>
                <w:color w:val="000000"/>
                <w:sz w:val="22"/>
                <w:szCs w:val="22"/>
                <w:highlight w:val="none"/>
              </w:rPr>
              <w:t>26</w:t>
            </w:r>
          </w:p>
        </w:tc>
        <w:tc>
          <w:tcPr>
            <w:tcW w:w="1560" w:type="dxa"/>
            <w:tcBorders>
              <w:top w:val="single" w:color="auto" w:sz="4" w:space="0"/>
              <w:left w:val="single" w:color="auto" w:sz="4" w:space="0"/>
              <w:bottom w:val="single" w:color="auto" w:sz="4" w:space="0"/>
              <w:right w:val="single" w:color="auto" w:sz="4" w:space="0"/>
            </w:tcBorders>
            <w:shd w:val="clear" w:color="auto" w:fill="auto"/>
            <w:vAlign w:val="center"/>
          </w:tcPr>
          <w:p w14:paraId="034D407C">
            <w:pPr>
              <w:widowControl/>
              <w:spacing w:line="440" w:lineRule="exact"/>
              <w:jc w:val="left"/>
              <w:rPr>
                <w:rFonts w:ascii="宋体" w:hAnsi="宋体" w:cs="宋体"/>
                <w:color w:val="000000"/>
                <w:sz w:val="22"/>
                <w:szCs w:val="22"/>
                <w:highlight w:val="none"/>
              </w:rPr>
            </w:pPr>
            <w:r>
              <w:rPr>
                <w:rFonts w:hint="eastAsia" w:ascii="宋体" w:hAnsi="宋体" w:cs="宋体"/>
                <w:color w:val="212529"/>
                <w:spacing w:val="12"/>
                <w:sz w:val="22"/>
                <w:szCs w:val="22"/>
                <w:highlight w:val="none"/>
                <w:shd w:val="clear" w:color="auto" w:fill="FFFFFF"/>
              </w:rPr>
              <w:t>★</w:t>
            </w:r>
            <w:r>
              <w:rPr>
                <w:rFonts w:hint="eastAsia" w:ascii="宋体" w:hAnsi="宋体" w:cs="宋体"/>
                <w:b/>
                <w:bCs/>
                <w:color w:val="000000"/>
                <w:sz w:val="22"/>
                <w:szCs w:val="22"/>
                <w:highlight w:val="none"/>
              </w:rPr>
              <w:t>电子招标采购平台交易服务费</w:t>
            </w:r>
          </w:p>
        </w:tc>
        <w:tc>
          <w:tcPr>
            <w:tcW w:w="6571" w:type="dxa"/>
            <w:tcBorders>
              <w:top w:val="single" w:color="auto" w:sz="4" w:space="0"/>
              <w:left w:val="single" w:color="auto" w:sz="4" w:space="0"/>
              <w:bottom w:val="single" w:color="auto" w:sz="4" w:space="0"/>
              <w:right w:val="single" w:color="auto" w:sz="4" w:space="0"/>
            </w:tcBorders>
            <w:shd w:val="clear" w:color="auto" w:fill="auto"/>
            <w:vAlign w:val="center"/>
          </w:tcPr>
          <w:p w14:paraId="5B56C804">
            <w:pPr>
              <w:widowControl/>
              <w:spacing w:line="440" w:lineRule="exact"/>
              <w:ind w:hanging="4"/>
              <w:jc w:val="left"/>
              <w:rPr>
                <w:rFonts w:ascii="宋体" w:hAnsi="宋体" w:cs="宋体"/>
                <w:sz w:val="22"/>
                <w:szCs w:val="22"/>
                <w:highlight w:val="none"/>
              </w:rPr>
            </w:pPr>
            <w:r>
              <w:rPr>
                <w:rFonts w:hint="eastAsia" w:ascii="宋体" w:hAnsi="宋体" w:cs="宋体"/>
                <w:sz w:val="22"/>
                <w:szCs w:val="22"/>
                <w:highlight w:val="none"/>
              </w:rPr>
              <w:t>本项目采用电子招标，中标人须在明确中标后、获取中标通知书前将相应的交易服务费缴入平台指定的集团账户（在“投标管家”工具中查看）。</w:t>
            </w:r>
          </w:p>
          <w:p w14:paraId="6BDAF914">
            <w:pPr>
              <w:widowControl/>
              <w:spacing w:line="440" w:lineRule="exact"/>
              <w:ind w:hanging="4"/>
              <w:jc w:val="left"/>
              <w:rPr>
                <w:rFonts w:ascii="宋体" w:hAnsi="宋体" w:cs="宋体"/>
                <w:sz w:val="22"/>
                <w:szCs w:val="22"/>
                <w:highlight w:val="none"/>
              </w:rPr>
            </w:pPr>
            <w:r>
              <w:rPr>
                <w:rFonts w:hint="eastAsia" w:ascii="宋体" w:hAnsi="宋体" w:cs="宋体"/>
                <w:sz w:val="22"/>
                <w:szCs w:val="22"/>
                <w:highlight w:val="none"/>
              </w:rPr>
              <w:t>具体收费标准如下：</w:t>
            </w:r>
          </w:p>
          <w:p w14:paraId="6C66BBC7">
            <w:pPr>
              <w:pStyle w:val="84"/>
              <w:spacing w:line="440" w:lineRule="exact"/>
              <w:ind w:hanging="4"/>
              <w:jc w:val="center"/>
              <w:rPr>
                <w:rFonts w:ascii="宋体" w:hAnsi="宋体" w:cs="宋体"/>
                <w:b/>
                <w:sz w:val="22"/>
                <w:szCs w:val="22"/>
                <w:highlight w:val="none"/>
              </w:rPr>
            </w:pPr>
            <w:r>
              <w:rPr>
                <w:rFonts w:hint="eastAsia" w:ascii="宋体" w:hAnsi="宋体" w:cs="宋体"/>
                <w:b/>
                <w:sz w:val="22"/>
                <w:szCs w:val="22"/>
                <w:highlight w:val="none"/>
              </w:rPr>
              <w:t>集团电子招标采购平台交易服务费收取标准</w:t>
            </w:r>
          </w:p>
          <w:tbl>
            <w:tblPr>
              <w:tblStyle w:val="30"/>
              <w:tblW w:w="6418" w:type="dxa"/>
              <w:jc w:val="center"/>
              <w:tblLayout w:type="fixed"/>
              <w:tblCellMar>
                <w:top w:w="0" w:type="dxa"/>
                <w:left w:w="108" w:type="dxa"/>
                <w:bottom w:w="0" w:type="dxa"/>
                <w:right w:w="108" w:type="dxa"/>
              </w:tblCellMar>
            </w:tblPr>
            <w:tblGrid>
              <w:gridCol w:w="4701"/>
              <w:gridCol w:w="1717"/>
            </w:tblGrid>
            <w:tr w14:paraId="6497457B">
              <w:tblPrEx>
                <w:tblCellMar>
                  <w:top w:w="0" w:type="dxa"/>
                  <w:left w:w="108" w:type="dxa"/>
                  <w:bottom w:w="0" w:type="dxa"/>
                  <w:right w:w="108" w:type="dxa"/>
                </w:tblCellMar>
              </w:tblPrEx>
              <w:trPr>
                <w:trHeight w:val="315" w:hRule="atLeast"/>
                <w:jc w:val="center"/>
              </w:trPr>
              <w:tc>
                <w:tcPr>
                  <w:tcW w:w="4701" w:type="dxa"/>
                  <w:tcBorders>
                    <w:top w:val="single" w:color="000000" w:sz="4" w:space="0"/>
                    <w:left w:val="single" w:color="000000" w:sz="4" w:space="0"/>
                    <w:bottom w:val="single" w:color="000000" w:sz="4" w:space="0"/>
                    <w:right w:val="single" w:color="000000" w:sz="4" w:space="0"/>
                  </w:tcBorders>
                  <w:noWrap/>
                  <w:vAlign w:val="center"/>
                </w:tcPr>
                <w:p w14:paraId="57B713FE">
                  <w:pPr>
                    <w:widowControl/>
                    <w:spacing w:line="440" w:lineRule="exact"/>
                    <w:ind w:hanging="4"/>
                    <w:jc w:val="left"/>
                    <w:rPr>
                      <w:rFonts w:ascii="宋体" w:hAnsi="宋体" w:cs="宋体"/>
                      <w:sz w:val="22"/>
                      <w:szCs w:val="22"/>
                      <w:highlight w:val="none"/>
                    </w:rPr>
                  </w:pPr>
                  <w:r>
                    <w:rPr>
                      <w:rFonts w:hint="eastAsia" w:ascii="宋体" w:hAnsi="宋体" w:cs="宋体"/>
                      <w:kern w:val="0"/>
                      <w:sz w:val="22"/>
                      <w:szCs w:val="22"/>
                      <w:highlight w:val="none"/>
                    </w:rPr>
                    <w:t>中标价</w:t>
                  </w:r>
                </w:p>
              </w:tc>
              <w:tc>
                <w:tcPr>
                  <w:tcW w:w="1717" w:type="dxa"/>
                  <w:tcBorders>
                    <w:top w:val="single" w:color="000000" w:sz="4" w:space="0"/>
                    <w:left w:val="single" w:color="000000" w:sz="4" w:space="0"/>
                    <w:bottom w:val="single" w:color="000000" w:sz="4" w:space="0"/>
                    <w:right w:val="single" w:color="000000" w:sz="4" w:space="0"/>
                  </w:tcBorders>
                  <w:noWrap/>
                  <w:vAlign w:val="center"/>
                </w:tcPr>
                <w:p w14:paraId="0BC417AD">
                  <w:pPr>
                    <w:widowControl/>
                    <w:spacing w:line="440" w:lineRule="exact"/>
                    <w:ind w:hanging="4"/>
                    <w:jc w:val="left"/>
                    <w:rPr>
                      <w:rFonts w:ascii="宋体" w:hAnsi="宋体" w:cs="宋体"/>
                      <w:sz w:val="22"/>
                      <w:szCs w:val="22"/>
                      <w:highlight w:val="none"/>
                    </w:rPr>
                  </w:pPr>
                  <w:r>
                    <w:rPr>
                      <w:rFonts w:hint="eastAsia" w:ascii="宋体" w:hAnsi="宋体" w:cs="宋体"/>
                      <w:kern w:val="0"/>
                      <w:sz w:val="22"/>
                      <w:szCs w:val="22"/>
                      <w:highlight w:val="none"/>
                    </w:rPr>
                    <w:t>收费标准（万元）</w:t>
                  </w:r>
                </w:p>
              </w:tc>
            </w:tr>
            <w:tr w14:paraId="5CFF6044">
              <w:tblPrEx>
                <w:tblCellMar>
                  <w:top w:w="0" w:type="dxa"/>
                  <w:left w:w="108" w:type="dxa"/>
                  <w:bottom w:w="0" w:type="dxa"/>
                  <w:right w:w="108" w:type="dxa"/>
                </w:tblCellMar>
              </w:tblPrEx>
              <w:trPr>
                <w:trHeight w:val="285" w:hRule="atLeast"/>
                <w:jc w:val="center"/>
              </w:trPr>
              <w:tc>
                <w:tcPr>
                  <w:tcW w:w="4701" w:type="dxa"/>
                  <w:tcBorders>
                    <w:top w:val="single" w:color="000000" w:sz="4" w:space="0"/>
                    <w:left w:val="single" w:color="000000" w:sz="4" w:space="0"/>
                    <w:bottom w:val="single" w:color="000000" w:sz="4" w:space="0"/>
                    <w:right w:val="single" w:color="000000" w:sz="4" w:space="0"/>
                  </w:tcBorders>
                  <w:noWrap/>
                  <w:vAlign w:val="center"/>
                </w:tcPr>
                <w:p w14:paraId="6B2BD0FC">
                  <w:pPr>
                    <w:widowControl/>
                    <w:spacing w:line="440" w:lineRule="exact"/>
                    <w:ind w:hanging="4"/>
                    <w:jc w:val="left"/>
                    <w:rPr>
                      <w:rFonts w:ascii="宋体" w:hAnsi="宋体" w:cs="宋体"/>
                      <w:sz w:val="22"/>
                      <w:szCs w:val="22"/>
                      <w:highlight w:val="none"/>
                    </w:rPr>
                  </w:pPr>
                  <w:r>
                    <w:rPr>
                      <w:rFonts w:hint="eastAsia" w:ascii="宋体" w:hAnsi="宋体" w:cs="宋体"/>
                      <w:kern w:val="0"/>
                      <w:sz w:val="22"/>
                      <w:szCs w:val="22"/>
                      <w:highlight w:val="none"/>
                    </w:rPr>
                    <w:t>200万(含）以下</w:t>
                  </w:r>
                </w:p>
              </w:tc>
              <w:tc>
                <w:tcPr>
                  <w:tcW w:w="1717" w:type="dxa"/>
                  <w:tcBorders>
                    <w:top w:val="single" w:color="000000" w:sz="4" w:space="0"/>
                    <w:left w:val="single" w:color="000000" w:sz="4" w:space="0"/>
                    <w:bottom w:val="single" w:color="000000" w:sz="4" w:space="0"/>
                    <w:right w:val="single" w:color="000000" w:sz="4" w:space="0"/>
                  </w:tcBorders>
                  <w:noWrap/>
                  <w:vAlign w:val="center"/>
                </w:tcPr>
                <w:p w14:paraId="56F7A8E3">
                  <w:pPr>
                    <w:spacing w:line="440" w:lineRule="exact"/>
                    <w:ind w:hanging="4"/>
                    <w:jc w:val="left"/>
                    <w:rPr>
                      <w:rFonts w:ascii="宋体" w:hAnsi="宋体" w:cs="宋体"/>
                      <w:sz w:val="22"/>
                      <w:szCs w:val="22"/>
                      <w:highlight w:val="none"/>
                    </w:rPr>
                  </w:pPr>
                  <w:r>
                    <w:rPr>
                      <w:rFonts w:hint="eastAsia" w:ascii="宋体" w:hAnsi="宋体" w:cs="宋体"/>
                      <w:kern w:val="0"/>
                      <w:sz w:val="22"/>
                      <w:szCs w:val="22"/>
                      <w:highlight w:val="none"/>
                    </w:rPr>
                    <w:t>0.1</w:t>
                  </w:r>
                </w:p>
              </w:tc>
            </w:tr>
            <w:tr w14:paraId="6807FB56">
              <w:tblPrEx>
                <w:tblCellMar>
                  <w:top w:w="0" w:type="dxa"/>
                  <w:left w:w="108" w:type="dxa"/>
                  <w:bottom w:w="0" w:type="dxa"/>
                  <w:right w:w="108" w:type="dxa"/>
                </w:tblCellMar>
              </w:tblPrEx>
              <w:trPr>
                <w:trHeight w:val="285" w:hRule="atLeast"/>
                <w:jc w:val="center"/>
              </w:trPr>
              <w:tc>
                <w:tcPr>
                  <w:tcW w:w="4701" w:type="dxa"/>
                  <w:tcBorders>
                    <w:top w:val="single" w:color="000000" w:sz="4" w:space="0"/>
                    <w:left w:val="single" w:color="000000" w:sz="4" w:space="0"/>
                    <w:bottom w:val="single" w:color="000000" w:sz="4" w:space="0"/>
                    <w:right w:val="single" w:color="000000" w:sz="4" w:space="0"/>
                  </w:tcBorders>
                  <w:noWrap/>
                  <w:vAlign w:val="center"/>
                </w:tcPr>
                <w:p w14:paraId="1690FFCE">
                  <w:pPr>
                    <w:widowControl/>
                    <w:spacing w:line="440" w:lineRule="exact"/>
                    <w:ind w:hanging="4"/>
                    <w:jc w:val="left"/>
                    <w:rPr>
                      <w:rFonts w:ascii="宋体" w:hAnsi="宋体" w:cs="宋体"/>
                      <w:kern w:val="0"/>
                      <w:sz w:val="22"/>
                      <w:szCs w:val="22"/>
                      <w:highlight w:val="none"/>
                    </w:rPr>
                  </w:pPr>
                  <w:r>
                    <w:rPr>
                      <w:rFonts w:hint="eastAsia" w:ascii="宋体" w:hAnsi="宋体" w:cs="宋体"/>
                      <w:kern w:val="0"/>
                      <w:sz w:val="22"/>
                      <w:szCs w:val="22"/>
                      <w:highlight w:val="none"/>
                    </w:rPr>
                    <w:t>200万-500万(含)</w:t>
                  </w:r>
                </w:p>
              </w:tc>
              <w:tc>
                <w:tcPr>
                  <w:tcW w:w="1717" w:type="dxa"/>
                  <w:tcBorders>
                    <w:top w:val="single" w:color="000000" w:sz="4" w:space="0"/>
                    <w:left w:val="single" w:color="000000" w:sz="4" w:space="0"/>
                    <w:bottom w:val="single" w:color="000000" w:sz="4" w:space="0"/>
                    <w:right w:val="single" w:color="000000" w:sz="4" w:space="0"/>
                  </w:tcBorders>
                  <w:noWrap/>
                  <w:vAlign w:val="center"/>
                </w:tcPr>
                <w:p w14:paraId="1D884919">
                  <w:pPr>
                    <w:spacing w:line="440" w:lineRule="exact"/>
                    <w:ind w:hanging="4"/>
                    <w:jc w:val="left"/>
                    <w:rPr>
                      <w:rFonts w:ascii="宋体" w:hAnsi="宋体" w:cs="宋体"/>
                      <w:kern w:val="0"/>
                      <w:sz w:val="22"/>
                      <w:szCs w:val="22"/>
                      <w:highlight w:val="none"/>
                    </w:rPr>
                  </w:pPr>
                  <w:r>
                    <w:rPr>
                      <w:rFonts w:hint="eastAsia" w:ascii="宋体" w:hAnsi="宋体" w:cs="宋体"/>
                      <w:kern w:val="0"/>
                      <w:sz w:val="22"/>
                      <w:szCs w:val="22"/>
                      <w:highlight w:val="none"/>
                    </w:rPr>
                    <w:t>0.25</w:t>
                  </w:r>
                </w:p>
              </w:tc>
            </w:tr>
            <w:tr w14:paraId="22952F53">
              <w:tblPrEx>
                <w:tblCellMar>
                  <w:top w:w="0" w:type="dxa"/>
                  <w:left w:w="108" w:type="dxa"/>
                  <w:bottom w:w="0" w:type="dxa"/>
                  <w:right w:w="108" w:type="dxa"/>
                </w:tblCellMar>
              </w:tblPrEx>
              <w:trPr>
                <w:trHeight w:val="285" w:hRule="atLeast"/>
                <w:jc w:val="center"/>
              </w:trPr>
              <w:tc>
                <w:tcPr>
                  <w:tcW w:w="4701" w:type="dxa"/>
                  <w:tcBorders>
                    <w:top w:val="single" w:color="000000" w:sz="4" w:space="0"/>
                    <w:left w:val="single" w:color="000000" w:sz="4" w:space="0"/>
                    <w:bottom w:val="single" w:color="000000" w:sz="4" w:space="0"/>
                    <w:right w:val="single" w:color="000000" w:sz="4" w:space="0"/>
                  </w:tcBorders>
                  <w:noWrap/>
                  <w:vAlign w:val="center"/>
                </w:tcPr>
                <w:p w14:paraId="1E5C78B4">
                  <w:pPr>
                    <w:widowControl/>
                    <w:spacing w:line="440" w:lineRule="exact"/>
                    <w:ind w:hanging="4"/>
                    <w:jc w:val="left"/>
                    <w:rPr>
                      <w:rFonts w:ascii="宋体" w:hAnsi="宋体" w:cs="宋体"/>
                      <w:sz w:val="22"/>
                      <w:szCs w:val="22"/>
                      <w:highlight w:val="none"/>
                    </w:rPr>
                  </w:pPr>
                  <w:r>
                    <w:rPr>
                      <w:rFonts w:hint="eastAsia" w:ascii="宋体" w:hAnsi="宋体" w:cs="宋体"/>
                      <w:kern w:val="0"/>
                      <w:sz w:val="22"/>
                      <w:szCs w:val="22"/>
                      <w:highlight w:val="none"/>
                    </w:rPr>
                    <w:t>500万-1000万(含)</w:t>
                  </w:r>
                </w:p>
              </w:tc>
              <w:tc>
                <w:tcPr>
                  <w:tcW w:w="1717" w:type="dxa"/>
                  <w:tcBorders>
                    <w:top w:val="single" w:color="000000" w:sz="4" w:space="0"/>
                    <w:left w:val="single" w:color="000000" w:sz="4" w:space="0"/>
                    <w:bottom w:val="single" w:color="000000" w:sz="4" w:space="0"/>
                    <w:right w:val="single" w:color="000000" w:sz="4" w:space="0"/>
                  </w:tcBorders>
                  <w:noWrap/>
                  <w:vAlign w:val="center"/>
                </w:tcPr>
                <w:p w14:paraId="42A95736">
                  <w:pPr>
                    <w:widowControl/>
                    <w:spacing w:line="440" w:lineRule="exact"/>
                    <w:ind w:hanging="4"/>
                    <w:jc w:val="left"/>
                    <w:rPr>
                      <w:rFonts w:ascii="宋体" w:hAnsi="宋体" w:cs="宋体"/>
                      <w:sz w:val="22"/>
                      <w:szCs w:val="22"/>
                      <w:highlight w:val="none"/>
                    </w:rPr>
                  </w:pPr>
                  <w:r>
                    <w:rPr>
                      <w:rFonts w:hint="eastAsia" w:ascii="宋体" w:hAnsi="宋体" w:cs="宋体"/>
                      <w:kern w:val="0"/>
                      <w:sz w:val="22"/>
                      <w:szCs w:val="22"/>
                      <w:highlight w:val="none"/>
                    </w:rPr>
                    <w:t>0.75</w:t>
                  </w:r>
                </w:p>
              </w:tc>
            </w:tr>
            <w:tr w14:paraId="0F677587">
              <w:tblPrEx>
                <w:tblCellMar>
                  <w:top w:w="0" w:type="dxa"/>
                  <w:left w:w="108" w:type="dxa"/>
                  <w:bottom w:w="0" w:type="dxa"/>
                  <w:right w:w="108" w:type="dxa"/>
                </w:tblCellMar>
              </w:tblPrEx>
              <w:trPr>
                <w:trHeight w:val="285" w:hRule="atLeast"/>
                <w:jc w:val="center"/>
              </w:trPr>
              <w:tc>
                <w:tcPr>
                  <w:tcW w:w="4701" w:type="dxa"/>
                  <w:tcBorders>
                    <w:top w:val="single" w:color="000000" w:sz="4" w:space="0"/>
                    <w:left w:val="single" w:color="000000" w:sz="4" w:space="0"/>
                    <w:bottom w:val="single" w:color="000000" w:sz="4" w:space="0"/>
                    <w:right w:val="single" w:color="000000" w:sz="4" w:space="0"/>
                  </w:tcBorders>
                  <w:noWrap/>
                  <w:vAlign w:val="center"/>
                </w:tcPr>
                <w:p w14:paraId="7321E82B">
                  <w:pPr>
                    <w:widowControl/>
                    <w:spacing w:line="440" w:lineRule="exact"/>
                    <w:ind w:hanging="4"/>
                    <w:jc w:val="left"/>
                    <w:rPr>
                      <w:rFonts w:ascii="宋体" w:hAnsi="宋体" w:cs="宋体"/>
                      <w:kern w:val="0"/>
                      <w:sz w:val="22"/>
                      <w:szCs w:val="22"/>
                      <w:highlight w:val="none"/>
                    </w:rPr>
                  </w:pPr>
                  <w:r>
                    <w:rPr>
                      <w:rFonts w:hint="eastAsia" w:ascii="宋体" w:hAnsi="宋体" w:cs="宋体"/>
                      <w:kern w:val="0"/>
                      <w:sz w:val="22"/>
                      <w:szCs w:val="22"/>
                      <w:highlight w:val="none"/>
                    </w:rPr>
                    <w:t>1000万-2000万(含)</w:t>
                  </w:r>
                </w:p>
              </w:tc>
              <w:tc>
                <w:tcPr>
                  <w:tcW w:w="1717" w:type="dxa"/>
                  <w:tcBorders>
                    <w:top w:val="single" w:color="000000" w:sz="4" w:space="0"/>
                    <w:left w:val="single" w:color="000000" w:sz="4" w:space="0"/>
                    <w:bottom w:val="single" w:color="000000" w:sz="4" w:space="0"/>
                    <w:right w:val="single" w:color="000000" w:sz="4" w:space="0"/>
                  </w:tcBorders>
                  <w:noWrap/>
                  <w:vAlign w:val="center"/>
                </w:tcPr>
                <w:p w14:paraId="23061314">
                  <w:pPr>
                    <w:widowControl/>
                    <w:spacing w:line="440" w:lineRule="exact"/>
                    <w:ind w:hanging="4"/>
                    <w:jc w:val="left"/>
                    <w:rPr>
                      <w:rFonts w:ascii="宋体" w:hAnsi="宋体" w:cs="宋体"/>
                      <w:kern w:val="0"/>
                      <w:sz w:val="22"/>
                      <w:szCs w:val="22"/>
                      <w:highlight w:val="none"/>
                    </w:rPr>
                  </w:pPr>
                  <w:r>
                    <w:rPr>
                      <w:rFonts w:hint="eastAsia" w:ascii="宋体" w:hAnsi="宋体" w:cs="宋体"/>
                      <w:kern w:val="0"/>
                      <w:sz w:val="22"/>
                      <w:szCs w:val="22"/>
                      <w:highlight w:val="none"/>
                    </w:rPr>
                    <w:t>1.25</w:t>
                  </w:r>
                </w:p>
              </w:tc>
            </w:tr>
            <w:tr w14:paraId="22F73DC3">
              <w:tblPrEx>
                <w:tblCellMar>
                  <w:top w:w="0" w:type="dxa"/>
                  <w:left w:w="108" w:type="dxa"/>
                  <w:bottom w:w="0" w:type="dxa"/>
                  <w:right w:w="108" w:type="dxa"/>
                </w:tblCellMar>
              </w:tblPrEx>
              <w:trPr>
                <w:trHeight w:val="285" w:hRule="atLeast"/>
                <w:jc w:val="center"/>
              </w:trPr>
              <w:tc>
                <w:tcPr>
                  <w:tcW w:w="4701" w:type="dxa"/>
                  <w:tcBorders>
                    <w:top w:val="single" w:color="000000" w:sz="4" w:space="0"/>
                    <w:left w:val="single" w:color="000000" w:sz="4" w:space="0"/>
                    <w:bottom w:val="single" w:color="000000" w:sz="4" w:space="0"/>
                    <w:right w:val="single" w:color="000000" w:sz="4" w:space="0"/>
                  </w:tcBorders>
                  <w:noWrap/>
                  <w:vAlign w:val="center"/>
                </w:tcPr>
                <w:p w14:paraId="1EE7A052">
                  <w:pPr>
                    <w:widowControl/>
                    <w:spacing w:line="440" w:lineRule="exact"/>
                    <w:ind w:hanging="4"/>
                    <w:jc w:val="left"/>
                    <w:rPr>
                      <w:rFonts w:ascii="宋体" w:hAnsi="宋体" w:cs="宋体"/>
                      <w:kern w:val="0"/>
                      <w:sz w:val="22"/>
                      <w:szCs w:val="22"/>
                      <w:highlight w:val="none"/>
                    </w:rPr>
                  </w:pPr>
                  <w:r>
                    <w:rPr>
                      <w:rFonts w:hint="eastAsia" w:ascii="宋体" w:hAnsi="宋体" w:cs="宋体"/>
                      <w:kern w:val="0"/>
                      <w:sz w:val="22"/>
                      <w:szCs w:val="22"/>
                      <w:highlight w:val="none"/>
                    </w:rPr>
                    <w:t>2000万-5000万(含)</w:t>
                  </w:r>
                </w:p>
              </w:tc>
              <w:tc>
                <w:tcPr>
                  <w:tcW w:w="1717" w:type="dxa"/>
                  <w:tcBorders>
                    <w:top w:val="single" w:color="000000" w:sz="4" w:space="0"/>
                    <w:left w:val="single" w:color="000000" w:sz="4" w:space="0"/>
                    <w:bottom w:val="single" w:color="000000" w:sz="4" w:space="0"/>
                    <w:right w:val="single" w:color="000000" w:sz="4" w:space="0"/>
                  </w:tcBorders>
                  <w:noWrap/>
                  <w:vAlign w:val="center"/>
                </w:tcPr>
                <w:p w14:paraId="7CB8DF77">
                  <w:pPr>
                    <w:widowControl/>
                    <w:spacing w:line="440" w:lineRule="exact"/>
                    <w:ind w:hanging="4"/>
                    <w:jc w:val="left"/>
                    <w:rPr>
                      <w:rFonts w:ascii="宋体" w:hAnsi="宋体" w:cs="宋体"/>
                      <w:kern w:val="0"/>
                      <w:sz w:val="22"/>
                      <w:szCs w:val="22"/>
                      <w:highlight w:val="none"/>
                    </w:rPr>
                  </w:pPr>
                  <w:r>
                    <w:rPr>
                      <w:rFonts w:hint="eastAsia" w:ascii="宋体" w:hAnsi="宋体" w:cs="宋体"/>
                      <w:kern w:val="0"/>
                      <w:sz w:val="22"/>
                      <w:szCs w:val="22"/>
                      <w:highlight w:val="none"/>
                    </w:rPr>
                    <w:t>1.75</w:t>
                  </w:r>
                </w:p>
              </w:tc>
            </w:tr>
            <w:tr w14:paraId="65BAA825">
              <w:tblPrEx>
                <w:tblCellMar>
                  <w:top w:w="0" w:type="dxa"/>
                  <w:left w:w="108" w:type="dxa"/>
                  <w:bottom w:w="0" w:type="dxa"/>
                  <w:right w:w="108" w:type="dxa"/>
                </w:tblCellMar>
              </w:tblPrEx>
              <w:trPr>
                <w:trHeight w:val="285" w:hRule="atLeast"/>
                <w:jc w:val="center"/>
              </w:trPr>
              <w:tc>
                <w:tcPr>
                  <w:tcW w:w="4701" w:type="dxa"/>
                  <w:tcBorders>
                    <w:top w:val="single" w:color="000000" w:sz="4" w:space="0"/>
                    <w:left w:val="single" w:color="000000" w:sz="4" w:space="0"/>
                    <w:bottom w:val="single" w:color="000000" w:sz="4" w:space="0"/>
                    <w:right w:val="single" w:color="000000" w:sz="4" w:space="0"/>
                  </w:tcBorders>
                  <w:noWrap/>
                  <w:vAlign w:val="center"/>
                </w:tcPr>
                <w:p w14:paraId="00DD7443">
                  <w:pPr>
                    <w:widowControl/>
                    <w:spacing w:line="440" w:lineRule="exact"/>
                    <w:ind w:hanging="4"/>
                    <w:jc w:val="left"/>
                    <w:rPr>
                      <w:rFonts w:ascii="宋体" w:hAnsi="宋体" w:cs="宋体"/>
                      <w:sz w:val="22"/>
                      <w:szCs w:val="22"/>
                      <w:highlight w:val="none"/>
                    </w:rPr>
                  </w:pPr>
                  <w:r>
                    <w:rPr>
                      <w:rFonts w:hint="eastAsia" w:ascii="宋体" w:hAnsi="宋体" w:cs="宋体"/>
                      <w:kern w:val="0"/>
                      <w:sz w:val="22"/>
                      <w:szCs w:val="22"/>
                      <w:highlight w:val="none"/>
                    </w:rPr>
                    <w:t>5000万-1亿(含)</w:t>
                  </w:r>
                </w:p>
              </w:tc>
              <w:tc>
                <w:tcPr>
                  <w:tcW w:w="1717" w:type="dxa"/>
                  <w:tcBorders>
                    <w:top w:val="single" w:color="000000" w:sz="4" w:space="0"/>
                    <w:left w:val="single" w:color="000000" w:sz="4" w:space="0"/>
                    <w:bottom w:val="single" w:color="000000" w:sz="4" w:space="0"/>
                    <w:right w:val="single" w:color="000000" w:sz="4" w:space="0"/>
                  </w:tcBorders>
                  <w:noWrap/>
                  <w:vAlign w:val="center"/>
                </w:tcPr>
                <w:p w14:paraId="0EFABDBA">
                  <w:pPr>
                    <w:widowControl/>
                    <w:spacing w:line="440" w:lineRule="exact"/>
                    <w:ind w:hanging="4"/>
                    <w:jc w:val="left"/>
                    <w:rPr>
                      <w:rFonts w:ascii="宋体" w:hAnsi="宋体" w:cs="宋体"/>
                      <w:sz w:val="22"/>
                      <w:szCs w:val="22"/>
                      <w:highlight w:val="none"/>
                    </w:rPr>
                  </w:pPr>
                  <w:r>
                    <w:rPr>
                      <w:rFonts w:hint="eastAsia" w:ascii="宋体" w:hAnsi="宋体" w:cs="宋体"/>
                      <w:kern w:val="0"/>
                      <w:sz w:val="22"/>
                      <w:szCs w:val="22"/>
                      <w:highlight w:val="none"/>
                    </w:rPr>
                    <w:t>2.5</w:t>
                  </w:r>
                </w:p>
              </w:tc>
            </w:tr>
            <w:tr w14:paraId="2194223F">
              <w:tblPrEx>
                <w:tblCellMar>
                  <w:top w:w="0" w:type="dxa"/>
                  <w:left w:w="108" w:type="dxa"/>
                  <w:bottom w:w="0" w:type="dxa"/>
                  <w:right w:w="108" w:type="dxa"/>
                </w:tblCellMar>
              </w:tblPrEx>
              <w:trPr>
                <w:trHeight w:val="285" w:hRule="atLeast"/>
                <w:jc w:val="center"/>
              </w:trPr>
              <w:tc>
                <w:tcPr>
                  <w:tcW w:w="4701" w:type="dxa"/>
                  <w:tcBorders>
                    <w:top w:val="single" w:color="000000" w:sz="4" w:space="0"/>
                    <w:left w:val="single" w:color="000000" w:sz="4" w:space="0"/>
                    <w:bottom w:val="single" w:color="000000" w:sz="4" w:space="0"/>
                    <w:right w:val="single" w:color="000000" w:sz="4" w:space="0"/>
                  </w:tcBorders>
                  <w:noWrap/>
                  <w:vAlign w:val="center"/>
                </w:tcPr>
                <w:p w14:paraId="697B4204">
                  <w:pPr>
                    <w:widowControl/>
                    <w:spacing w:line="440" w:lineRule="exact"/>
                    <w:ind w:hanging="4"/>
                    <w:jc w:val="left"/>
                    <w:rPr>
                      <w:rFonts w:ascii="宋体" w:hAnsi="宋体" w:cs="宋体"/>
                      <w:kern w:val="0"/>
                      <w:sz w:val="22"/>
                      <w:szCs w:val="22"/>
                      <w:highlight w:val="none"/>
                    </w:rPr>
                  </w:pPr>
                  <w:r>
                    <w:rPr>
                      <w:rFonts w:hint="eastAsia" w:ascii="宋体" w:hAnsi="宋体" w:cs="宋体"/>
                      <w:kern w:val="0"/>
                      <w:sz w:val="22"/>
                      <w:szCs w:val="22"/>
                      <w:highlight w:val="none"/>
                    </w:rPr>
                    <w:t>1亿-5亿(含)</w:t>
                  </w:r>
                </w:p>
              </w:tc>
              <w:tc>
                <w:tcPr>
                  <w:tcW w:w="1717" w:type="dxa"/>
                  <w:tcBorders>
                    <w:top w:val="single" w:color="000000" w:sz="4" w:space="0"/>
                    <w:left w:val="single" w:color="000000" w:sz="4" w:space="0"/>
                    <w:bottom w:val="single" w:color="000000" w:sz="4" w:space="0"/>
                    <w:right w:val="single" w:color="000000" w:sz="4" w:space="0"/>
                  </w:tcBorders>
                  <w:noWrap/>
                  <w:vAlign w:val="center"/>
                </w:tcPr>
                <w:p w14:paraId="088FDE97">
                  <w:pPr>
                    <w:widowControl/>
                    <w:spacing w:line="440" w:lineRule="exact"/>
                    <w:ind w:hanging="4"/>
                    <w:jc w:val="left"/>
                    <w:rPr>
                      <w:rFonts w:ascii="宋体" w:hAnsi="宋体" w:cs="宋体"/>
                      <w:kern w:val="0"/>
                      <w:sz w:val="22"/>
                      <w:szCs w:val="22"/>
                      <w:highlight w:val="none"/>
                    </w:rPr>
                  </w:pPr>
                  <w:r>
                    <w:rPr>
                      <w:rFonts w:hint="eastAsia" w:ascii="宋体" w:hAnsi="宋体" w:cs="宋体"/>
                      <w:kern w:val="0"/>
                      <w:sz w:val="22"/>
                      <w:szCs w:val="22"/>
                      <w:highlight w:val="none"/>
                    </w:rPr>
                    <w:t>3.5</w:t>
                  </w:r>
                </w:p>
              </w:tc>
            </w:tr>
            <w:tr w14:paraId="7219A1CD">
              <w:tblPrEx>
                <w:tblCellMar>
                  <w:top w:w="0" w:type="dxa"/>
                  <w:left w:w="108" w:type="dxa"/>
                  <w:bottom w:w="0" w:type="dxa"/>
                  <w:right w:w="108" w:type="dxa"/>
                </w:tblCellMar>
              </w:tblPrEx>
              <w:trPr>
                <w:trHeight w:val="285" w:hRule="atLeast"/>
                <w:jc w:val="center"/>
              </w:trPr>
              <w:tc>
                <w:tcPr>
                  <w:tcW w:w="4701" w:type="dxa"/>
                  <w:tcBorders>
                    <w:top w:val="single" w:color="000000" w:sz="4" w:space="0"/>
                    <w:left w:val="single" w:color="000000" w:sz="4" w:space="0"/>
                    <w:bottom w:val="single" w:color="000000" w:sz="4" w:space="0"/>
                    <w:right w:val="single" w:color="000000" w:sz="4" w:space="0"/>
                  </w:tcBorders>
                  <w:noWrap/>
                  <w:vAlign w:val="center"/>
                </w:tcPr>
                <w:p w14:paraId="1AA205BB">
                  <w:pPr>
                    <w:widowControl/>
                    <w:spacing w:line="440" w:lineRule="exact"/>
                    <w:ind w:hanging="4"/>
                    <w:jc w:val="left"/>
                    <w:rPr>
                      <w:rFonts w:ascii="宋体" w:hAnsi="宋体" w:cs="宋体"/>
                      <w:sz w:val="22"/>
                      <w:szCs w:val="22"/>
                      <w:highlight w:val="none"/>
                    </w:rPr>
                  </w:pPr>
                  <w:r>
                    <w:rPr>
                      <w:rFonts w:hint="eastAsia" w:ascii="宋体" w:hAnsi="宋体" w:cs="宋体"/>
                      <w:kern w:val="0"/>
                      <w:sz w:val="22"/>
                      <w:szCs w:val="22"/>
                      <w:highlight w:val="none"/>
                    </w:rPr>
                    <w:t>5亿—10亿(含)</w:t>
                  </w:r>
                </w:p>
              </w:tc>
              <w:tc>
                <w:tcPr>
                  <w:tcW w:w="1717" w:type="dxa"/>
                  <w:tcBorders>
                    <w:top w:val="single" w:color="000000" w:sz="4" w:space="0"/>
                    <w:left w:val="single" w:color="000000" w:sz="4" w:space="0"/>
                    <w:bottom w:val="single" w:color="000000" w:sz="4" w:space="0"/>
                    <w:right w:val="single" w:color="000000" w:sz="4" w:space="0"/>
                  </w:tcBorders>
                  <w:noWrap/>
                  <w:vAlign w:val="center"/>
                </w:tcPr>
                <w:p w14:paraId="3BF68E9C">
                  <w:pPr>
                    <w:widowControl/>
                    <w:spacing w:line="440" w:lineRule="exact"/>
                    <w:ind w:hanging="4"/>
                    <w:jc w:val="left"/>
                    <w:rPr>
                      <w:rFonts w:ascii="宋体" w:hAnsi="宋体" w:cs="宋体"/>
                      <w:sz w:val="22"/>
                      <w:szCs w:val="22"/>
                      <w:highlight w:val="none"/>
                    </w:rPr>
                  </w:pPr>
                  <w:r>
                    <w:rPr>
                      <w:rFonts w:hint="eastAsia" w:ascii="宋体" w:hAnsi="宋体" w:cs="宋体"/>
                      <w:kern w:val="0"/>
                      <w:sz w:val="22"/>
                      <w:szCs w:val="22"/>
                      <w:highlight w:val="none"/>
                    </w:rPr>
                    <w:t>5</w:t>
                  </w:r>
                </w:p>
              </w:tc>
            </w:tr>
            <w:tr w14:paraId="1D84691B">
              <w:tblPrEx>
                <w:tblCellMar>
                  <w:top w:w="0" w:type="dxa"/>
                  <w:left w:w="108" w:type="dxa"/>
                  <w:bottom w:w="0" w:type="dxa"/>
                  <w:right w:w="108" w:type="dxa"/>
                </w:tblCellMar>
              </w:tblPrEx>
              <w:trPr>
                <w:trHeight w:val="285" w:hRule="atLeast"/>
                <w:jc w:val="center"/>
              </w:trPr>
              <w:tc>
                <w:tcPr>
                  <w:tcW w:w="4701" w:type="dxa"/>
                  <w:tcBorders>
                    <w:top w:val="single" w:color="000000" w:sz="4" w:space="0"/>
                    <w:left w:val="single" w:color="000000" w:sz="4" w:space="0"/>
                    <w:bottom w:val="single" w:color="000000" w:sz="4" w:space="0"/>
                    <w:right w:val="single" w:color="000000" w:sz="4" w:space="0"/>
                  </w:tcBorders>
                  <w:noWrap/>
                  <w:vAlign w:val="center"/>
                </w:tcPr>
                <w:p w14:paraId="0DF88A01">
                  <w:pPr>
                    <w:widowControl/>
                    <w:spacing w:line="440" w:lineRule="exact"/>
                    <w:ind w:hanging="4"/>
                    <w:jc w:val="left"/>
                    <w:rPr>
                      <w:rFonts w:ascii="宋体" w:hAnsi="宋体" w:cs="宋体"/>
                      <w:kern w:val="0"/>
                      <w:sz w:val="22"/>
                      <w:szCs w:val="22"/>
                      <w:highlight w:val="none"/>
                    </w:rPr>
                  </w:pPr>
                  <w:r>
                    <w:rPr>
                      <w:rFonts w:hint="eastAsia" w:ascii="宋体" w:hAnsi="宋体" w:cs="宋体"/>
                      <w:kern w:val="0"/>
                      <w:sz w:val="22"/>
                      <w:szCs w:val="22"/>
                      <w:highlight w:val="none"/>
                    </w:rPr>
                    <w:t>10亿以上</w:t>
                  </w:r>
                </w:p>
              </w:tc>
              <w:tc>
                <w:tcPr>
                  <w:tcW w:w="1717" w:type="dxa"/>
                  <w:tcBorders>
                    <w:top w:val="single" w:color="000000" w:sz="4" w:space="0"/>
                    <w:left w:val="single" w:color="000000" w:sz="4" w:space="0"/>
                    <w:bottom w:val="single" w:color="000000" w:sz="4" w:space="0"/>
                    <w:right w:val="single" w:color="000000" w:sz="4" w:space="0"/>
                  </w:tcBorders>
                  <w:noWrap/>
                  <w:vAlign w:val="center"/>
                </w:tcPr>
                <w:p w14:paraId="2B197EC6">
                  <w:pPr>
                    <w:widowControl/>
                    <w:spacing w:line="440" w:lineRule="exact"/>
                    <w:ind w:hanging="4"/>
                    <w:jc w:val="left"/>
                    <w:rPr>
                      <w:rFonts w:ascii="宋体" w:hAnsi="宋体" w:cs="宋体"/>
                      <w:kern w:val="0"/>
                      <w:sz w:val="22"/>
                      <w:szCs w:val="22"/>
                      <w:highlight w:val="none"/>
                    </w:rPr>
                  </w:pPr>
                  <w:r>
                    <w:rPr>
                      <w:rFonts w:hint="eastAsia" w:ascii="宋体" w:hAnsi="宋体" w:cs="宋体"/>
                      <w:kern w:val="0"/>
                      <w:sz w:val="22"/>
                      <w:szCs w:val="22"/>
                      <w:highlight w:val="none"/>
                    </w:rPr>
                    <w:t>6</w:t>
                  </w:r>
                </w:p>
              </w:tc>
            </w:tr>
            <w:tr w14:paraId="7042F05F">
              <w:tblPrEx>
                <w:tblCellMar>
                  <w:top w:w="0" w:type="dxa"/>
                  <w:left w:w="108" w:type="dxa"/>
                  <w:bottom w:w="0" w:type="dxa"/>
                  <w:right w:w="108" w:type="dxa"/>
                </w:tblCellMar>
              </w:tblPrEx>
              <w:trPr>
                <w:trHeight w:val="1932" w:hRule="atLeast"/>
                <w:jc w:val="center"/>
              </w:trPr>
              <w:tc>
                <w:tcPr>
                  <w:tcW w:w="6418" w:type="dxa"/>
                  <w:gridSpan w:val="2"/>
                  <w:tcBorders>
                    <w:top w:val="single" w:color="000000" w:sz="4" w:space="0"/>
                    <w:left w:val="single" w:color="000000" w:sz="4" w:space="0"/>
                    <w:bottom w:val="single" w:color="000000" w:sz="4" w:space="0"/>
                    <w:right w:val="single" w:color="000000" w:sz="4" w:space="0"/>
                  </w:tcBorders>
                  <w:noWrap/>
                  <w:vAlign w:val="center"/>
                </w:tcPr>
                <w:p w14:paraId="106E1963">
                  <w:pPr>
                    <w:spacing w:line="440" w:lineRule="exact"/>
                    <w:ind w:hanging="4"/>
                    <w:jc w:val="left"/>
                    <w:rPr>
                      <w:rFonts w:ascii="宋体" w:hAnsi="宋体" w:cs="宋体"/>
                      <w:kern w:val="58"/>
                      <w:sz w:val="22"/>
                      <w:szCs w:val="22"/>
                      <w:highlight w:val="none"/>
                    </w:rPr>
                  </w:pPr>
                  <w:r>
                    <w:rPr>
                      <w:rFonts w:hint="eastAsia" w:ascii="宋体" w:hAnsi="宋体" w:cs="宋体"/>
                      <w:kern w:val="58"/>
                      <w:sz w:val="22"/>
                      <w:szCs w:val="22"/>
                      <w:highlight w:val="none"/>
                    </w:rPr>
                    <w:t>注：</w:t>
                  </w:r>
                </w:p>
                <w:p w14:paraId="3AB09B72">
                  <w:pPr>
                    <w:spacing w:line="440" w:lineRule="exact"/>
                    <w:ind w:hanging="4"/>
                    <w:jc w:val="left"/>
                    <w:rPr>
                      <w:rFonts w:ascii="宋体" w:hAnsi="宋体" w:cs="宋体"/>
                      <w:kern w:val="58"/>
                      <w:sz w:val="22"/>
                      <w:szCs w:val="22"/>
                      <w:highlight w:val="none"/>
                    </w:rPr>
                  </w:pPr>
                  <w:r>
                    <w:rPr>
                      <w:rFonts w:hint="eastAsia" w:ascii="宋体" w:hAnsi="宋体" w:cs="宋体"/>
                      <w:kern w:val="58"/>
                      <w:sz w:val="22"/>
                      <w:szCs w:val="22"/>
                      <w:highlight w:val="none"/>
                    </w:rPr>
                    <w:t>1.交易服务费由中标单位承担。</w:t>
                  </w:r>
                </w:p>
                <w:p w14:paraId="516F7DC1">
                  <w:pPr>
                    <w:spacing w:line="440" w:lineRule="exact"/>
                    <w:ind w:hanging="4"/>
                    <w:jc w:val="left"/>
                    <w:rPr>
                      <w:rFonts w:ascii="宋体" w:hAnsi="宋体" w:cs="宋体"/>
                      <w:kern w:val="58"/>
                      <w:sz w:val="22"/>
                      <w:szCs w:val="22"/>
                      <w:highlight w:val="none"/>
                    </w:rPr>
                  </w:pPr>
                  <w:r>
                    <w:rPr>
                      <w:rFonts w:hint="eastAsia" w:ascii="宋体" w:hAnsi="宋体" w:cs="宋体"/>
                      <w:kern w:val="58"/>
                      <w:sz w:val="22"/>
                      <w:szCs w:val="22"/>
                      <w:highlight w:val="none"/>
                    </w:rPr>
                    <w:t>2.对于招标服务期在1年以上且按每年报价的项目,交易服务费按1年的中标金额计取。</w:t>
                  </w:r>
                </w:p>
                <w:p w14:paraId="42099B21">
                  <w:pPr>
                    <w:spacing w:line="440" w:lineRule="exact"/>
                    <w:ind w:hanging="4"/>
                    <w:jc w:val="left"/>
                    <w:rPr>
                      <w:rFonts w:ascii="宋体" w:hAnsi="宋体" w:cs="宋体"/>
                      <w:kern w:val="58"/>
                      <w:sz w:val="22"/>
                      <w:szCs w:val="22"/>
                      <w:highlight w:val="none"/>
                    </w:rPr>
                  </w:pPr>
                  <w:r>
                    <w:rPr>
                      <w:rFonts w:hint="eastAsia" w:ascii="宋体" w:hAnsi="宋体" w:cs="宋体"/>
                      <w:kern w:val="58"/>
                      <w:sz w:val="22"/>
                      <w:szCs w:val="22"/>
                      <w:highlight w:val="none"/>
                    </w:rPr>
                    <w:t>3.对于无具体交易(中标)金额的限额以上招标采购项目参照项目计划金额计取,对于无具体交易(中标)金额的限额以下招标采购项目按每个项目1000元计取，多家中标人费用平摊。</w:t>
                  </w:r>
                </w:p>
                <w:p w14:paraId="0B8646DE">
                  <w:pPr>
                    <w:spacing w:line="440" w:lineRule="exact"/>
                    <w:ind w:hanging="4"/>
                    <w:jc w:val="left"/>
                    <w:rPr>
                      <w:rFonts w:ascii="宋体" w:hAnsi="宋体" w:cs="宋体"/>
                      <w:sz w:val="22"/>
                      <w:szCs w:val="22"/>
                      <w:highlight w:val="none"/>
                    </w:rPr>
                  </w:pPr>
                  <w:r>
                    <w:rPr>
                      <w:rFonts w:hint="eastAsia" w:ascii="宋体" w:hAnsi="宋体" w:cs="宋体"/>
                      <w:kern w:val="58"/>
                      <w:sz w:val="22"/>
                      <w:szCs w:val="22"/>
                      <w:highlight w:val="none"/>
                    </w:rPr>
                    <w:t>4.限额以下非招标项目按实际成交价0.2%收取交易服务费，最高不超过500元，5万元以下项目免收交易服务费。</w:t>
                  </w:r>
                </w:p>
              </w:tc>
            </w:tr>
          </w:tbl>
          <w:p w14:paraId="561D60E8">
            <w:pPr>
              <w:spacing w:line="440" w:lineRule="exact"/>
              <w:jc w:val="left"/>
              <w:rPr>
                <w:rFonts w:ascii="宋体" w:hAnsi="宋体" w:cs="宋体"/>
                <w:sz w:val="22"/>
                <w:szCs w:val="22"/>
                <w:highlight w:val="none"/>
              </w:rPr>
            </w:pPr>
          </w:p>
        </w:tc>
      </w:tr>
    </w:tbl>
    <w:p w14:paraId="1301512F">
      <w:pPr>
        <w:ind w:firstLine="527" w:firstLineChars="250"/>
        <w:rPr>
          <w:rFonts w:ascii="宋体" w:hAnsi="宋体"/>
          <w:b/>
          <w:szCs w:val="21"/>
          <w:highlight w:val="none"/>
        </w:rPr>
      </w:pPr>
    </w:p>
    <w:p w14:paraId="7C1FBE54">
      <w:pPr>
        <w:widowControl/>
        <w:jc w:val="left"/>
        <w:rPr>
          <w:b/>
          <w:highlight w:val="none"/>
        </w:rPr>
      </w:pPr>
      <w:r>
        <w:rPr>
          <w:rFonts w:ascii="宋体" w:hAnsi="宋体"/>
          <w:b/>
          <w:color w:val="000000"/>
          <w:szCs w:val="21"/>
          <w:highlight w:val="none"/>
        </w:rPr>
        <w:br w:type="page"/>
      </w:r>
      <w:bookmarkStart w:id="31" w:name="_Toc50128379"/>
    </w:p>
    <w:p w14:paraId="638805DE">
      <w:pPr>
        <w:pStyle w:val="23"/>
        <w:outlineLvl w:val="2"/>
        <w:rPr>
          <w:sz w:val="28"/>
          <w:highlight w:val="none"/>
        </w:rPr>
      </w:pPr>
      <w:bookmarkStart w:id="32" w:name="_Toc20635"/>
      <w:r>
        <w:rPr>
          <w:rFonts w:hint="eastAsia"/>
          <w:sz w:val="28"/>
          <w:highlight w:val="none"/>
        </w:rPr>
        <w:t>一   总  则</w:t>
      </w:r>
      <w:bookmarkEnd w:id="31"/>
      <w:bookmarkEnd w:id="32"/>
    </w:p>
    <w:p w14:paraId="5D9AA84A">
      <w:pPr>
        <w:snapToGrid w:val="0"/>
        <w:spacing w:line="440" w:lineRule="exact"/>
        <w:ind w:firstLine="433" w:firstLineChars="196"/>
        <w:jc w:val="left"/>
        <w:rPr>
          <w:rFonts w:ascii="宋体" w:hAnsi="宋体" w:cs="宋体"/>
          <w:b/>
          <w:color w:val="000000"/>
          <w:sz w:val="22"/>
          <w:szCs w:val="22"/>
          <w:highlight w:val="none"/>
        </w:rPr>
      </w:pPr>
      <w:bookmarkStart w:id="33" w:name="_Toc50128380"/>
      <w:r>
        <w:rPr>
          <w:rFonts w:hint="eastAsia" w:ascii="宋体" w:hAnsi="宋体" w:cs="宋体"/>
          <w:b/>
          <w:color w:val="000000"/>
          <w:sz w:val="22"/>
          <w:szCs w:val="22"/>
          <w:highlight w:val="none"/>
        </w:rPr>
        <w:t>（一）适用范围</w:t>
      </w:r>
      <w:bookmarkEnd w:id="33"/>
    </w:p>
    <w:p w14:paraId="35FC403F">
      <w:pPr>
        <w:snapToGrid w:val="0"/>
        <w:spacing w:line="440" w:lineRule="exact"/>
        <w:ind w:firstLine="440" w:firstLineChars="200"/>
        <w:jc w:val="left"/>
        <w:rPr>
          <w:rFonts w:ascii="宋体" w:hAnsi="宋体" w:cs="宋体"/>
          <w:sz w:val="22"/>
          <w:szCs w:val="22"/>
          <w:highlight w:val="none"/>
          <w:u w:val="single"/>
        </w:rPr>
      </w:pPr>
      <w:r>
        <w:rPr>
          <w:rFonts w:hint="eastAsia" w:ascii="宋体" w:hAnsi="宋体" w:cs="宋体"/>
          <w:color w:val="000000"/>
          <w:sz w:val="22"/>
          <w:szCs w:val="22"/>
          <w:highlight w:val="none"/>
        </w:rPr>
        <w:t>本</w:t>
      </w:r>
      <w:r>
        <w:rPr>
          <w:rFonts w:hint="eastAsia" w:ascii="宋体" w:hAnsi="宋体" w:cs="宋体"/>
          <w:sz w:val="22"/>
          <w:szCs w:val="22"/>
          <w:highlight w:val="none"/>
        </w:rPr>
        <w:t>招标文件适用于</w:t>
      </w:r>
      <w:r>
        <w:rPr>
          <w:rFonts w:hint="eastAsia" w:ascii="宋体" w:hAnsi="宋体" w:cs="宋体"/>
          <w:sz w:val="22"/>
          <w:szCs w:val="22"/>
          <w:highlight w:val="none"/>
          <w:u w:val="single"/>
        </w:rPr>
        <w:t>温州港集团有限公司龙湾港务分公司</w:t>
      </w:r>
      <w:r>
        <w:rPr>
          <w:rFonts w:hint="eastAsia" w:ascii="宋体" w:hAnsi="宋体" w:cs="宋体"/>
          <w:sz w:val="22"/>
          <w:szCs w:val="22"/>
          <w:highlight w:val="none"/>
        </w:rPr>
        <w:t>组织的</w:t>
      </w:r>
      <w:r>
        <w:rPr>
          <w:rFonts w:hint="eastAsia" w:ascii="宋体" w:hAnsi="宋体" w:cs="宋体"/>
          <w:sz w:val="22"/>
          <w:szCs w:val="22"/>
          <w:highlight w:val="none"/>
          <w:u w:val="single"/>
        </w:rPr>
        <w:t>温州港集团有限公司龙湾港务分公司35吨门机回转支承更换及16吨门机臂架头部铰点维修</w:t>
      </w:r>
      <w:r>
        <w:rPr>
          <w:rFonts w:hint="eastAsia" w:ascii="宋体" w:hAnsi="宋体" w:cs="宋体"/>
          <w:sz w:val="22"/>
          <w:szCs w:val="22"/>
          <w:highlight w:val="none"/>
        </w:rPr>
        <w:t>的项目招</w:t>
      </w:r>
      <w:r>
        <w:rPr>
          <w:rFonts w:hint="eastAsia" w:ascii="宋体" w:hAnsi="宋体" w:cs="宋体"/>
          <w:bCs/>
          <w:sz w:val="22"/>
          <w:szCs w:val="22"/>
          <w:highlight w:val="none"/>
        </w:rPr>
        <w:t>标</w:t>
      </w:r>
      <w:r>
        <w:rPr>
          <w:rFonts w:hint="eastAsia" w:ascii="宋体" w:hAnsi="宋体" w:cs="宋体"/>
          <w:sz w:val="22"/>
          <w:szCs w:val="22"/>
          <w:highlight w:val="none"/>
        </w:rPr>
        <w:t>、投标、评标、定标、验收、合同履约、付款等行为（法律、法规另有规定的，从其规定）。</w:t>
      </w:r>
    </w:p>
    <w:p w14:paraId="395B15E7">
      <w:pPr>
        <w:snapToGrid w:val="0"/>
        <w:spacing w:line="440" w:lineRule="exact"/>
        <w:ind w:firstLine="433" w:firstLineChars="196"/>
        <w:jc w:val="left"/>
        <w:rPr>
          <w:rFonts w:ascii="宋体" w:hAnsi="宋体" w:cs="宋体"/>
          <w:b/>
          <w:sz w:val="22"/>
          <w:szCs w:val="22"/>
          <w:highlight w:val="none"/>
        </w:rPr>
      </w:pPr>
      <w:r>
        <w:rPr>
          <w:rFonts w:hint="eastAsia" w:ascii="宋体" w:hAnsi="宋体" w:cs="宋体"/>
          <w:b/>
          <w:sz w:val="22"/>
          <w:szCs w:val="22"/>
          <w:highlight w:val="none"/>
        </w:rPr>
        <w:t>（二）定义</w:t>
      </w:r>
    </w:p>
    <w:p w14:paraId="64726444">
      <w:pPr>
        <w:pStyle w:val="17"/>
        <w:snapToGrid w:val="0"/>
        <w:spacing w:beforeLines="0" w:afterLines="0" w:line="440" w:lineRule="exact"/>
        <w:ind w:firstLine="440" w:firstLineChars="200"/>
        <w:jc w:val="left"/>
        <w:rPr>
          <w:rFonts w:hAnsi="宋体" w:cs="宋体"/>
          <w:color w:val="000000"/>
          <w:kern w:val="2"/>
          <w:sz w:val="22"/>
          <w:szCs w:val="22"/>
          <w:highlight w:val="none"/>
        </w:rPr>
      </w:pPr>
      <w:r>
        <w:rPr>
          <w:rFonts w:hint="eastAsia" w:hAnsi="宋体" w:cs="宋体"/>
          <w:color w:val="000000"/>
          <w:kern w:val="2"/>
          <w:sz w:val="22"/>
          <w:szCs w:val="22"/>
          <w:highlight w:val="none"/>
        </w:rPr>
        <w:t>1.“招标人”系指组织本次招标的单位：温州港集团有限公司龙湾港务分公司。</w:t>
      </w:r>
    </w:p>
    <w:p w14:paraId="21F80E9C">
      <w:pPr>
        <w:pStyle w:val="17"/>
        <w:snapToGrid w:val="0"/>
        <w:spacing w:beforeLines="0" w:afterLines="0" w:line="440" w:lineRule="exact"/>
        <w:ind w:firstLine="435" w:firstLineChars="198"/>
        <w:jc w:val="left"/>
        <w:rPr>
          <w:rFonts w:hAnsi="宋体" w:cs="宋体"/>
          <w:color w:val="000000"/>
          <w:kern w:val="2"/>
          <w:sz w:val="22"/>
          <w:szCs w:val="22"/>
          <w:highlight w:val="none"/>
        </w:rPr>
      </w:pPr>
      <w:r>
        <w:rPr>
          <w:rFonts w:hint="eastAsia" w:hAnsi="宋体" w:cs="宋体"/>
          <w:color w:val="000000"/>
          <w:kern w:val="2"/>
          <w:sz w:val="22"/>
          <w:szCs w:val="22"/>
          <w:highlight w:val="none"/>
        </w:rPr>
        <w:t>2.“招标代理机构”系指：华信咨询设计研究院有限公司。</w:t>
      </w:r>
    </w:p>
    <w:p w14:paraId="0A67AD56">
      <w:pPr>
        <w:pStyle w:val="17"/>
        <w:snapToGrid w:val="0"/>
        <w:spacing w:beforeLines="0" w:afterLines="0" w:line="440" w:lineRule="exact"/>
        <w:ind w:firstLine="440" w:firstLineChars="200"/>
        <w:jc w:val="left"/>
        <w:rPr>
          <w:rFonts w:hAnsi="宋体" w:cs="宋体"/>
          <w:color w:val="000000"/>
          <w:kern w:val="2"/>
          <w:sz w:val="22"/>
          <w:szCs w:val="22"/>
          <w:highlight w:val="none"/>
        </w:rPr>
      </w:pPr>
      <w:r>
        <w:rPr>
          <w:rFonts w:hint="eastAsia" w:hAnsi="宋体" w:cs="宋体"/>
          <w:color w:val="000000"/>
          <w:kern w:val="2"/>
          <w:sz w:val="22"/>
          <w:szCs w:val="22"/>
          <w:highlight w:val="none"/>
        </w:rPr>
        <w:t>3.“投标人”系指向招标人提交投标文件的单位。</w:t>
      </w:r>
    </w:p>
    <w:p w14:paraId="5BB41D01">
      <w:pPr>
        <w:pStyle w:val="17"/>
        <w:snapToGrid w:val="0"/>
        <w:spacing w:beforeLines="0" w:afterLines="0" w:line="440" w:lineRule="exact"/>
        <w:ind w:firstLine="435" w:firstLineChars="198"/>
        <w:jc w:val="left"/>
        <w:rPr>
          <w:rFonts w:hAnsi="宋体" w:cs="宋体"/>
          <w:color w:val="000000"/>
          <w:kern w:val="2"/>
          <w:sz w:val="22"/>
          <w:szCs w:val="22"/>
          <w:highlight w:val="none"/>
        </w:rPr>
      </w:pPr>
      <w:r>
        <w:rPr>
          <w:rFonts w:hint="eastAsia" w:hAnsi="宋体" w:cs="宋体"/>
          <w:color w:val="000000"/>
          <w:kern w:val="2"/>
          <w:sz w:val="22"/>
          <w:szCs w:val="22"/>
          <w:highlight w:val="none"/>
        </w:rPr>
        <w:t>4.</w:t>
      </w:r>
      <w:r>
        <w:rPr>
          <w:rFonts w:hint="eastAsia" w:hAnsi="宋体" w:cs="宋体"/>
          <w:b/>
          <w:bCs/>
          <w:color w:val="000000"/>
          <w:kern w:val="2"/>
          <w:sz w:val="22"/>
          <w:szCs w:val="22"/>
          <w:highlight w:val="none"/>
        </w:rPr>
        <w:t>“中标人”</w:t>
      </w:r>
      <w:r>
        <w:rPr>
          <w:rFonts w:hint="eastAsia" w:hAnsi="宋体" w:cs="宋体"/>
          <w:b/>
          <w:bCs/>
          <w:color w:val="000000"/>
          <w:sz w:val="22"/>
          <w:szCs w:val="22"/>
          <w:highlight w:val="none"/>
        </w:rPr>
        <w:t>经</w:t>
      </w:r>
      <w:r>
        <w:rPr>
          <w:rFonts w:hint="eastAsia" w:hAnsi="宋体" w:cs="宋体"/>
          <w:b/>
          <w:color w:val="000000"/>
          <w:sz w:val="22"/>
          <w:szCs w:val="22"/>
          <w:highlight w:val="none"/>
        </w:rPr>
        <w:t>过招标、评标而最终被授予合同的投标人。</w:t>
      </w:r>
    </w:p>
    <w:p w14:paraId="5C7826FB">
      <w:pPr>
        <w:pStyle w:val="17"/>
        <w:snapToGrid w:val="0"/>
        <w:spacing w:beforeLines="0" w:afterLines="0" w:line="440" w:lineRule="exact"/>
        <w:ind w:firstLine="435" w:firstLineChars="198"/>
        <w:jc w:val="left"/>
        <w:rPr>
          <w:rFonts w:hAnsi="宋体" w:cs="宋体"/>
          <w:color w:val="000000"/>
          <w:kern w:val="2"/>
          <w:sz w:val="22"/>
          <w:szCs w:val="22"/>
          <w:highlight w:val="none"/>
        </w:rPr>
      </w:pPr>
      <w:r>
        <w:rPr>
          <w:rFonts w:hint="eastAsia" w:hAnsi="宋体" w:cs="宋体"/>
          <w:color w:val="000000"/>
          <w:kern w:val="2"/>
          <w:sz w:val="22"/>
          <w:szCs w:val="22"/>
          <w:highlight w:val="none"/>
        </w:rPr>
        <w:t>5.“投标人代表”系指全权代表投标人参加本次投标活动并签署投标文件的人，如果投标人代表不是投标人的法定代表人，须持有《法定代表人授权委托书》。</w:t>
      </w:r>
    </w:p>
    <w:p w14:paraId="796DEC4F">
      <w:pPr>
        <w:pStyle w:val="17"/>
        <w:snapToGrid w:val="0"/>
        <w:spacing w:beforeLines="0" w:afterLines="0" w:line="440" w:lineRule="exact"/>
        <w:ind w:firstLine="440" w:firstLineChars="200"/>
        <w:jc w:val="left"/>
        <w:rPr>
          <w:rFonts w:hAnsi="宋体" w:cs="宋体"/>
          <w:color w:val="000000"/>
          <w:sz w:val="22"/>
          <w:szCs w:val="22"/>
          <w:highlight w:val="none"/>
        </w:rPr>
      </w:pPr>
      <w:r>
        <w:rPr>
          <w:rFonts w:hint="eastAsia" w:hAnsi="宋体" w:cs="宋体"/>
          <w:color w:val="000000"/>
          <w:kern w:val="2"/>
          <w:sz w:val="22"/>
          <w:szCs w:val="22"/>
          <w:highlight w:val="none"/>
        </w:rPr>
        <w:t>6.“项目”系指投标人按招标文件规定向招标人提供</w:t>
      </w:r>
      <w:r>
        <w:rPr>
          <w:rFonts w:hint="eastAsia" w:hAnsi="宋体" w:cs="宋体"/>
          <w:b/>
          <w:color w:val="000000"/>
          <w:sz w:val="22"/>
          <w:szCs w:val="22"/>
          <w:highlight w:val="none"/>
        </w:rPr>
        <w:t>产品及服务</w:t>
      </w:r>
      <w:r>
        <w:rPr>
          <w:rFonts w:hint="eastAsia" w:hAnsi="宋体" w:cs="宋体"/>
          <w:color w:val="000000"/>
          <w:sz w:val="22"/>
          <w:szCs w:val="22"/>
          <w:highlight w:val="none"/>
        </w:rPr>
        <w:t>。</w:t>
      </w:r>
    </w:p>
    <w:p w14:paraId="1DB4EA9A">
      <w:pPr>
        <w:snapToGrid w:val="0"/>
        <w:spacing w:line="440" w:lineRule="exact"/>
        <w:ind w:firstLine="442" w:firstLineChars="200"/>
        <w:jc w:val="left"/>
        <w:rPr>
          <w:rFonts w:ascii="宋体" w:hAnsi="宋体" w:cs="宋体"/>
          <w:b/>
          <w:color w:val="000000"/>
          <w:sz w:val="22"/>
          <w:szCs w:val="22"/>
          <w:highlight w:val="none"/>
        </w:rPr>
      </w:pPr>
      <w:r>
        <w:rPr>
          <w:rFonts w:hint="eastAsia" w:ascii="宋体" w:hAnsi="宋体" w:cs="宋体"/>
          <w:b/>
          <w:color w:val="000000"/>
          <w:sz w:val="22"/>
          <w:szCs w:val="22"/>
          <w:highlight w:val="none"/>
        </w:rPr>
        <w:t>7.“服务”系指招标文件规定的投标人须承担的安装、调试、技术协助、培训、技术指导以及其他类似的义务。</w:t>
      </w:r>
    </w:p>
    <w:p w14:paraId="37B0D13E">
      <w:pPr>
        <w:pStyle w:val="17"/>
        <w:snapToGrid w:val="0"/>
        <w:spacing w:beforeLines="0" w:afterLines="0" w:line="440" w:lineRule="exact"/>
        <w:ind w:firstLine="440" w:firstLineChars="200"/>
        <w:jc w:val="left"/>
        <w:rPr>
          <w:rFonts w:hAnsi="宋体" w:cs="宋体"/>
          <w:color w:val="000000"/>
          <w:sz w:val="22"/>
          <w:szCs w:val="22"/>
          <w:highlight w:val="none"/>
        </w:rPr>
      </w:pPr>
      <w:r>
        <w:rPr>
          <w:rFonts w:hint="eastAsia" w:hAnsi="宋体" w:cs="宋体"/>
          <w:color w:val="000000"/>
          <w:sz w:val="22"/>
          <w:szCs w:val="22"/>
          <w:highlight w:val="none"/>
        </w:rPr>
        <w:t>8.“书面形式”包括信函、传真等。</w:t>
      </w:r>
    </w:p>
    <w:p w14:paraId="682D98CA">
      <w:pPr>
        <w:pStyle w:val="17"/>
        <w:snapToGrid w:val="0"/>
        <w:spacing w:beforeLines="0" w:afterLines="0" w:line="440" w:lineRule="exact"/>
        <w:ind w:firstLine="440" w:firstLineChars="200"/>
        <w:jc w:val="left"/>
        <w:rPr>
          <w:rFonts w:hAnsi="宋体" w:cs="宋体"/>
          <w:color w:val="000000"/>
          <w:sz w:val="22"/>
          <w:szCs w:val="22"/>
          <w:highlight w:val="none"/>
        </w:rPr>
      </w:pPr>
      <w:r>
        <w:rPr>
          <w:rFonts w:hint="eastAsia" w:hAnsi="宋体" w:cs="宋体"/>
          <w:color w:val="000000"/>
          <w:sz w:val="22"/>
          <w:szCs w:val="22"/>
          <w:highlight w:val="none"/>
        </w:rPr>
        <w:t>9.“★”系指实质性要求条款。</w:t>
      </w:r>
    </w:p>
    <w:p w14:paraId="513F3F34">
      <w:pPr>
        <w:snapToGrid w:val="0"/>
        <w:spacing w:line="440" w:lineRule="exact"/>
        <w:ind w:firstLine="433" w:firstLineChars="196"/>
        <w:jc w:val="left"/>
        <w:rPr>
          <w:rFonts w:ascii="宋体" w:hAnsi="宋体" w:cs="宋体"/>
          <w:b/>
          <w:color w:val="000000"/>
          <w:sz w:val="22"/>
          <w:szCs w:val="22"/>
          <w:highlight w:val="none"/>
        </w:rPr>
      </w:pPr>
      <w:bookmarkStart w:id="34" w:name="_Toc50128381"/>
      <w:r>
        <w:rPr>
          <w:rFonts w:hint="eastAsia" w:ascii="宋体" w:hAnsi="宋体" w:cs="宋体"/>
          <w:b/>
          <w:color w:val="000000"/>
          <w:sz w:val="22"/>
          <w:szCs w:val="22"/>
          <w:highlight w:val="none"/>
        </w:rPr>
        <w:t>（三）招标方式</w:t>
      </w:r>
      <w:bookmarkEnd w:id="34"/>
    </w:p>
    <w:p w14:paraId="17FAA362">
      <w:pPr>
        <w:snapToGrid w:val="0"/>
        <w:spacing w:line="440" w:lineRule="exact"/>
        <w:ind w:firstLine="440" w:firstLineChars="200"/>
        <w:jc w:val="left"/>
        <w:rPr>
          <w:rFonts w:ascii="宋体" w:hAnsi="宋体" w:cs="宋体"/>
          <w:color w:val="000000"/>
          <w:sz w:val="22"/>
          <w:szCs w:val="22"/>
          <w:highlight w:val="none"/>
        </w:rPr>
      </w:pPr>
      <w:r>
        <w:rPr>
          <w:rFonts w:hint="eastAsia" w:ascii="宋体" w:hAnsi="宋体" w:cs="宋体"/>
          <w:color w:val="000000"/>
          <w:sz w:val="22"/>
          <w:szCs w:val="22"/>
          <w:highlight w:val="none"/>
        </w:rPr>
        <w:t>本次招标采用公开招标方式进行。</w:t>
      </w:r>
    </w:p>
    <w:p w14:paraId="4E47C908">
      <w:pPr>
        <w:snapToGrid w:val="0"/>
        <w:spacing w:line="440" w:lineRule="exact"/>
        <w:ind w:firstLine="433" w:firstLineChars="196"/>
        <w:jc w:val="left"/>
        <w:rPr>
          <w:rFonts w:ascii="宋体" w:hAnsi="宋体" w:cs="宋体"/>
          <w:b/>
          <w:color w:val="000000"/>
          <w:sz w:val="22"/>
          <w:szCs w:val="22"/>
          <w:highlight w:val="none"/>
        </w:rPr>
      </w:pPr>
      <w:bookmarkStart w:id="35" w:name="_Toc50128382"/>
      <w:r>
        <w:rPr>
          <w:rFonts w:hint="eastAsia" w:ascii="宋体" w:hAnsi="宋体" w:cs="宋体"/>
          <w:b/>
          <w:color w:val="000000"/>
          <w:sz w:val="22"/>
          <w:szCs w:val="22"/>
          <w:highlight w:val="none"/>
        </w:rPr>
        <w:t>（四）投标委托</w:t>
      </w:r>
      <w:bookmarkEnd w:id="35"/>
    </w:p>
    <w:p w14:paraId="3B865552">
      <w:pPr>
        <w:snapToGrid w:val="0"/>
        <w:spacing w:line="440" w:lineRule="exact"/>
        <w:ind w:firstLine="440" w:firstLineChars="200"/>
        <w:jc w:val="left"/>
        <w:rPr>
          <w:rFonts w:ascii="宋体" w:hAnsi="宋体" w:cs="宋体"/>
          <w:color w:val="000000"/>
          <w:sz w:val="22"/>
          <w:szCs w:val="22"/>
          <w:highlight w:val="none"/>
        </w:rPr>
      </w:pPr>
      <w:r>
        <w:rPr>
          <w:rFonts w:hint="eastAsia" w:ascii="宋体" w:hAnsi="宋体" w:cs="宋体"/>
          <w:color w:val="000000"/>
          <w:sz w:val="22"/>
          <w:szCs w:val="22"/>
          <w:highlight w:val="none"/>
        </w:rPr>
        <w:t>如投标人代表不是法定代表人，须有法定代表人出具的授权委托书（格式见第六章）。</w:t>
      </w:r>
    </w:p>
    <w:p w14:paraId="622FD157">
      <w:pPr>
        <w:snapToGrid w:val="0"/>
        <w:spacing w:line="440" w:lineRule="exact"/>
        <w:ind w:firstLine="433" w:firstLineChars="196"/>
        <w:jc w:val="left"/>
        <w:rPr>
          <w:rFonts w:ascii="宋体" w:hAnsi="宋体" w:cs="宋体"/>
          <w:b/>
          <w:color w:val="000000"/>
          <w:sz w:val="22"/>
          <w:szCs w:val="22"/>
          <w:highlight w:val="none"/>
        </w:rPr>
      </w:pPr>
      <w:bookmarkStart w:id="36" w:name="_Toc50128383"/>
      <w:r>
        <w:rPr>
          <w:rFonts w:hint="eastAsia" w:ascii="宋体" w:hAnsi="宋体" w:cs="宋体"/>
          <w:b/>
          <w:color w:val="000000"/>
          <w:sz w:val="22"/>
          <w:szCs w:val="22"/>
          <w:highlight w:val="none"/>
        </w:rPr>
        <w:t>（五）投标费用</w:t>
      </w:r>
      <w:bookmarkEnd w:id="36"/>
    </w:p>
    <w:p w14:paraId="6271B2E6">
      <w:pPr>
        <w:snapToGrid w:val="0"/>
        <w:spacing w:line="440" w:lineRule="exact"/>
        <w:ind w:firstLine="440" w:firstLineChars="200"/>
        <w:jc w:val="left"/>
        <w:rPr>
          <w:rFonts w:ascii="宋体" w:hAnsi="宋体" w:cs="宋体"/>
          <w:color w:val="000000"/>
          <w:sz w:val="22"/>
          <w:szCs w:val="22"/>
          <w:highlight w:val="none"/>
        </w:rPr>
      </w:pPr>
      <w:r>
        <w:rPr>
          <w:rFonts w:hint="eastAsia" w:ascii="宋体" w:hAnsi="宋体" w:cs="宋体"/>
          <w:color w:val="000000"/>
          <w:sz w:val="22"/>
          <w:szCs w:val="22"/>
          <w:highlight w:val="none"/>
        </w:rPr>
        <w:t>不论投标结果如何，投标人均应自行承担所有与投标有关的全部费用（招标文件有相反规定除外）。</w:t>
      </w:r>
    </w:p>
    <w:p w14:paraId="37FDF142">
      <w:pPr>
        <w:snapToGrid w:val="0"/>
        <w:spacing w:line="440" w:lineRule="exact"/>
        <w:ind w:firstLine="433" w:firstLineChars="196"/>
        <w:jc w:val="left"/>
        <w:rPr>
          <w:rFonts w:ascii="宋体" w:hAnsi="宋体" w:cs="宋体"/>
          <w:b/>
          <w:color w:val="000000"/>
          <w:sz w:val="22"/>
          <w:szCs w:val="22"/>
          <w:highlight w:val="none"/>
        </w:rPr>
      </w:pPr>
      <w:r>
        <w:rPr>
          <w:rFonts w:hint="eastAsia" w:ascii="宋体" w:hAnsi="宋体" w:cs="宋体"/>
          <w:b/>
          <w:color w:val="000000"/>
          <w:sz w:val="22"/>
          <w:szCs w:val="22"/>
          <w:highlight w:val="none"/>
        </w:rPr>
        <w:t>（六）联合体投标</w:t>
      </w:r>
    </w:p>
    <w:p w14:paraId="7B6C1033">
      <w:pPr>
        <w:snapToGrid w:val="0"/>
        <w:spacing w:line="440" w:lineRule="exact"/>
        <w:ind w:firstLine="330" w:firstLineChars="150"/>
        <w:jc w:val="left"/>
        <w:rPr>
          <w:rFonts w:ascii="宋体" w:hAnsi="宋体" w:cs="宋体"/>
          <w:color w:val="000000"/>
          <w:sz w:val="22"/>
          <w:szCs w:val="22"/>
          <w:highlight w:val="none"/>
        </w:rPr>
      </w:pPr>
      <w:r>
        <w:rPr>
          <w:rFonts w:hint="eastAsia" w:ascii="宋体" w:hAnsi="宋体" w:cs="宋体"/>
          <w:color w:val="000000"/>
          <w:sz w:val="22"/>
          <w:szCs w:val="22"/>
          <w:highlight w:val="none"/>
        </w:rPr>
        <w:t>本项目</w:t>
      </w:r>
      <w:r>
        <w:rPr>
          <w:rFonts w:hint="eastAsia" w:ascii="宋体" w:hAnsi="宋体" w:cs="宋体"/>
          <w:color w:val="000000"/>
          <w:sz w:val="22"/>
          <w:szCs w:val="22"/>
          <w:highlight w:val="none"/>
          <w:u w:val="single"/>
        </w:rPr>
        <w:t>不允许</w:t>
      </w:r>
      <w:r>
        <w:rPr>
          <w:rFonts w:hint="eastAsia" w:ascii="宋体" w:hAnsi="宋体" w:cs="宋体"/>
          <w:color w:val="000000"/>
          <w:sz w:val="22"/>
          <w:szCs w:val="22"/>
          <w:highlight w:val="none"/>
        </w:rPr>
        <w:t>联合体投标。</w:t>
      </w:r>
    </w:p>
    <w:p w14:paraId="127908C1">
      <w:pPr>
        <w:snapToGrid w:val="0"/>
        <w:spacing w:line="440" w:lineRule="exact"/>
        <w:ind w:firstLine="433" w:firstLineChars="196"/>
        <w:jc w:val="left"/>
        <w:rPr>
          <w:rFonts w:ascii="宋体" w:hAnsi="宋体" w:cs="宋体"/>
          <w:b/>
          <w:color w:val="000000"/>
          <w:sz w:val="22"/>
          <w:szCs w:val="22"/>
          <w:highlight w:val="none"/>
        </w:rPr>
      </w:pPr>
      <w:r>
        <w:rPr>
          <w:rFonts w:hint="eastAsia" w:ascii="宋体" w:hAnsi="宋体" w:cs="宋体"/>
          <w:b/>
          <w:color w:val="000000"/>
          <w:sz w:val="22"/>
          <w:szCs w:val="22"/>
          <w:highlight w:val="none"/>
        </w:rPr>
        <w:t>★（七）转包与分包</w:t>
      </w:r>
    </w:p>
    <w:p w14:paraId="51AA9B59">
      <w:pPr>
        <w:snapToGrid w:val="0"/>
        <w:spacing w:line="440" w:lineRule="exact"/>
        <w:ind w:firstLine="440" w:firstLineChars="200"/>
        <w:jc w:val="left"/>
        <w:rPr>
          <w:rFonts w:ascii="宋体" w:hAnsi="宋体" w:cs="宋体"/>
          <w:color w:val="000000"/>
          <w:kern w:val="0"/>
          <w:sz w:val="22"/>
          <w:szCs w:val="22"/>
          <w:highlight w:val="none"/>
        </w:rPr>
      </w:pPr>
      <w:r>
        <w:rPr>
          <w:rFonts w:hint="eastAsia" w:ascii="宋体" w:hAnsi="宋体" w:cs="宋体"/>
          <w:color w:val="000000"/>
          <w:kern w:val="0"/>
          <w:sz w:val="22"/>
          <w:szCs w:val="22"/>
          <w:highlight w:val="none"/>
        </w:rPr>
        <w:t>本项目不允许分包转包</w:t>
      </w:r>
    </w:p>
    <w:p w14:paraId="78556BB6">
      <w:pPr>
        <w:snapToGrid w:val="0"/>
        <w:spacing w:line="440" w:lineRule="exact"/>
        <w:ind w:firstLine="433" w:firstLineChars="196"/>
        <w:jc w:val="left"/>
        <w:rPr>
          <w:rFonts w:ascii="宋体" w:hAnsi="宋体" w:cs="宋体"/>
          <w:b/>
          <w:color w:val="000000"/>
          <w:sz w:val="22"/>
          <w:szCs w:val="22"/>
          <w:highlight w:val="none"/>
        </w:rPr>
      </w:pPr>
      <w:bookmarkStart w:id="37" w:name="_Toc50128384"/>
      <w:r>
        <w:rPr>
          <w:rFonts w:hint="eastAsia" w:ascii="宋体" w:hAnsi="宋体" w:cs="宋体"/>
          <w:b/>
          <w:color w:val="000000"/>
          <w:sz w:val="22"/>
          <w:szCs w:val="22"/>
          <w:highlight w:val="none"/>
        </w:rPr>
        <w:t>★（八）特别说明：</w:t>
      </w:r>
      <w:bookmarkEnd w:id="37"/>
    </w:p>
    <w:p w14:paraId="540B8877">
      <w:pPr>
        <w:pStyle w:val="17"/>
        <w:snapToGrid w:val="0"/>
        <w:spacing w:beforeLines="0" w:afterLines="0" w:line="440" w:lineRule="exact"/>
        <w:ind w:firstLine="433" w:firstLineChars="196"/>
        <w:jc w:val="left"/>
        <w:rPr>
          <w:rFonts w:hAnsi="宋体" w:cs="宋体"/>
          <w:b/>
          <w:bCs/>
          <w:color w:val="000000"/>
          <w:sz w:val="22"/>
          <w:szCs w:val="22"/>
          <w:highlight w:val="none"/>
        </w:rPr>
      </w:pPr>
      <w:bookmarkStart w:id="38" w:name="_Toc50128385"/>
      <w:bookmarkStart w:id="39" w:name="_Toc50128388"/>
      <w:r>
        <w:rPr>
          <w:rFonts w:hint="eastAsia" w:hAnsi="宋体" w:cs="宋体"/>
          <w:b/>
          <w:bCs/>
          <w:color w:val="000000"/>
          <w:sz w:val="22"/>
          <w:szCs w:val="22"/>
          <w:highlight w:val="none"/>
        </w:rPr>
        <w:t>1.投标人投标所使用的资格、信誉、荣誉、业绩与企业认证必须为本公司所拥有。</w:t>
      </w:r>
      <w:bookmarkEnd w:id="38"/>
    </w:p>
    <w:p w14:paraId="1C6E4CCD">
      <w:pPr>
        <w:pStyle w:val="17"/>
        <w:snapToGrid w:val="0"/>
        <w:spacing w:beforeLines="0" w:afterLines="0" w:line="440" w:lineRule="exact"/>
        <w:ind w:firstLine="433" w:firstLineChars="196"/>
        <w:jc w:val="left"/>
        <w:rPr>
          <w:rFonts w:hAnsi="宋体" w:cs="宋体"/>
          <w:b/>
          <w:bCs/>
          <w:color w:val="000000"/>
          <w:sz w:val="22"/>
          <w:szCs w:val="22"/>
          <w:highlight w:val="none"/>
        </w:rPr>
      </w:pPr>
      <w:bookmarkStart w:id="40" w:name="_Toc50128386"/>
      <w:r>
        <w:rPr>
          <w:rFonts w:hint="eastAsia" w:hAnsi="宋体" w:cs="宋体"/>
          <w:b/>
          <w:bCs/>
          <w:color w:val="000000"/>
          <w:sz w:val="22"/>
          <w:szCs w:val="22"/>
          <w:highlight w:val="none"/>
        </w:rPr>
        <w:t>2.投标人应仔细阅读招标文件的所有内容，按照招标文件的要求提交投标文件，并对所提供的全部资料的真实性承担法律责任。</w:t>
      </w:r>
      <w:bookmarkEnd w:id="40"/>
    </w:p>
    <w:p w14:paraId="5FAC8012">
      <w:pPr>
        <w:pStyle w:val="17"/>
        <w:snapToGrid w:val="0"/>
        <w:spacing w:beforeLines="0" w:afterLines="0" w:line="440" w:lineRule="exact"/>
        <w:ind w:firstLine="433" w:firstLineChars="196"/>
        <w:jc w:val="left"/>
        <w:rPr>
          <w:rFonts w:hAnsi="宋体" w:cs="宋体"/>
          <w:b/>
          <w:bCs/>
          <w:color w:val="000000"/>
          <w:sz w:val="22"/>
          <w:szCs w:val="22"/>
          <w:highlight w:val="none"/>
        </w:rPr>
      </w:pPr>
      <w:bookmarkStart w:id="41" w:name="_Toc50128387"/>
      <w:r>
        <w:rPr>
          <w:rFonts w:hint="eastAsia" w:hAnsi="宋体" w:cs="宋体"/>
          <w:b/>
          <w:bCs/>
          <w:color w:val="000000"/>
          <w:sz w:val="22"/>
          <w:szCs w:val="22"/>
          <w:highlight w:val="none"/>
        </w:rPr>
        <w:t>3.投标人在投标活动中提供任何虚假材料，其投标无效，投标保证金不予退还；合同签订后发现的，中标人须按照履约保证金金额的双倍赔偿招标人，如无法补偿招标人损失的，中标人需另行补偿，且民事赔偿并不免除违法投标人的行政与刑事责任。</w:t>
      </w:r>
      <w:bookmarkEnd w:id="41"/>
    </w:p>
    <w:p w14:paraId="0D654831">
      <w:pPr>
        <w:pStyle w:val="17"/>
        <w:snapToGrid w:val="0"/>
        <w:spacing w:beforeLines="0" w:afterLines="0" w:line="440" w:lineRule="exact"/>
        <w:ind w:firstLine="433" w:firstLineChars="196"/>
        <w:jc w:val="left"/>
        <w:rPr>
          <w:rFonts w:hAnsi="宋体" w:cs="宋体"/>
          <w:b/>
          <w:bCs/>
          <w:color w:val="000000"/>
          <w:sz w:val="22"/>
          <w:szCs w:val="22"/>
          <w:highlight w:val="none"/>
        </w:rPr>
      </w:pPr>
      <w:r>
        <w:rPr>
          <w:rFonts w:hint="eastAsia" w:hAnsi="宋体" w:cs="宋体"/>
          <w:b/>
          <w:bCs/>
          <w:color w:val="000000"/>
          <w:sz w:val="22"/>
          <w:szCs w:val="22"/>
          <w:highlight w:val="none"/>
        </w:rPr>
        <w:t>（九）质疑和投诉</w:t>
      </w:r>
      <w:bookmarkEnd w:id="39"/>
    </w:p>
    <w:p w14:paraId="403710E3">
      <w:pPr>
        <w:pStyle w:val="17"/>
        <w:snapToGrid w:val="0"/>
        <w:spacing w:beforeLines="0" w:afterLines="0" w:line="440" w:lineRule="exact"/>
        <w:ind w:firstLine="440" w:firstLineChars="200"/>
        <w:jc w:val="left"/>
        <w:rPr>
          <w:rFonts w:hAnsi="宋体" w:cs="宋体"/>
          <w:color w:val="000000"/>
          <w:sz w:val="22"/>
          <w:szCs w:val="22"/>
          <w:highlight w:val="none"/>
        </w:rPr>
      </w:pPr>
      <w:r>
        <w:rPr>
          <w:rFonts w:hint="eastAsia" w:hAnsi="宋体" w:cs="宋体"/>
          <w:bCs/>
          <w:color w:val="000000"/>
          <w:sz w:val="22"/>
          <w:szCs w:val="22"/>
          <w:highlight w:val="none"/>
        </w:rPr>
        <w:t>1.投标人认为招标文件、招标过程或中标结果使自己的合法权益受到损害的，应当在知道或者应知其权益受到损害之日起七个工作日内，以书面形式向招标人提出质疑。</w:t>
      </w:r>
    </w:p>
    <w:p w14:paraId="7C9121EA">
      <w:pPr>
        <w:pStyle w:val="17"/>
        <w:snapToGrid w:val="0"/>
        <w:spacing w:beforeLines="0" w:afterLines="0" w:line="440" w:lineRule="exact"/>
        <w:ind w:firstLine="440" w:firstLineChars="200"/>
        <w:jc w:val="left"/>
        <w:rPr>
          <w:rFonts w:hAnsi="宋体"/>
          <w:bCs/>
          <w:color w:val="000000"/>
          <w:sz w:val="21"/>
          <w:szCs w:val="21"/>
          <w:highlight w:val="none"/>
        </w:rPr>
      </w:pPr>
      <w:r>
        <w:rPr>
          <w:rFonts w:hint="eastAsia" w:hAnsi="宋体" w:cs="宋体"/>
          <w:bCs/>
          <w:color w:val="000000"/>
          <w:sz w:val="22"/>
          <w:szCs w:val="22"/>
          <w:highlight w:val="none"/>
        </w:rPr>
        <w:t>2.质疑、投诉应当采用书面形式，质疑书、投诉书均应明确阐述招标文件、招标过程或中标结果中使自己合法权益受到损害的实质性内容，提供相关事实、依据和证据及其来源或线索，便于有关单位调查、答复和处理。</w:t>
      </w:r>
    </w:p>
    <w:p w14:paraId="15CC373F">
      <w:pPr>
        <w:pStyle w:val="23"/>
        <w:outlineLvl w:val="2"/>
        <w:rPr>
          <w:sz w:val="28"/>
          <w:highlight w:val="none"/>
        </w:rPr>
      </w:pPr>
      <w:bookmarkStart w:id="42" w:name="_Toc527495450"/>
      <w:bookmarkStart w:id="43" w:name="_Toc50128389"/>
      <w:bookmarkStart w:id="44" w:name="_Toc430"/>
      <w:bookmarkStart w:id="45" w:name="_Toc18613"/>
      <w:r>
        <w:rPr>
          <w:sz w:val="28"/>
          <w:highlight w:val="none"/>
        </w:rPr>
        <w:t>二   招标文件</w:t>
      </w:r>
      <w:bookmarkEnd w:id="42"/>
      <w:bookmarkEnd w:id="43"/>
      <w:bookmarkEnd w:id="44"/>
      <w:bookmarkEnd w:id="45"/>
    </w:p>
    <w:p w14:paraId="4DA633BC">
      <w:pPr>
        <w:snapToGrid w:val="0"/>
        <w:spacing w:line="440" w:lineRule="exact"/>
        <w:ind w:firstLine="442" w:firstLineChars="200"/>
        <w:jc w:val="left"/>
        <w:rPr>
          <w:rFonts w:ascii="宋体" w:hAnsi="宋体" w:cs="宋体"/>
          <w:b/>
          <w:color w:val="000000"/>
          <w:sz w:val="22"/>
          <w:szCs w:val="22"/>
          <w:highlight w:val="none"/>
        </w:rPr>
      </w:pPr>
      <w:r>
        <w:rPr>
          <w:rFonts w:hint="eastAsia" w:ascii="宋体" w:hAnsi="宋体" w:cs="宋体"/>
          <w:b/>
          <w:color w:val="000000"/>
          <w:sz w:val="22"/>
          <w:szCs w:val="22"/>
          <w:highlight w:val="none"/>
        </w:rPr>
        <w:t>（一）招标文件的构成。本招标文件由以下部份组成：</w:t>
      </w:r>
    </w:p>
    <w:p w14:paraId="0A10E5A0">
      <w:pPr>
        <w:snapToGrid w:val="0"/>
        <w:spacing w:line="440" w:lineRule="exact"/>
        <w:ind w:firstLine="440" w:firstLineChars="200"/>
        <w:jc w:val="left"/>
        <w:rPr>
          <w:rFonts w:ascii="宋体" w:hAnsi="宋体" w:cs="宋体"/>
          <w:color w:val="000000"/>
          <w:sz w:val="22"/>
          <w:szCs w:val="22"/>
          <w:highlight w:val="none"/>
        </w:rPr>
      </w:pPr>
      <w:r>
        <w:rPr>
          <w:rFonts w:hint="eastAsia" w:ascii="宋体" w:hAnsi="宋体" w:cs="宋体"/>
          <w:color w:val="000000"/>
          <w:sz w:val="22"/>
          <w:szCs w:val="22"/>
          <w:highlight w:val="none"/>
        </w:rPr>
        <w:t>1.招标公告</w:t>
      </w:r>
    </w:p>
    <w:p w14:paraId="766E135B">
      <w:pPr>
        <w:snapToGrid w:val="0"/>
        <w:spacing w:line="440" w:lineRule="exact"/>
        <w:ind w:firstLine="440" w:firstLineChars="200"/>
        <w:jc w:val="left"/>
        <w:rPr>
          <w:rFonts w:ascii="宋体" w:hAnsi="宋体" w:cs="宋体"/>
          <w:color w:val="000000"/>
          <w:sz w:val="22"/>
          <w:szCs w:val="22"/>
          <w:highlight w:val="none"/>
        </w:rPr>
      </w:pPr>
      <w:r>
        <w:rPr>
          <w:rFonts w:hint="eastAsia" w:ascii="宋体" w:hAnsi="宋体" w:cs="宋体"/>
          <w:color w:val="000000"/>
          <w:sz w:val="22"/>
          <w:szCs w:val="22"/>
          <w:highlight w:val="none"/>
        </w:rPr>
        <w:t>2.招标需求</w:t>
      </w:r>
    </w:p>
    <w:p w14:paraId="6290F91D">
      <w:pPr>
        <w:snapToGrid w:val="0"/>
        <w:spacing w:line="440" w:lineRule="exact"/>
        <w:ind w:firstLine="440" w:firstLineChars="200"/>
        <w:jc w:val="left"/>
        <w:rPr>
          <w:rFonts w:ascii="宋体" w:hAnsi="宋体" w:cs="宋体"/>
          <w:color w:val="000000"/>
          <w:sz w:val="22"/>
          <w:szCs w:val="22"/>
          <w:highlight w:val="none"/>
        </w:rPr>
      </w:pPr>
      <w:r>
        <w:rPr>
          <w:rFonts w:hint="eastAsia" w:ascii="宋体" w:hAnsi="宋体" w:cs="宋体"/>
          <w:color w:val="000000"/>
          <w:sz w:val="22"/>
          <w:szCs w:val="22"/>
          <w:highlight w:val="none"/>
        </w:rPr>
        <w:t>3.投标人须知</w:t>
      </w:r>
      <w:r>
        <w:rPr>
          <w:rFonts w:hint="eastAsia" w:ascii="宋体" w:hAnsi="宋体" w:cs="宋体"/>
          <w:sz w:val="22"/>
          <w:szCs w:val="22"/>
          <w:highlight w:val="none"/>
        </w:rPr>
        <w:t>前附表</w:t>
      </w:r>
    </w:p>
    <w:p w14:paraId="10CFD6F5">
      <w:pPr>
        <w:snapToGrid w:val="0"/>
        <w:spacing w:line="440" w:lineRule="exact"/>
        <w:ind w:firstLine="440" w:firstLineChars="200"/>
        <w:jc w:val="left"/>
        <w:rPr>
          <w:rFonts w:ascii="宋体" w:hAnsi="宋体" w:cs="宋体"/>
          <w:color w:val="000000"/>
          <w:sz w:val="22"/>
          <w:szCs w:val="22"/>
          <w:highlight w:val="none"/>
        </w:rPr>
      </w:pPr>
      <w:r>
        <w:rPr>
          <w:rFonts w:hint="eastAsia" w:ascii="宋体" w:hAnsi="宋体" w:cs="宋体"/>
          <w:color w:val="000000"/>
          <w:sz w:val="22"/>
          <w:szCs w:val="22"/>
          <w:highlight w:val="none"/>
        </w:rPr>
        <w:t>4.评标办法及评分标准</w:t>
      </w:r>
    </w:p>
    <w:p w14:paraId="3C55A1BD">
      <w:pPr>
        <w:snapToGrid w:val="0"/>
        <w:spacing w:line="440" w:lineRule="exact"/>
        <w:ind w:firstLine="440" w:firstLineChars="200"/>
        <w:jc w:val="left"/>
        <w:rPr>
          <w:rFonts w:ascii="宋体" w:hAnsi="宋体" w:cs="宋体"/>
          <w:color w:val="000000"/>
          <w:sz w:val="22"/>
          <w:szCs w:val="22"/>
          <w:highlight w:val="none"/>
        </w:rPr>
      </w:pPr>
      <w:r>
        <w:rPr>
          <w:rFonts w:hint="eastAsia" w:ascii="宋体" w:hAnsi="宋体" w:cs="宋体"/>
          <w:color w:val="000000"/>
          <w:sz w:val="22"/>
          <w:szCs w:val="22"/>
          <w:highlight w:val="none"/>
        </w:rPr>
        <w:t>5.合同主要条款</w:t>
      </w:r>
    </w:p>
    <w:p w14:paraId="0656E869">
      <w:pPr>
        <w:snapToGrid w:val="0"/>
        <w:spacing w:line="440" w:lineRule="exact"/>
        <w:ind w:firstLine="440" w:firstLineChars="200"/>
        <w:jc w:val="left"/>
        <w:rPr>
          <w:rFonts w:ascii="宋体" w:hAnsi="宋体" w:cs="宋体"/>
          <w:color w:val="000000"/>
          <w:sz w:val="22"/>
          <w:szCs w:val="22"/>
          <w:highlight w:val="none"/>
        </w:rPr>
      </w:pPr>
      <w:r>
        <w:rPr>
          <w:rFonts w:hint="eastAsia" w:ascii="宋体" w:hAnsi="宋体" w:cs="宋体"/>
          <w:color w:val="000000"/>
          <w:sz w:val="22"/>
          <w:szCs w:val="22"/>
          <w:highlight w:val="none"/>
        </w:rPr>
        <w:t>6.投标文件格式</w:t>
      </w:r>
    </w:p>
    <w:p w14:paraId="00AEDB08">
      <w:pPr>
        <w:snapToGrid w:val="0"/>
        <w:spacing w:line="440" w:lineRule="exact"/>
        <w:ind w:firstLine="440" w:firstLineChars="200"/>
        <w:jc w:val="left"/>
        <w:rPr>
          <w:rFonts w:ascii="宋体" w:hAnsi="宋体" w:cs="宋体"/>
          <w:color w:val="000000"/>
          <w:sz w:val="22"/>
          <w:szCs w:val="22"/>
          <w:highlight w:val="none"/>
        </w:rPr>
      </w:pPr>
      <w:r>
        <w:rPr>
          <w:rFonts w:hint="eastAsia" w:ascii="宋体" w:hAnsi="宋体" w:cs="宋体"/>
          <w:color w:val="000000"/>
          <w:sz w:val="22"/>
          <w:szCs w:val="22"/>
          <w:highlight w:val="none"/>
        </w:rPr>
        <w:t>7.本项目招标文件的澄清、答复、修改、补充的内容</w:t>
      </w:r>
    </w:p>
    <w:p w14:paraId="0B0E0F92">
      <w:pPr>
        <w:snapToGrid w:val="0"/>
        <w:spacing w:line="440" w:lineRule="exact"/>
        <w:ind w:firstLine="442" w:firstLineChars="200"/>
        <w:jc w:val="left"/>
        <w:rPr>
          <w:rFonts w:ascii="宋体" w:hAnsi="宋体" w:cs="宋体"/>
          <w:b/>
          <w:color w:val="000000"/>
          <w:sz w:val="22"/>
          <w:szCs w:val="22"/>
          <w:highlight w:val="none"/>
        </w:rPr>
      </w:pPr>
      <w:r>
        <w:rPr>
          <w:rFonts w:hint="eastAsia" w:ascii="宋体" w:hAnsi="宋体" w:cs="宋体"/>
          <w:b/>
          <w:color w:val="000000"/>
          <w:sz w:val="22"/>
          <w:szCs w:val="22"/>
          <w:highlight w:val="none"/>
        </w:rPr>
        <w:t>（二）投标人的风险</w:t>
      </w:r>
    </w:p>
    <w:p w14:paraId="6040085D">
      <w:pPr>
        <w:pStyle w:val="25"/>
        <w:spacing w:after="0" w:line="440" w:lineRule="exact"/>
        <w:ind w:left="0" w:leftChars="0" w:firstLine="440" w:firstLineChars="200"/>
        <w:jc w:val="left"/>
        <w:rPr>
          <w:rFonts w:ascii="宋体" w:hAnsi="宋体" w:cs="宋体"/>
          <w:sz w:val="22"/>
          <w:szCs w:val="22"/>
          <w:highlight w:val="none"/>
        </w:rPr>
      </w:pPr>
      <w:r>
        <w:rPr>
          <w:rFonts w:hint="eastAsia" w:ascii="宋体" w:hAnsi="宋体" w:cs="宋体"/>
          <w:sz w:val="22"/>
          <w:szCs w:val="22"/>
          <w:highlight w:val="none"/>
        </w:rPr>
        <w:t>投标人没有按照招标文件要求提供全部资料，或者投标人没有对招标文件在各方面作出实质性响应是投标人的风险，并可能导致其投标被拒绝。</w:t>
      </w:r>
    </w:p>
    <w:p w14:paraId="622A5CE9">
      <w:pPr>
        <w:pStyle w:val="6"/>
        <w:numPr>
          <w:ilvl w:val="0"/>
          <w:numId w:val="0"/>
        </w:numPr>
        <w:snapToGrid w:val="0"/>
        <w:spacing w:line="440" w:lineRule="exact"/>
        <w:ind w:firstLine="442" w:firstLineChars="200"/>
        <w:jc w:val="left"/>
        <w:rPr>
          <w:rFonts w:ascii="宋体" w:hAnsi="宋体" w:cs="宋体"/>
          <w:b/>
          <w:color w:val="000000"/>
          <w:sz w:val="22"/>
          <w:szCs w:val="22"/>
          <w:highlight w:val="none"/>
        </w:rPr>
      </w:pPr>
      <w:r>
        <w:rPr>
          <w:rFonts w:hint="eastAsia" w:ascii="宋体" w:hAnsi="宋体" w:cs="宋体"/>
          <w:b/>
          <w:color w:val="000000"/>
          <w:sz w:val="22"/>
          <w:szCs w:val="22"/>
          <w:highlight w:val="none"/>
        </w:rPr>
        <w:t>（三）招标文件的澄清与修改</w:t>
      </w:r>
    </w:p>
    <w:p w14:paraId="66A8B430">
      <w:pPr>
        <w:pStyle w:val="17"/>
        <w:snapToGrid w:val="0"/>
        <w:spacing w:beforeLines="0" w:afterLines="0" w:line="440" w:lineRule="exact"/>
        <w:ind w:firstLine="440" w:firstLineChars="200"/>
        <w:jc w:val="left"/>
        <w:rPr>
          <w:rFonts w:hAnsi="宋体" w:cs="宋体"/>
          <w:sz w:val="22"/>
          <w:szCs w:val="22"/>
          <w:highlight w:val="none"/>
        </w:rPr>
      </w:pPr>
      <w:r>
        <w:rPr>
          <w:rFonts w:hint="eastAsia" w:hAnsi="宋体" w:cs="宋体"/>
          <w:color w:val="000000"/>
          <w:sz w:val="22"/>
          <w:szCs w:val="22"/>
          <w:highlight w:val="none"/>
        </w:rPr>
        <w:t>1.招标人对已发出的招标文件进行必要的澄清和修改时，将在招标公告规定的投标截止时间10日前，以书面形式或在规定信息发布网站上通知所有招标文件受收人，</w:t>
      </w:r>
      <w:r>
        <w:rPr>
          <w:rFonts w:hint="eastAsia" w:hAnsi="宋体" w:cs="宋体"/>
          <w:bCs/>
          <w:sz w:val="22"/>
          <w:szCs w:val="22"/>
          <w:highlight w:val="none"/>
        </w:rPr>
        <w:t>投标人须自行查看是否有澄清和修改文件，并按澄清和修改文件要求投标，否则责任自负，</w:t>
      </w:r>
      <w:r>
        <w:rPr>
          <w:rFonts w:hint="eastAsia" w:hAnsi="宋体" w:cs="宋体"/>
          <w:color w:val="000000"/>
          <w:sz w:val="22"/>
          <w:szCs w:val="22"/>
          <w:highlight w:val="none"/>
        </w:rPr>
        <w:t>澄清和修改的内容作为招标文件的组成部分。招标人根据实际情况，</w:t>
      </w:r>
      <w:r>
        <w:rPr>
          <w:rFonts w:hint="eastAsia" w:hAnsi="宋体" w:cs="宋体"/>
          <w:sz w:val="22"/>
          <w:szCs w:val="22"/>
          <w:highlight w:val="none"/>
        </w:rPr>
        <w:t>作出延长投标截止时间和开标时间的决定，并发布变更公告。</w:t>
      </w:r>
    </w:p>
    <w:p w14:paraId="391B9662">
      <w:pPr>
        <w:pStyle w:val="17"/>
        <w:snapToGrid w:val="0"/>
        <w:spacing w:beforeLines="0" w:afterLines="0" w:line="440" w:lineRule="exact"/>
        <w:ind w:firstLine="440" w:firstLineChars="200"/>
        <w:jc w:val="left"/>
        <w:rPr>
          <w:rFonts w:hAnsi="宋体" w:cs="宋体"/>
          <w:color w:val="000000"/>
          <w:sz w:val="22"/>
          <w:szCs w:val="22"/>
          <w:highlight w:val="none"/>
        </w:rPr>
      </w:pPr>
      <w:r>
        <w:rPr>
          <w:rFonts w:hint="eastAsia" w:hAnsi="宋体" w:cs="宋体"/>
          <w:color w:val="000000"/>
          <w:sz w:val="22"/>
          <w:szCs w:val="22"/>
          <w:highlight w:val="none"/>
        </w:rPr>
        <w:t>2.购买招标文件的潜在投标人对招标文件有异议，应在投标截止时间10日前书面提出。逾期提出的将不予受理。对招标文件的异议应有法定代表人或授权代表签字，并盖投标人公章和注明日期。</w:t>
      </w:r>
    </w:p>
    <w:p w14:paraId="048FDFFE">
      <w:pPr>
        <w:pStyle w:val="17"/>
        <w:snapToGrid w:val="0"/>
        <w:spacing w:beforeLines="0" w:afterLines="0" w:line="440" w:lineRule="exact"/>
        <w:ind w:firstLine="440" w:firstLineChars="200"/>
        <w:jc w:val="left"/>
        <w:rPr>
          <w:rFonts w:hAnsi="宋体" w:cs="宋体"/>
          <w:color w:val="000000"/>
          <w:sz w:val="22"/>
          <w:szCs w:val="22"/>
          <w:highlight w:val="none"/>
        </w:rPr>
      </w:pPr>
      <w:r>
        <w:rPr>
          <w:rFonts w:hint="eastAsia" w:hAnsi="宋体" w:cs="宋体"/>
          <w:color w:val="000000"/>
          <w:sz w:val="22"/>
          <w:szCs w:val="22"/>
          <w:highlight w:val="none"/>
        </w:rPr>
        <w:t>3.没有提出异议且又参与了该项目投标的投标人将被视为完全认同招标文件。</w:t>
      </w:r>
    </w:p>
    <w:p w14:paraId="1D2A68B1">
      <w:pPr>
        <w:pStyle w:val="23"/>
        <w:outlineLvl w:val="2"/>
        <w:rPr>
          <w:sz w:val="28"/>
          <w:highlight w:val="none"/>
        </w:rPr>
      </w:pPr>
      <w:bookmarkStart w:id="46" w:name="_Toc50128390"/>
      <w:bookmarkStart w:id="47" w:name="_Toc16840"/>
      <w:r>
        <w:rPr>
          <w:sz w:val="28"/>
          <w:highlight w:val="none"/>
        </w:rPr>
        <w:t>三</w:t>
      </w:r>
      <w:r>
        <w:rPr>
          <w:rFonts w:hint="eastAsia"/>
          <w:sz w:val="28"/>
          <w:highlight w:val="none"/>
        </w:rPr>
        <w:t xml:space="preserve"> </w:t>
      </w:r>
      <w:r>
        <w:rPr>
          <w:sz w:val="28"/>
          <w:highlight w:val="none"/>
        </w:rPr>
        <w:t xml:space="preserve"> </w:t>
      </w:r>
      <w:r>
        <w:rPr>
          <w:rFonts w:hint="eastAsia"/>
          <w:sz w:val="28"/>
          <w:highlight w:val="none"/>
        </w:rPr>
        <w:t xml:space="preserve"> </w:t>
      </w:r>
      <w:r>
        <w:rPr>
          <w:sz w:val="28"/>
          <w:highlight w:val="none"/>
        </w:rPr>
        <w:t>投标文件的编制</w:t>
      </w:r>
      <w:bookmarkEnd w:id="46"/>
      <w:bookmarkEnd w:id="47"/>
    </w:p>
    <w:p w14:paraId="42A22D86">
      <w:pPr>
        <w:tabs>
          <w:tab w:val="left" w:pos="540"/>
        </w:tabs>
        <w:spacing w:line="440" w:lineRule="exact"/>
        <w:ind w:firstLine="440" w:firstLineChars="200"/>
        <w:rPr>
          <w:rFonts w:ascii="宋体" w:hAnsi="宋体" w:cs="宋体"/>
          <w:color w:val="000000"/>
          <w:kern w:val="0"/>
          <w:sz w:val="22"/>
          <w:szCs w:val="22"/>
          <w:highlight w:val="none"/>
        </w:rPr>
      </w:pPr>
      <w:r>
        <w:rPr>
          <w:rFonts w:hint="eastAsia" w:ascii="宋体" w:hAnsi="宋体" w:cs="宋体"/>
          <w:color w:val="000000"/>
          <w:kern w:val="0"/>
          <w:sz w:val="22"/>
          <w:szCs w:val="22"/>
          <w:highlight w:val="none"/>
        </w:rPr>
        <w:t>投标人应认真阅读招标文件中所有事项格式、条款和技术规范等。投标人没有按照招标文件要求提交全部资料，或者没有对招标文件各个方面做出实质性响应，导致投标被拒绝的风险由投标人自行承担。</w:t>
      </w:r>
    </w:p>
    <w:p w14:paraId="47264208">
      <w:pPr>
        <w:pStyle w:val="71"/>
        <w:snapToGrid w:val="0"/>
        <w:spacing w:line="440" w:lineRule="exact"/>
        <w:ind w:firstLine="440"/>
        <w:jc w:val="left"/>
        <w:rPr>
          <w:rFonts w:ascii="宋体" w:hAnsi="宋体" w:cs="宋体"/>
          <w:color w:val="000000"/>
          <w:kern w:val="0"/>
          <w:sz w:val="22"/>
          <w:szCs w:val="22"/>
          <w:highlight w:val="none"/>
        </w:rPr>
      </w:pPr>
      <w:r>
        <w:rPr>
          <w:rFonts w:hint="eastAsia" w:ascii="宋体" w:hAnsi="宋体" w:cs="宋体"/>
          <w:color w:val="000000"/>
          <w:kern w:val="0"/>
          <w:sz w:val="22"/>
          <w:szCs w:val="22"/>
          <w:highlight w:val="none"/>
        </w:rPr>
        <w:t>（一）投标文件的组成</w:t>
      </w:r>
    </w:p>
    <w:p w14:paraId="18CF7948">
      <w:pPr>
        <w:tabs>
          <w:tab w:val="left" w:pos="360"/>
        </w:tabs>
        <w:spacing w:line="440" w:lineRule="exact"/>
        <w:ind w:firstLine="440" w:firstLineChars="200"/>
        <w:rPr>
          <w:rFonts w:ascii="宋体" w:hAnsi="宋体" w:cs="宋体"/>
          <w:color w:val="000000"/>
          <w:kern w:val="0"/>
          <w:sz w:val="22"/>
          <w:szCs w:val="22"/>
          <w:highlight w:val="none"/>
        </w:rPr>
      </w:pPr>
      <w:r>
        <w:rPr>
          <w:rFonts w:hint="eastAsia" w:ascii="宋体" w:hAnsi="宋体" w:cs="宋体"/>
          <w:color w:val="000000"/>
          <w:kern w:val="0"/>
          <w:sz w:val="22"/>
          <w:szCs w:val="22"/>
          <w:highlight w:val="none"/>
        </w:rPr>
        <w:t>投标文件由资格审查文件、商务技术标、价格标三部分构成：</w:t>
      </w:r>
    </w:p>
    <w:p w14:paraId="4A54E5D2">
      <w:pPr>
        <w:numPr>
          <w:ilvl w:val="255"/>
          <w:numId w:val="0"/>
        </w:numPr>
        <w:spacing w:line="440" w:lineRule="exact"/>
        <w:ind w:left="178"/>
        <w:rPr>
          <w:rFonts w:ascii="宋体" w:hAnsi="宋体" w:cs="宋体"/>
          <w:b/>
          <w:sz w:val="22"/>
          <w:szCs w:val="22"/>
          <w:highlight w:val="none"/>
        </w:rPr>
      </w:pPr>
      <w:r>
        <w:rPr>
          <w:rFonts w:hint="eastAsia" w:ascii="宋体" w:hAnsi="宋体" w:cs="宋体"/>
          <w:b/>
          <w:sz w:val="22"/>
          <w:szCs w:val="22"/>
          <w:highlight w:val="none"/>
        </w:rPr>
        <w:t>（1）资格审查文件</w:t>
      </w:r>
    </w:p>
    <w:tbl>
      <w:tblPr>
        <w:tblStyle w:val="30"/>
        <w:tblW w:w="928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1"/>
        <w:gridCol w:w="7004"/>
        <w:gridCol w:w="1414"/>
      </w:tblGrid>
      <w:tr w14:paraId="050CE4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71" w:type="dxa"/>
            <w:vAlign w:val="center"/>
          </w:tcPr>
          <w:p w14:paraId="3D819089">
            <w:pPr>
              <w:jc w:val="center"/>
              <w:rPr>
                <w:rFonts w:ascii="宋体" w:hAnsi="宋体" w:cs="宋体"/>
                <w:bCs/>
                <w:sz w:val="22"/>
                <w:szCs w:val="22"/>
                <w:highlight w:val="none"/>
              </w:rPr>
            </w:pPr>
            <w:r>
              <w:rPr>
                <w:rFonts w:hint="eastAsia" w:ascii="宋体" w:hAnsi="宋体" w:cs="宋体"/>
                <w:bCs/>
                <w:sz w:val="22"/>
                <w:szCs w:val="22"/>
                <w:highlight w:val="none"/>
              </w:rPr>
              <w:t>序号</w:t>
            </w:r>
          </w:p>
        </w:tc>
        <w:tc>
          <w:tcPr>
            <w:tcW w:w="7004" w:type="dxa"/>
            <w:vAlign w:val="center"/>
          </w:tcPr>
          <w:p w14:paraId="1507F2BB">
            <w:pPr>
              <w:jc w:val="center"/>
              <w:rPr>
                <w:rFonts w:ascii="宋体" w:hAnsi="宋体" w:cs="宋体"/>
                <w:bCs/>
                <w:sz w:val="22"/>
                <w:szCs w:val="22"/>
                <w:highlight w:val="none"/>
              </w:rPr>
            </w:pPr>
            <w:r>
              <w:rPr>
                <w:rFonts w:hint="eastAsia" w:ascii="宋体" w:hAnsi="宋体" w:cs="宋体"/>
                <w:bCs/>
                <w:sz w:val="22"/>
                <w:szCs w:val="22"/>
                <w:highlight w:val="none"/>
              </w:rPr>
              <w:t>内容</w:t>
            </w:r>
          </w:p>
        </w:tc>
        <w:tc>
          <w:tcPr>
            <w:tcW w:w="1414" w:type="dxa"/>
            <w:vAlign w:val="center"/>
          </w:tcPr>
          <w:p w14:paraId="7ED0D593">
            <w:pPr>
              <w:jc w:val="center"/>
              <w:rPr>
                <w:rFonts w:ascii="宋体" w:hAnsi="宋体" w:cs="宋体"/>
                <w:bCs/>
                <w:sz w:val="22"/>
                <w:szCs w:val="22"/>
                <w:highlight w:val="none"/>
              </w:rPr>
            </w:pPr>
            <w:r>
              <w:rPr>
                <w:rFonts w:hint="eastAsia" w:ascii="宋体" w:hAnsi="宋体" w:cs="宋体"/>
                <w:bCs/>
                <w:sz w:val="22"/>
                <w:szCs w:val="22"/>
                <w:highlight w:val="none"/>
              </w:rPr>
              <w:t>备注</w:t>
            </w:r>
          </w:p>
        </w:tc>
      </w:tr>
      <w:tr w14:paraId="436BB1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71" w:type="dxa"/>
            <w:vAlign w:val="center"/>
          </w:tcPr>
          <w:p w14:paraId="070E10C1">
            <w:pPr>
              <w:jc w:val="center"/>
              <w:rPr>
                <w:rFonts w:ascii="宋体" w:hAnsi="宋体" w:cs="宋体"/>
                <w:bCs/>
                <w:sz w:val="22"/>
                <w:szCs w:val="22"/>
                <w:highlight w:val="none"/>
              </w:rPr>
            </w:pPr>
            <w:r>
              <w:rPr>
                <w:rFonts w:hint="eastAsia" w:ascii="宋体" w:hAnsi="宋体" w:cs="宋体"/>
                <w:bCs/>
                <w:sz w:val="22"/>
                <w:szCs w:val="22"/>
                <w:highlight w:val="none"/>
              </w:rPr>
              <w:t>1.1</w:t>
            </w:r>
          </w:p>
        </w:tc>
        <w:tc>
          <w:tcPr>
            <w:tcW w:w="7004" w:type="dxa"/>
            <w:vAlign w:val="center"/>
          </w:tcPr>
          <w:p w14:paraId="46C0E13D">
            <w:pPr>
              <w:jc w:val="left"/>
              <w:rPr>
                <w:rFonts w:ascii="宋体" w:hAnsi="宋体" w:cs="宋体"/>
                <w:bCs/>
                <w:sz w:val="22"/>
                <w:szCs w:val="22"/>
                <w:highlight w:val="none"/>
              </w:rPr>
            </w:pPr>
            <w:r>
              <w:rPr>
                <w:rFonts w:hint="eastAsia" w:ascii="宋体" w:hAnsi="宋体" w:cs="宋体"/>
                <w:bCs/>
                <w:sz w:val="22"/>
                <w:szCs w:val="22"/>
                <w:highlight w:val="none"/>
              </w:rPr>
              <w:t>法定代表人授权委托书</w:t>
            </w:r>
          </w:p>
        </w:tc>
        <w:tc>
          <w:tcPr>
            <w:tcW w:w="1414" w:type="dxa"/>
            <w:vAlign w:val="center"/>
          </w:tcPr>
          <w:p w14:paraId="0760BBC1">
            <w:pPr>
              <w:jc w:val="center"/>
              <w:rPr>
                <w:rFonts w:ascii="宋体" w:hAnsi="宋体" w:cs="宋体"/>
                <w:bCs/>
                <w:sz w:val="22"/>
                <w:szCs w:val="22"/>
                <w:highlight w:val="none"/>
              </w:rPr>
            </w:pPr>
            <w:r>
              <w:rPr>
                <w:rFonts w:hint="eastAsia" w:ascii="宋体" w:hAnsi="宋体" w:cs="宋体"/>
                <w:bCs/>
                <w:sz w:val="22"/>
                <w:szCs w:val="22"/>
                <w:highlight w:val="none"/>
              </w:rPr>
              <w:t>附件一-1</w:t>
            </w:r>
          </w:p>
        </w:tc>
      </w:tr>
      <w:tr w14:paraId="6CB1D8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71" w:type="dxa"/>
            <w:vAlign w:val="center"/>
          </w:tcPr>
          <w:p w14:paraId="1649167B">
            <w:pPr>
              <w:jc w:val="center"/>
              <w:rPr>
                <w:rFonts w:ascii="宋体" w:hAnsi="宋体" w:cs="宋体"/>
                <w:bCs/>
                <w:sz w:val="22"/>
                <w:szCs w:val="22"/>
                <w:highlight w:val="none"/>
              </w:rPr>
            </w:pPr>
            <w:r>
              <w:rPr>
                <w:rFonts w:hint="eastAsia" w:ascii="宋体" w:hAnsi="宋体" w:cs="宋体"/>
                <w:bCs/>
                <w:sz w:val="22"/>
                <w:szCs w:val="22"/>
                <w:highlight w:val="none"/>
              </w:rPr>
              <w:t>1.2</w:t>
            </w:r>
          </w:p>
        </w:tc>
        <w:tc>
          <w:tcPr>
            <w:tcW w:w="7004" w:type="dxa"/>
            <w:vAlign w:val="center"/>
          </w:tcPr>
          <w:p w14:paraId="78EB4C0D">
            <w:pPr>
              <w:jc w:val="left"/>
              <w:rPr>
                <w:rFonts w:ascii="宋体" w:hAnsi="宋体" w:cs="宋体"/>
                <w:bCs/>
                <w:sz w:val="22"/>
                <w:szCs w:val="22"/>
                <w:highlight w:val="none"/>
              </w:rPr>
            </w:pPr>
            <w:r>
              <w:rPr>
                <w:rFonts w:hint="eastAsia" w:ascii="宋体" w:hAnsi="宋体" w:cs="宋体"/>
                <w:bCs/>
                <w:sz w:val="22"/>
                <w:szCs w:val="22"/>
                <w:highlight w:val="none"/>
              </w:rPr>
              <w:t>法定代表人资格证明书</w:t>
            </w:r>
          </w:p>
        </w:tc>
        <w:tc>
          <w:tcPr>
            <w:tcW w:w="1414" w:type="dxa"/>
            <w:vAlign w:val="center"/>
          </w:tcPr>
          <w:p w14:paraId="23FBA56B">
            <w:pPr>
              <w:jc w:val="center"/>
              <w:rPr>
                <w:rFonts w:ascii="宋体" w:hAnsi="宋体" w:cs="宋体"/>
                <w:bCs/>
                <w:sz w:val="22"/>
                <w:szCs w:val="22"/>
                <w:highlight w:val="none"/>
              </w:rPr>
            </w:pPr>
            <w:r>
              <w:rPr>
                <w:rFonts w:hint="eastAsia" w:ascii="宋体" w:hAnsi="宋体" w:cs="宋体"/>
                <w:bCs/>
                <w:sz w:val="22"/>
                <w:szCs w:val="22"/>
                <w:highlight w:val="none"/>
              </w:rPr>
              <w:t>附件一-2</w:t>
            </w:r>
          </w:p>
        </w:tc>
      </w:tr>
      <w:tr w14:paraId="643465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71" w:type="dxa"/>
            <w:vAlign w:val="center"/>
          </w:tcPr>
          <w:p w14:paraId="0E6FC4F1">
            <w:pPr>
              <w:jc w:val="center"/>
              <w:rPr>
                <w:rFonts w:ascii="宋体" w:hAnsi="宋体" w:cs="宋体"/>
                <w:bCs/>
                <w:sz w:val="22"/>
                <w:szCs w:val="22"/>
                <w:highlight w:val="none"/>
              </w:rPr>
            </w:pPr>
            <w:r>
              <w:rPr>
                <w:rFonts w:hint="eastAsia" w:ascii="宋体" w:hAnsi="宋体" w:cs="宋体"/>
                <w:bCs/>
                <w:sz w:val="22"/>
                <w:szCs w:val="22"/>
                <w:highlight w:val="none"/>
              </w:rPr>
              <w:t>2</w:t>
            </w:r>
          </w:p>
        </w:tc>
        <w:tc>
          <w:tcPr>
            <w:tcW w:w="7004" w:type="dxa"/>
            <w:vAlign w:val="center"/>
          </w:tcPr>
          <w:p w14:paraId="2F6F0F79">
            <w:pPr>
              <w:jc w:val="left"/>
              <w:rPr>
                <w:rFonts w:ascii="宋体" w:hAnsi="宋体" w:cs="宋体"/>
                <w:bCs/>
                <w:sz w:val="22"/>
                <w:szCs w:val="22"/>
                <w:highlight w:val="none"/>
              </w:rPr>
            </w:pPr>
            <w:r>
              <w:rPr>
                <w:rFonts w:hint="eastAsia" w:ascii="宋体" w:hAnsi="宋体" w:cs="宋体"/>
                <w:bCs/>
                <w:sz w:val="22"/>
                <w:szCs w:val="22"/>
                <w:highlight w:val="none"/>
              </w:rPr>
              <w:t>投标声明书</w:t>
            </w:r>
          </w:p>
        </w:tc>
        <w:tc>
          <w:tcPr>
            <w:tcW w:w="1414" w:type="dxa"/>
            <w:vAlign w:val="center"/>
          </w:tcPr>
          <w:p w14:paraId="29693138">
            <w:pPr>
              <w:jc w:val="center"/>
              <w:rPr>
                <w:rFonts w:ascii="宋体" w:hAnsi="宋体" w:cs="宋体"/>
                <w:bCs/>
                <w:sz w:val="22"/>
                <w:szCs w:val="22"/>
                <w:highlight w:val="none"/>
              </w:rPr>
            </w:pPr>
            <w:r>
              <w:rPr>
                <w:rFonts w:hint="eastAsia" w:ascii="宋体" w:hAnsi="宋体" w:cs="宋体"/>
                <w:bCs/>
                <w:sz w:val="22"/>
                <w:szCs w:val="22"/>
                <w:highlight w:val="none"/>
              </w:rPr>
              <w:t>附件二</w:t>
            </w:r>
          </w:p>
        </w:tc>
      </w:tr>
      <w:tr w14:paraId="232D12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71" w:type="dxa"/>
            <w:vAlign w:val="center"/>
          </w:tcPr>
          <w:p w14:paraId="6DBC6FE7">
            <w:pPr>
              <w:jc w:val="center"/>
              <w:rPr>
                <w:rFonts w:ascii="宋体" w:hAnsi="宋体" w:cs="宋体"/>
                <w:bCs/>
                <w:sz w:val="22"/>
                <w:szCs w:val="22"/>
                <w:highlight w:val="none"/>
              </w:rPr>
            </w:pPr>
            <w:r>
              <w:rPr>
                <w:rFonts w:hint="eastAsia" w:ascii="宋体" w:hAnsi="宋体" w:cs="宋体"/>
                <w:bCs/>
                <w:sz w:val="22"/>
                <w:szCs w:val="22"/>
                <w:highlight w:val="none"/>
              </w:rPr>
              <w:t>3</w:t>
            </w:r>
          </w:p>
        </w:tc>
        <w:tc>
          <w:tcPr>
            <w:tcW w:w="7004" w:type="dxa"/>
            <w:vAlign w:val="center"/>
          </w:tcPr>
          <w:p w14:paraId="00E66C76">
            <w:pPr>
              <w:jc w:val="left"/>
              <w:rPr>
                <w:rFonts w:ascii="宋体" w:hAnsi="宋体" w:cs="宋体"/>
                <w:bCs/>
                <w:sz w:val="22"/>
                <w:szCs w:val="22"/>
                <w:highlight w:val="none"/>
              </w:rPr>
            </w:pPr>
            <w:r>
              <w:rPr>
                <w:rFonts w:hint="eastAsia" w:ascii="宋体" w:hAnsi="宋体" w:cs="宋体"/>
                <w:bCs/>
                <w:sz w:val="22"/>
                <w:szCs w:val="22"/>
                <w:highlight w:val="none"/>
              </w:rPr>
              <w:t>营业执照(或事业法人登记证书或其它工商等登记证明材料</w:t>
            </w:r>
            <w:r>
              <w:rPr>
                <w:rFonts w:hint="eastAsia" w:ascii="宋体" w:hAnsi="宋体" w:cs="宋体"/>
                <w:sz w:val="22"/>
                <w:szCs w:val="22"/>
                <w:highlight w:val="none"/>
              </w:rPr>
              <w:t>复印件加盖公章)</w:t>
            </w:r>
          </w:p>
        </w:tc>
        <w:tc>
          <w:tcPr>
            <w:tcW w:w="1414" w:type="dxa"/>
            <w:vAlign w:val="center"/>
          </w:tcPr>
          <w:p w14:paraId="4AEF19B5">
            <w:pPr>
              <w:jc w:val="center"/>
              <w:rPr>
                <w:rFonts w:ascii="宋体" w:hAnsi="宋体" w:cs="宋体"/>
                <w:bCs/>
                <w:sz w:val="22"/>
                <w:szCs w:val="22"/>
                <w:highlight w:val="none"/>
              </w:rPr>
            </w:pPr>
            <w:r>
              <w:rPr>
                <w:rFonts w:hint="eastAsia" w:ascii="宋体" w:hAnsi="宋体" w:cs="宋体"/>
                <w:bCs/>
                <w:sz w:val="22"/>
                <w:szCs w:val="22"/>
                <w:highlight w:val="none"/>
              </w:rPr>
              <w:t>附件三</w:t>
            </w:r>
          </w:p>
        </w:tc>
      </w:tr>
      <w:tr w14:paraId="547BA0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71" w:type="dxa"/>
            <w:vAlign w:val="center"/>
          </w:tcPr>
          <w:p w14:paraId="39441051">
            <w:pPr>
              <w:jc w:val="center"/>
              <w:rPr>
                <w:rFonts w:ascii="宋体" w:hAnsi="宋体" w:cs="宋体"/>
                <w:bCs/>
                <w:sz w:val="22"/>
                <w:szCs w:val="22"/>
                <w:highlight w:val="none"/>
              </w:rPr>
            </w:pPr>
            <w:r>
              <w:rPr>
                <w:rFonts w:hint="eastAsia" w:ascii="宋体" w:hAnsi="宋体" w:cs="宋体"/>
                <w:bCs/>
                <w:sz w:val="22"/>
                <w:szCs w:val="22"/>
                <w:highlight w:val="none"/>
              </w:rPr>
              <w:t>4</w:t>
            </w:r>
          </w:p>
        </w:tc>
        <w:tc>
          <w:tcPr>
            <w:tcW w:w="7004" w:type="dxa"/>
            <w:vAlign w:val="center"/>
          </w:tcPr>
          <w:p w14:paraId="4069B840">
            <w:pPr>
              <w:jc w:val="left"/>
              <w:rPr>
                <w:rFonts w:ascii="宋体" w:hAnsi="宋体" w:cs="宋体"/>
                <w:bCs/>
                <w:sz w:val="22"/>
                <w:szCs w:val="22"/>
                <w:highlight w:val="none"/>
              </w:rPr>
            </w:pPr>
            <w:r>
              <w:rPr>
                <w:rFonts w:hint="eastAsia" w:ascii="宋体" w:hAnsi="宋体" w:cs="宋体"/>
                <w:bCs/>
                <w:sz w:val="22"/>
                <w:szCs w:val="22"/>
                <w:highlight w:val="none"/>
              </w:rPr>
              <w:t>具有履行合同所必需的设备和专业技术能力的承诺函</w:t>
            </w:r>
          </w:p>
        </w:tc>
        <w:tc>
          <w:tcPr>
            <w:tcW w:w="1414" w:type="dxa"/>
            <w:vAlign w:val="center"/>
          </w:tcPr>
          <w:p w14:paraId="35E7220D">
            <w:pPr>
              <w:jc w:val="center"/>
              <w:rPr>
                <w:rFonts w:ascii="宋体" w:hAnsi="宋体" w:cs="宋体"/>
                <w:bCs/>
                <w:sz w:val="22"/>
                <w:szCs w:val="22"/>
                <w:highlight w:val="none"/>
              </w:rPr>
            </w:pPr>
            <w:r>
              <w:rPr>
                <w:rFonts w:hint="eastAsia" w:ascii="宋体" w:hAnsi="宋体" w:cs="宋体"/>
                <w:bCs/>
                <w:sz w:val="22"/>
                <w:szCs w:val="22"/>
                <w:highlight w:val="none"/>
              </w:rPr>
              <w:t>附件四</w:t>
            </w:r>
          </w:p>
        </w:tc>
      </w:tr>
      <w:tr w14:paraId="198163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71" w:type="dxa"/>
            <w:vAlign w:val="center"/>
          </w:tcPr>
          <w:p w14:paraId="40891B00">
            <w:pPr>
              <w:jc w:val="center"/>
              <w:rPr>
                <w:rFonts w:ascii="宋体" w:hAnsi="宋体" w:cs="宋体"/>
                <w:bCs/>
                <w:sz w:val="22"/>
                <w:szCs w:val="22"/>
                <w:highlight w:val="none"/>
              </w:rPr>
            </w:pPr>
            <w:r>
              <w:rPr>
                <w:rFonts w:hint="eastAsia" w:ascii="宋体" w:hAnsi="宋体" w:cs="宋体"/>
                <w:bCs/>
                <w:sz w:val="22"/>
                <w:szCs w:val="22"/>
                <w:highlight w:val="none"/>
              </w:rPr>
              <w:t>5</w:t>
            </w:r>
          </w:p>
        </w:tc>
        <w:tc>
          <w:tcPr>
            <w:tcW w:w="7004" w:type="dxa"/>
            <w:vAlign w:val="center"/>
          </w:tcPr>
          <w:p w14:paraId="0964B3FB">
            <w:pPr>
              <w:jc w:val="left"/>
              <w:rPr>
                <w:rFonts w:ascii="宋体" w:hAnsi="宋体" w:cs="宋体"/>
                <w:bCs/>
                <w:sz w:val="22"/>
                <w:szCs w:val="22"/>
                <w:highlight w:val="none"/>
              </w:rPr>
            </w:pPr>
            <w:r>
              <w:rPr>
                <w:rFonts w:hint="eastAsia" w:ascii="宋体" w:hAnsi="宋体" w:cs="宋体"/>
                <w:bCs/>
                <w:sz w:val="22"/>
                <w:szCs w:val="22"/>
                <w:highlight w:val="none"/>
              </w:rPr>
              <w:t>具有良好的信誉和健全的财务会计制度的承诺函</w:t>
            </w:r>
          </w:p>
        </w:tc>
        <w:tc>
          <w:tcPr>
            <w:tcW w:w="1414" w:type="dxa"/>
            <w:vAlign w:val="center"/>
          </w:tcPr>
          <w:p w14:paraId="28D9FC18">
            <w:pPr>
              <w:jc w:val="center"/>
              <w:rPr>
                <w:rFonts w:ascii="宋体" w:hAnsi="宋体" w:cs="宋体"/>
                <w:bCs/>
                <w:sz w:val="22"/>
                <w:szCs w:val="22"/>
                <w:highlight w:val="none"/>
              </w:rPr>
            </w:pPr>
            <w:r>
              <w:rPr>
                <w:rFonts w:hint="eastAsia" w:ascii="宋体" w:hAnsi="宋体" w:cs="宋体"/>
                <w:bCs/>
                <w:sz w:val="22"/>
                <w:szCs w:val="22"/>
                <w:highlight w:val="none"/>
              </w:rPr>
              <w:t>附件五</w:t>
            </w:r>
          </w:p>
        </w:tc>
      </w:tr>
      <w:tr w14:paraId="738215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71" w:type="dxa"/>
            <w:vAlign w:val="center"/>
          </w:tcPr>
          <w:p w14:paraId="4CDD2E2A">
            <w:pPr>
              <w:jc w:val="center"/>
              <w:rPr>
                <w:rFonts w:ascii="宋体" w:hAnsi="宋体" w:cs="宋体"/>
                <w:bCs/>
                <w:sz w:val="22"/>
                <w:szCs w:val="22"/>
                <w:highlight w:val="none"/>
              </w:rPr>
            </w:pPr>
            <w:r>
              <w:rPr>
                <w:rFonts w:hint="eastAsia" w:ascii="宋体" w:hAnsi="宋体" w:cs="宋体"/>
                <w:bCs/>
                <w:sz w:val="22"/>
                <w:szCs w:val="22"/>
                <w:highlight w:val="none"/>
              </w:rPr>
              <w:t>6</w:t>
            </w:r>
          </w:p>
        </w:tc>
        <w:tc>
          <w:tcPr>
            <w:tcW w:w="7004" w:type="dxa"/>
            <w:vAlign w:val="center"/>
          </w:tcPr>
          <w:p w14:paraId="02D5233B">
            <w:pPr>
              <w:jc w:val="left"/>
              <w:rPr>
                <w:rFonts w:ascii="宋体" w:hAnsi="宋体" w:cs="宋体"/>
                <w:bCs/>
                <w:color w:val="000000"/>
                <w:sz w:val="22"/>
                <w:szCs w:val="22"/>
                <w:highlight w:val="none"/>
              </w:rPr>
            </w:pPr>
            <w:r>
              <w:rPr>
                <w:rFonts w:hint="eastAsia" w:ascii="宋体" w:hAnsi="宋体" w:cs="宋体"/>
                <w:bCs/>
                <w:color w:val="000000"/>
                <w:sz w:val="22"/>
                <w:szCs w:val="22"/>
                <w:highlight w:val="none"/>
              </w:rPr>
              <w:t>安全生产责任事故承诺函</w:t>
            </w:r>
          </w:p>
        </w:tc>
        <w:tc>
          <w:tcPr>
            <w:tcW w:w="1414" w:type="dxa"/>
            <w:vAlign w:val="center"/>
          </w:tcPr>
          <w:p w14:paraId="07021BB2">
            <w:pPr>
              <w:jc w:val="center"/>
              <w:rPr>
                <w:rFonts w:ascii="宋体" w:hAnsi="宋体" w:cs="宋体"/>
                <w:sz w:val="22"/>
                <w:szCs w:val="22"/>
                <w:highlight w:val="none"/>
              </w:rPr>
            </w:pPr>
            <w:r>
              <w:rPr>
                <w:rFonts w:hint="eastAsia" w:ascii="宋体" w:hAnsi="宋体" w:cs="宋体"/>
                <w:bCs/>
                <w:sz w:val="22"/>
                <w:szCs w:val="22"/>
                <w:highlight w:val="none"/>
              </w:rPr>
              <w:t>附件六</w:t>
            </w:r>
          </w:p>
        </w:tc>
      </w:tr>
      <w:tr w14:paraId="091139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1" w:hRule="atLeast"/>
        </w:trPr>
        <w:tc>
          <w:tcPr>
            <w:tcW w:w="871" w:type="dxa"/>
            <w:vAlign w:val="center"/>
          </w:tcPr>
          <w:p w14:paraId="33A90262">
            <w:pPr>
              <w:jc w:val="center"/>
              <w:rPr>
                <w:rFonts w:ascii="宋体" w:hAnsi="宋体" w:cs="宋体"/>
                <w:bCs/>
                <w:sz w:val="22"/>
                <w:szCs w:val="22"/>
                <w:highlight w:val="none"/>
              </w:rPr>
            </w:pPr>
            <w:r>
              <w:rPr>
                <w:rFonts w:hint="eastAsia" w:ascii="宋体" w:hAnsi="宋体" w:cs="宋体"/>
                <w:bCs/>
                <w:sz w:val="22"/>
                <w:szCs w:val="22"/>
                <w:highlight w:val="none"/>
              </w:rPr>
              <w:t>7</w:t>
            </w:r>
          </w:p>
        </w:tc>
        <w:tc>
          <w:tcPr>
            <w:tcW w:w="7004" w:type="dxa"/>
            <w:vAlign w:val="center"/>
          </w:tcPr>
          <w:p w14:paraId="399F128A">
            <w:pPr>
              <w:keepNext w:val="0"/>
              <w:keepLines w:val="0"/>
              <w:pageBreakBefore w:val="0"/>
              <w:widowControl w:val="0"/>
              <w:kinsoku/>
              <w:wordWrap w:val="0"/>
              <w:overflowPunct/>
              <w:topLinePunct w:val="0"/>
              <w:autoSpaceDE/>
              <w:autoSpaceDN/>
              <w:bidi w:val="0"/>
              <w:adjustRightInd/>
              <w:snapToGrid/>
              <w:jc w:val="left"/>
              <w:textAlignment w:val="auto"/>
              <w:rPr>
                <w:rFonts w:ascii="宋体" w:hAnsi="宋体" w:cs="宋体"/>
                <w:bCs/>
                <w:color w:val="000000"/>
                <w:sz w:val="22"/>
                <w:szCs w:val="22"/>
                <w:highlight w:val="none"/>
              </w:rPr>
            </w:pPr>
            <w:r>
              <w:rPr>
                <w:rFonts w:hint="eastAsia" w:ascii="宋体" w:hAnsi="宋体" w:cs="宋体"/>
                <w:bCs/>
                <w:color w:val="000000"/>
                <w:sz w:val="22"/>
                <w:szCs w:val="22"/>
                <w:highlight w:val="none"/>
              </w:rPr>
              <w:t>投标人未被列入失信被执行人名单、重大税收违法案件当事人名单、政府采购严重违法失信行为记录名单、安全生产严重失信主体名单，信用信息以信用中国网站（www.creditchina.gov.cn）、中国政府采购网（www.ccgp.gov.cn）、应急管理部（https://zwfw.mem.gov.cn/zwthlw/pages/hlwmh/yyfw/qyaqscxycx/qyaqscxycx_index.html）公布为准。（须提供网站查询截图并加盖单位公章）</w:t>
            </w:r>
          </w:p>
        </w:tc>
        <w:tc>
          <w:tcPr>
            <w:tcW w:w="1414" w:type="dxa"/>
            <w:vAlign w:val="center"/>
          </w:tcPr>
          <w:p w14:paraId="6887DEEC">
            <w:pPr>
              <w:jc w:val="center"/>
              <w:rPr>
                <w:rFonts w:ascii="宋体" w:hAnsi="宋体" w:cs="宋体"/>
                <w:bCs/>
                <w:sz w:val="22"/>
                <w:szCs w:val="22"/>
                <w:highlight w:val="none"/>
              </w:rPr>
            </w:pPr>
            <w:r>
              <w:rPr>
                <w:rFonts w:hint="eastAsia" w:ascii="宋体" w:hAnsi="宋体" w:cs="宋体"/>
                <w:bCs/>
                <w:sz w:val="22"/>
                <w:szCs w:val="22"/>
                <w:highlight w:val="none"/>
              </w:rPr>
              <w:t>附件七</w:t>
            </w:r>
          </w:p>
        </w:tc>
      </w:tr>
      <w:tr w14:paraId="730CB9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71" w:type="dxa"/>
            <w:vAlign w:val="center"/>
          </w:tcPr>
          <w:p w14:paraId="24A50485">
            <w:pPr>
              <w:jc w:val="center"/>
              <w:rPr>
                <w:rFonts w:ascii="宋体" w:hAnsi="宋体" w:cs="宋体"/>
                <w:bCs/>
                <w:sz w:val="22"/>
                <w:szCs w:val="22"/>
                <w:highlight w:val="none"/>
              </w:rPr>
            </w:pPr>
            <w:r>
              <w:rPr>
                <w:rFonts w:hint="eastAsia" w:ascii="宋体" w:hAnsi="宋体" w:cs="宋体"/>
                <w:bCs/>
                <w:sz w:val="22"/>
                <w:szCs w:val="22"/>
                <w:highlight w:val="none"/>
              </w:rPr>
              <w:t>8</w:t>
            </w:r>
          </w:p>
        </w:tc>
        <w:tc>
          <w:tcPr>
            <w:tcW w:w="7004" w:type="dxa"/>
            <w:vAlign w:val="center"/>
          </w:tcPr>
          <w:p w14:paraId="2ACE5EDB">
            <w:pPr>
              <w:jc w:val="left"/>
              <w:rPr>
                <w:rFonts w:ascii="宋体" w:hAnsi="宋体" w:cs="宋体"/>
                <w:bCs/>
                <w:color w:val="000000"/>
                <w:sz w:val="22"/>
                <w:szCs w:val="22"/>
                <w:highlight w:val="none"/>
              </w:rPr>
            </w:pPr>
            <w:r>
              <w:rPr>
                <w:rFonts w:hint="eastAsia" w:ascii="宋体" w:hAnsi="宋体" w:cs="宋体"/>
                <w:bCs/>
                <w:color w:val="000000"/>
                <w:sz w:val="22"/>
                <w:szCs w:val="22"/>
                <w:highlight w:val="none"/>
              </w:rPr>
              <w:t>具有有效的《中华人民共和国特种设备生产许可证》，许可项目为起重机械安装（含修理），许可子项目含门座式起重机(须提供证书复印件并加盖单位公章)或具有有效的《中华人民共和国特种设备安装改造维修许可证（起重机械）》，类型为门座式起重机，施工类别含维修(须提供证书复印件并加盖单位公章)</w:t>
            </w:r>
          </w:p>
        </w:tc>
        <w:tc>
          <w:tcPr>
            <w:tcW w:w="1414" w:type="dxa"/>
            <w:vAlign w:val="center"/>
          </w:tcPr>
          <w:p w14:paraId="43446BFD">
            <w:pPr>
              <w:jc w:val="center"/>
              <w:rPr>
                <w:rFonts w:ascii="宋体" w:hAnsi="宋体" w:cs="宋体"/>
                <w:bCs/>
                <w:sz w:val="22"/>
                <w:szCs w:val="22"/>
                <w:highlight w:val="none"/>
              </w:rPr>
            </w:pPr>
            <w:r>
              <w:rPr>
                <w:rFonts w:hint="eastAsia" w:ascii="宋体" w:hAnsi="宋体" w:cs="宋体"/>
                <w:bCs/>
                <w:sz w:val="22"/>
                <w:szCs w:val="22"/>
                <w:highlight w:val="none"/>
              </w:rPr>
              <w:t>附件八</w:t>
            </w:r>
          </w:p>
        </w:tc>
      </w:tr>
      <w:tr w14:paraId="1B7CB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71" w:type="dxa"/>
            <w:vAlign w:val="center"/>
          </w:tcPr>
          <w:p w14:paraId="4F079F58">
            <w:pPr>
              <w:jc w:val="center"/>
              <w:rPr>
                <w:rFonts w:ascii="宋体" w:hAnsi="宋体" w:cs="宋体"/>
                <w:bCs/>
                <w:sz w:val="22"/>
                <w:szCs w:val="22"/>
                <w:highlight w:val="none"/>
              </w:rPr>
            </w:pPr>
            <w:r>
              <w:rPr>
                <w:rFonts w:hint="eastAsia" w:ascii="宋体" w:hAnsi="宋体" w:cs="宋体"/>
                <w:bCs/>
                <w:sz w:val="22"/>
                <w:szCs w:val="22"/>
                <w:highlight w:val="none"/>
              </w:rPr>
              <w:t>9</w:t>
            </w:r>
          </w:p>
        </w:tc>
        <w:tc>
          <w:tcPr>
            <w:tcW w:w="7004" w:type="dxa"/>
            <w:vAlign w:val="center"/>
          </w:tcPr>
          <w:p w14:paraId="496A7FAD">
            <w:pPr>
              <w:jc w:val="left"/>
              <w:rPr>
                <w:rFonts w:ascii="宋体" w:hAnsi="宋体" w:cs="宋体"/>
                <w:bCs/>
                <w:color w:val="000000"/>
                <w:sz w:val="22"/>
                <w:szCs w:val="22"/>
                <w:highlight w:val="none"/>
              </w:rPr>
            </w:pPr>
            <w:r>
              <w:rPr>
                <w:rFonts w:hint="eastAsia" w:ascii="宋体" w:hAnsi="宋体" w:cs="新宋体"/>
                <w:sz w:val="22"/>
                <w:szCs w:val="22"/>
                <w:highlight w:val="none"/>
              </w:rPr>
              <w:t>单位规模及业绩（格式自拟）</w:t>
            </w:r>
          </w:p>
        </w:tc>
        <w:tc>
          <w:tcPr>
            <w:tcW w:w="1414" w:type="dxa"/>
            <w:vAlign w:val="center"/>
          </w:tcPr>
          <w:p w14:paraId="27D4DC2C">
            <w:pPr>
              <w:jc w:val="center"/>
              <w:rPr>
                <w:rFonts w:ascii="宋体" w:hAnsi="宋体" w:cs="宋体"/>
                <w:bCs/>
                <w:sz w:val="22"/>
                <w:szCs w:val="22"/>
                <w:highlight w:val="none"/>
              </w:rPr>
            </w:pPr>
            <w:r>
              <w:rPr>
                <w:rFonts w:hint="eastAsia" w:ascii="宋体" w:hAnsi="宋体" w:cs="宋体"/>
                <w:bCs/>
                <w:sz w:val="22"/>
                <w:szCs w:val="22"/>
                <w:highlight w:val="none"/>
              </w:rPr>
              <w:t>附件九</w:t>
            </w:r>
          </w:p>
        </w:tc>
      </w:tr>
      <w:tr w14:paraId="429372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71" w:type="dxa"/>
            <w:vAlign w:val="center"/>
          </w:tcPr>
          <w:p w14:paraId="18057E00">
            <w:pPr>
              <w:jc w:val="center"/>
              <w:rPr>
                <w:rFonts w:ascii="宋体" w:hAnsi="宋体" w:cs="宋体"/>
                <w:bCs/>
                <w:sz w:val="22"/>
                <w:szCs w:val="22"/>
                <w:highlight w:val="none"/>
              </w:rPr>
            </w:pPr>
            <w:r>
              <w:rPr>
                <w:rFonts w:hint="eastAsia" w:ascii="宋体" w:hAnsi="宋体" w:cs="宋体"/>
                <w:bCs/>
                <w:sz w:val="22"/>
                <w:szCs w:val="22"/>
                <w:highlight w:val="none"/>
              </w:rPr>
              <w:t>10</w:t>
            </w:r>
          </w:p>
        </w:tc>
        <w:tc>
          <w:tcPr>
            <w:tcW w:w="7004" w:type="dxa"/>
            <w:vAlign w:val="center"/>
          </w:tcPr>
          <w:p w14:paraId="45CCE65E">
            <w:pPr>
              <w:jc w:val="left"/>
              <w:rPr>
                <w:rFonts w:ascii="宋体" w:hAnsi="宋体" w:cs="宋体"/>
                <w:bCs/>
                <w:color w:val="000000"/>
                <w:sz w:val="22"/>
                <w:szCs w:val="22"/>
                <w:highlight w:val="none"/>
              </w:rPr>
            </w:pPr>
            <w:r>
              <w:rPr>
                <w:rFonts w:hint="eastAsia" w:ascii="宋体" w:hAnsi="宋体" w:cs="宋体"/>
                <w:bCs/>
                <w:color w:val="000000"/>
                <w:sz w:val="22"/>
                <w:szCs w:val="22"/>
                <w:highlight w:val="none"/>
              </w:rPr>
              <w:t>招标文件要求的或投标人认为有必要提供的其他情况说明（格式自拟，加盖公章）</w:t>
            </w:r>
          </w:p>
        </w:tc>
        <w:tc>
          <w:tcPr>
            <w:tcW w:w="1414" w:type="dxa"/>
            <w:vAlign w:val="center"/>
          </w:tcPr>
          <w:p w14:paraId="5C530D46">
            <w:pPr>
              <w:jc w:val="center"/>
              <w:rPr>
                <w:rFonts w:ascii="宋体" w:hAnsi="宋体" w:cs="宋体"/>
                <w:bCs/>
                <w:sz w:val="22"/>
                <w:szCs w:val="22"/>
                <w:highlight w:val="none"/>
              </w:rPr>
            </w:pPr>
          </w:p>
        </w:tc>
      </w:tr>
    </w:tbl>
    <w:p w14:paraId="6C459819">
      <w:pPr>
        <w:numPr>
          <w:ilvl w:val="255"/>
          <w:numId w:val="0"/>
        </w:numPr>
        <w:spacing w:line="440" w:lineRule="exact"/>
        <w:ind w:left="178"/>
        <w:rPr>
          <w:rFonts w:ascii="宋体" w:hAnsi="宋体" w:cs="宋体"/>
          <w:b/>
          <w:sz w:val="22"/>
          <w:szCs w:val="22"/>
          <w:highlight w:val="none"/>
        </w:rPr>
      </w:pPr>
      <w:r>
        <w:rPr>
          <w:rFonts w:hint="eastAsia" w:ascii="宋体" w:hAnsi="宋体" w:cs="宋体"/>
          <w:b/>
          <w:sz w:val="22"/>
          <w:szCs w:val="22"/>
          <w:highlight w:val="none"/>
        </w:rPr>
        <w:t>（2）商务技术标</w:t>
      </w:r>
    </w:p>
    <w:tbl>
      <w:tblPr>
        <w:tblStyle w:val="30"/>
        <w:tblW w:w="922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4"/>
        <w:gridCol w:w="6974"/>
        <w:gridCol w:w="1388"/>
      </w:tblGrid>
      <w:tr w14:paraId="5F6195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64" w:type="dxa"/>
            <w:vAlign w:val="center"/>
          </w:tcPr>
          <w:p w14:paraId="2349E930">
            <w:pPr>
              <w:jc w:val="center"/>
              <w:rPr>
                <w:rFonts w:ascii="宋体" w:hAnsi="宋体" w:cs="宋体"/>
                <w:bCs/>
                <w:sz w:val="22"/>
                <w:szCs w:val="22"/>
                <w:highlight w:val="none"/>
              </w:rPr>
            </w:pPr>
            <w:r>
              <w:rPr>
                <w:rFonts w:hint="eastAsia" w:ascii="宋体" w:hAnsi="宋体" w:cs="宋体"/>
                <w:bCs/>
                <w:sz w:val="22"/>
                <w:szCs w:val="22"/>
                <w:highlight w:val="none"/>
              </w:rPr>
              <w:t>序号</w:t>
            </w:r>
          </w:p>
        </w:tc>
        <w:tc>
          <w:tcPr>
            <w:tcW w:w="6974" w:type="dxa"/>
            <w:vAlign w:val="center"/>
          </w:tcPr>
          <w:p w14:paraId="3EE9B587">
            <w:pPr>
              <w:jc w:val="center"/>
              <w:rPr>
                <w:rFonts w:ascii="宋体" w:hAnsi="宋体" w:cs="宋体"/>
                <w:bCs/>
                <w:sz w:val="22"/>
                <w:szCs w:val="22"/>
                <w:highlight w:val="none"/>
              </w:rPr>
            </w:pPr>
            <w:r>
              <w:rPr>
                <w:rFonts w:hint="eastAsia" w:ascii="宋体" w:hAnsi="宋体" w:cs="宋体"/>
                <w:bCs/>
                <w:sz w:val="22"/>
                <w:szCs w:val="22"/>
                <w:highlight w:val="none"/>
              </w:rPr>
              <w:t>内容</w:t>
            </w:r>
          </w:p>
        </w:tc>
        <w:tc>
          <w:tcPr>
            <w:tcW w:w="1388" w:type="dxa"/>
            <w:vAlign w:val="center"/>
          </w:tcPr>
          <w:p w14:paraId="0AA292B9">
            <w:pPr>
              <w:jc w:val="center"/>
              <w:rPr>
                <w:rFonts w:ascii="宋体" w:hAnsi="宋体" w:cs="宋体"/>
                <w:bCs/>
                <w:sz w:val="22"/>
                <w:szCs w:val="22"/>
                <w:highlight w:val="none"/>
              </w:rPr>
            </w:pPr>
            <w:r>
              <w:rPr>
                <w:rFonts w:hint="eastAsia" w:ascii="宋体" w:hAnsi="宋体" w:cs="宋体"/>
                <w:bCs/>
                <w:sz w:val="22"/>
                <w:szCs w:val="22"/>
                <w:highlight w:val="none"/>
              </w:rPr>
              <w:t>备注</w:t>
            </w:r>
          </w:p>
        </w:tc>
      </w:tr>
      <w:tr w14:paraId="3592BE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64" w:type="dxa"/>
            <w:vAlign w:val="center"/>
          </w:tcPr>
          <w:p w14:paraId="78CC5877">
            <w:pPr>
              <w:jc w:val="center"/>
              <w:rPr>
                <w:rFonts w:ascii="宋体" w:hAnsi="宋体" w:cs="宋体"/>
                <w:bCs/>
                <w:sz w:val="22"/>
                <w:szCs w:val="22"/>
                <w:highlight w:val="none"/>
              </w:rPr>
            </w:pPr>
            <w:r>
              <w:rPr>
                <w:rFonts w:hint="eastAsia" w:ascii="宋体" w:hAnsi="宋体" w:cs="宋体"/>
                <w:bCs/>
                <w:sz w:val="22"/>
                <w:szCs w:val="22"/>
                <w:highlight w:val="none"/>
              </w:rPr>
              <w:t>1</w:t>
            </w:r>
          </w:p>
        </w:tc>
        <w:tc>
          <w:tcPr>
            <w:tcW w:w="6974" w:type="dxa"/>
            <w:vAlign w:val="center"/>
          </w:tcPr>
          <w:p w14:paraId="76EBF9BF">
            <w:pPr>
              <w:rPr>
                <w:rFonts w:ascii="宋体" w:hAnsi="宋体" w:cs="宋体"/>
                <w:sz w:val="22"/>
                <w:szCs w:val="22"/>
                <w:highlight w:val="none"/>
              </w:rPr>
            </w:pPr>
            <w:r>
              <w:rPr>
                <w:rFonts w:hint="eastAsia" w:ascii="宋体" w:hAnsi="宋体" w:cs="宋体"/>
                <w:sz w:val="22"/>
                <w:szCs w:val="22"/>
                <w:highlight w:val="none"/>
              </w:rPr>
              <w:t>投标函</w:t>
            </w:r>
          </w:p>
        </w:tc>
        <w:tc>
          <w:tcPr>
            <w:tcW w:w="1388" w:type="dxa"/>
            <w:vAlign w:val="center"/>
          </w:tcPr>
          <w:p w14:paraId="77FD5799">
            <w:pPr>
              <w:jc w:val="center"/>
              <w:rPr>
                <w:rFonts w:ascii="宋体" w:hAnsi="宋体" w:cs="宋体"/>
                <w:bCs/>
                <w:sz w:val="22"/>
                <w:szCs w:val="22"/>
                <w:highlight w:val="none"/>
              </w:rPr>
            </w:pPr>
            <w:r>
              <w:rPr>
                <w:rFonts w:hint="eastAsia" w:ascii="宋体" w:hAnsi="宋体" w:cs="宋体"/>
                <w:bCs/>
                <w:sz w:val="22"/>
                <w:szCs w:val="22"/>
                <w:highlight w:val="none"/>
              </w:rPr>
              <w:t>附件十</w:t>
            </w:r>
          </w:p>
        </w:tc>
      </w:tr>
      <w:tr w14:paraId="5F4A55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64" w:type="dxa"/>
            <w:vAlign w:val="center"/>
          </w:tcPr>
          <w:p w14:paraId="32D3B3DE">
            <w:pPr>
              <w:jc w:val="center"/>
              <w:rPr>
                <w:rFonts w:ascii="宋体" w:hAnsi="宋体" w:cs="宋体"/>
                <w:bCs/>
                <w:sz w:val="22"/>
                <w:szCs w:val="22"/>
                <w:highlight w:val="none"/>
              </w:rPr>
            </w:pPr>
            <w:r>
              <w:rPr>
                <w:rFonts w:hint="eastAsia" w:ascii="宋体" w:hAnsi="宋体" w:cs="宋体"/>
                <w:bCs/>
                <w:sz w:val="22"/>
                <w:szCs w:val="22"/>
                <w:highlight w:val="none"/>
              </w:rPr>
              <w:t>2</w:t>
            </w:r>
          </w:p>
        </w:tc>
        <w:tc>
          <w:tcPr>
            <w:tcW w:w="6974" w:type="dxa"/>
            <w:vAlign w:val="center"/>
          </w:tcPr>
          <w:p w14:paraId="04D93145">
            <w:pPr>
              <w:rPr>
                <w:rFonts w:ascii="宋体" w:hAnsi="宋体" w:cs="宋体"/>
                <w:sz w:val="22"/>
                <w:szCs w:val="22"/>
                <w:highlight w:val="none"/>
              </w:rPr>
            </w:pPr>
            <w:r>
              <w:rPr>
                <w:rFonts w:hint="eastAsia" w:ascii="宋体" w:hAnsi="宋体" w:cs="宋体"/>
                <w:bCs/>
                <w:sz w:val="22"/>
                <w:szCs w:val="22"/>
                <w:highlight w:val="none"/>
              </w:rPr>
              <w:t>技术规格、商务条款偏离表</w:t>
            </w:r>
          </w:p>
        </w:tc>
        <w:tc>
          <w:tcPr>
            <w:tcW w:w="1388" w:type="dxa"/>
            <w:vAlign w:val="center"/>
          </w:tcPr>
          <w:p w14:paraId="0B763B77">
            <w:pPr>
              <w:jc w:val="center"/>
              <w:rPr>
                <w:rFonts w:ascii="宋体" w:hAnsi="宋体" w:cs="宋体"/>
                <w:sz w:val="22"/>
                <w:szCs w:val="22"/>
                <w:highlight w:val="none"/>
              </w:rPr>
            </w:pPr>
            <w:r>
              <w:rPr>
                <w:rFonts w:hint="eastAsia" w:ascii="宋体" w:hAnsi="宋体" w:cs="宋体"/>
                <w:bCs/>
                <w:sz w:val="22"/>
                <w:szCs w:val="22"/>
                <w:highlight w:val="none"/>
              </w:rPr>
              <w:t>附件十一</w:t>
            </w:r>
          </w:p>
        </w:tc>
      </w:tr>
      <w:tr w14:paraId="0B1072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64" w:type="dxa"/>
            <w:vAlign w:val="center"/>
          </w:tcPr>
          <w:p w14:paraId="0F7B2754">
            <w:pPr>
              <w:jc w:val="center"/>
              <w:rPr>
                <w:rFonts w:ascii="宋体" w:hAnsi="宋体" w:cs="宋体"/>
                <w:bCs/>
                <w:sz w:val="22"/>
                <w:szCs w:val="22"/>
                <w:highlight w:val="none"/>
              </w:rPr>
            </w:pPr>
            <w:r>
              <w:rPr>
                <w:rFonts w:hint="eastAsia" w:ascii="宋体" w:hAnsi="宋体" w:cs="宋体"/>
                <w:bCs/>
                <w:sz w:val="22"/>
                <w:szCs w:val="22"/>
                <w:highlight w:val="none"/>
              </w:rPr>
              <w:t>3</w:t>
            </w:r>
          </w:p>
        </w:tc>
        <w:tc>
          <w:tcPr>
            <w:tcW w:w="6974" w:type="dxa"/>
            <w:vAlign w:val="center"/>
          </w:tcPr>
          <w:p w14:paraId="57FADA2A">
            <w:pPr>
              <w:rPr>
                <w:rFonts w:ascii="宋体" w:hAnsi="宋体" w:cs="宋体"/>
                <w:sz w:val="22"/>
                <w:szCs w:val="22"/>
                <w:highlight w:val="none"/>
              </w:rPr>
            </w:pPr>
            <w:r>
              <w:rPr>
                <w:rFonts w:hint="eastAsia" w:ascii="宋体" w:hAnsi="宋体" w:cs="宋体"/>
                <w:sz w:val="22"/>
                <w:szCs w:val="22"/>
                <w:highlight w:val="none"/>
              </w:rPr>
              <w:t>投标人的基本情况表</w:t>
            </w:r>
          </w:p>
        </w:tc>
        <w:tc>
          <w:tcPr>
            <w:tcW w:w="1388" w:type="dxa"/>
            <w:vAlign w:val="center"/>
          </w:tcPr>
          <w:p w14:paraId="47623BAB">
            <w:pPr>
              <w:jc w:val="center"/>
              <w:rPr>
                <w:rFonts w:ascii="宋体" w:hAnsi="宋体" w:cs="宋体"/>
                <w:sz w:val="22"/>
                <w:szCs w:val="22"/>
                <w:highlight w:val="none"/>
              </w:rPr>
            </w:pPr>
            <w:r>
              <w:rPr>
                <w:rFonts w:hint="eastAsia" w:ascii="宋体" w:hAnsi="宋体" w:cs="宋体"/>
                <w:sz w:val="22"/>
                <w:szCs w:val="22"/>
                <w:highlight w:val="none"/>
              </w:rPr>
              <w:t>附件十二</w:t>
            </w:r>
          </w:p>
        </w:tc>
      </w:tr>
      <w:tr w14:paraId="4DAA0B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64" w:type="dxa"/>
            <w:vAlign w:val="center"/>
          </w:tcPr>
          <w:p w14:paraId="4A6CA448">
            <w:pPr>
              <w:jc w:val="center"/>
              <w:rPr>
                <w:rFonts w:ascii="宋体" w:hAnsi="宋体" w:cs="宋体"/>
                <w:sz w:val="22"/>
                <w:szCs w:val="22"/>
                <w:highlight w:val="none"/>
              </w:rPr>
            </w:pPr>
            <w:r>
              <w:rPr>
                <w:rFonts w:hint="eastAsia" w:ascii="宋体" w:hAnsi="宋体" w:cs="宋体"/>
                <w:sz w:val="22"/>
                <w:szCs w:val="22"/>
                <w:highlight w:val="none"/>
              </w:rPr>
              <w:t>4</w:t>
            </w:r>
          </w:p>
        </w:tc>
        <w:tc>
          <w:tcPr>
            <w:tcW w:w="6974" w:type="dxa"/>
            <w:vAlign w:val="center"/>
          </w:tcPr>
          <w:p w14:paraId="65EB884A">
            <w:pPr>
              <w:rPr>
                <w:rFonts w:ascii="宋体" w:hAnsi="宋体" w:cs="宋体"/>
                <w:bCs/>
                <w:sz w:val="22"/>
                <w:szCs w:val="22"/>
                <w:highlight w:val="none"/>
              </w:rPr>
            </w:pPr>
            <w:r>
              <w:rPr>
                <w:rFonts w:hint="eastAsia" w:ascii="宋体" w:hAnsi="宋体" w:cs="宋体"/>
                <w:bCs/>
                <w:sz w:val="22"/>
                <w:szCs w:val="22"/>
                <w:highlight w:val="none"/>
              </w:rPr>
              <w:t>投标人综合实力（格式自拟）</w:t>
            </w:r>
          </w:p>
        </w:tc>
        <w:tc>
          <w:tcPr>
            <w:tcW w:w="1388" w:type="dxa"/>
            <w:vAlign w:val="center"/>
          </w:tcPr>
          <w:p w14:paraId="770FFD0D">
            <w:pPr>
              <w:jc w:val="center"/>
              <w:rPr>
                <w:rFonts w:ascii="宋体" w:hAnsi="宋体" w:cs="宋体"/>
                <w:sz w:val="22"/>
                <w:szCs w:val="22"/>
                <w:highlight w:val="none"/>
              </w:rPr>
            </w:pPr>
            <w:r>
              <w:rPr>
                <w:rFonts w:hint="eastAsia" w:ascii="宋体" w:hAnsi="宋体" w:cs="宋体"/>
                <w:sz w:val="22"/>
                <w:szCs w:val="22"/>
                <w:highlight w:val="none"/>
              </w:rPr>
              <w:t>附件十三</w:t>
            </w:r>
          </w:p>
        </w:tc>
      </w:tr>
      <w:tr w14:paraId="23BC51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64" w:type="dxa"/>
            <w:vAlign w:val="center"/>
          </w:tcPr>
          <w:p w14:paraId="739347A0">
            <w:pPr>
              <w:jc w:val="center"/>
              <w:rPr>
                <w:rFonts w:ascii="宋体" w:hAnsi="宋体" w:cs="宋体"/>
                <w:sz w:val="22"/>
                <w:szCs w:val="22"/>
                <w:highlight w:val="none"/>
              </w:rPr>
            </w:pPr>
            <w:r>
              <w:rPr>
                <w:rFonts w:hint="eastAsia" w:ascii="宋体" w:hAnsi="宋体" w:cs="宋体"/>
                <w:sz w:val="22"/>
                <w:szCs w:val="22"/>
                <w:highlight w:val="none"/>
              </w:rPr>
              <w:t>5</w:t>
            </w:r>
          </w:p>
        </w:tc>
        <w:tc>
          <w:tcPr>
            <w:tcW w:w="6974" w:type="dxa"/>
            <w:shd w:val="clear" w:color="auto" w:fill="auto"/>
            <w:vAlign w:val="center"/>
          </w:tcPr>
          <w:p w14:paraId="7FC0DF5E">
            <w:pPr>
              <w:rPr>
                <w:rFonts w:ascii="宋体" w:hAnsi="宋体" w:cs="宋体"/>
                <w:bCs/>
                <w:color w:val="000000"/>
                <w:sz w:val="22"/>
                <w:szCs w:val="22"/>
                <w:highlight w:val="none"/>
              </w:rPr>
            </w:pPr>
            <w:r>
              <w:rPr>
                <w:rFonts w:hint="eastAsia" w:ascii="宋体" w:hAnsi="宋体" w:cs="宋体"/>
                <w:bCs/>
                <w:color w:val="000000"/>
                <w:sz w:val="22"/>
                <w:szCs w:val="22"/>
                <w:highlight w:val="none"/>
              </w:rPr>
              <w:t>技术方案（格式自拟）</w:t>
            </w:r>
          </w:p>
        </w:tc>
        <w:tc>
          <w:tcPr>
            <w:tcW w:w="1388" w:type="dxa"/>
            <w:vAlign w:val="center"/>
          </w:tcPr>
          <w:p w14:paraId="53C13931">
            <w:pPr>
              <w:jc w:val="center"/>
              <w:rPr>
                <w:rFonts w:ascii="宋体" w:hAnsi="宋体" w:cs="宋体"/>
                <w:sz w:val="22"/>
                <w:szCs w:val="22"/>
                <w:highlight w:val="none"/>
              </w:rPr>
            </w:pPr>
            <w:r>
              <w:rPr>
                <w:rFonts w:hint="eastAsia" w:ascii="宋体" w:hAnsi="宋体" w:cs="宋体"/>
                <w:sz w:val="22"/>
                <w:szCs w:val="22"/>
                <w:highlight w:val="none"/>
              </w:rPr>
              <w:t>附件十四</w:t>
            </w:r>
          </w:p>
        </w:tc>
      </w:tr>
      <w:tr w14:paraId="3E8500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64" w:type="dxa"/>
            <w:vAlign w:val="center"/>
          </w:tcPr>
          <w:p w14:paraId="3B075E0F">
            <w:pPr>
              <w:jc w:val="center"/>
              <w:rPr>
                <w:rFonts w:ascii="宋体" w:hAnsi="宋体" w:cs="宋体"/>
                <w:sz w:val="22"/>
                <w:szCs w:val="22"/>
                <w:highlight w:val="none"/>
              </w:rPr>
            </w:pPr>
            <w:r>
              <w:rPr>
                <w:rFonts w:hint="eastAsia" w:ascii="宋体" w:hAnsi="宋体" w:cs="宋体"/>
                <w:sz w:val="22"/>
                <w:szCs w:val="22"/>
                <w:highlight w:val="none"/>
              </w:rPr>
              <w:t>6</w:t>
            </w:r>
          </w:p>
        </w:tc>
        <w:tc>
          <w:tcPr>
            <w:tcW w:w="6974" w:type="dxa"/>
            <w:shd w:val="clear" w:color="auto" w:fill="auto"/>
            <w:vAlign w:val="center"/>
          </w:tcPr>
          <w:p w14:paraId="3EE80424">
            <w:pPr>
              <w:rPr>
                <w:rFonts w:ascii="宋体" w:hAnsi="宋体" w:cs="宋体"/>
                <w:bCs/>
                <w:color w:val="000000"/>
                <w:sz w:val="22"/>
                <w:szCs w:val="22"/>
                <w:highlight w:val="none"/>
              </w:rPr>
            </w:pPr>
            <w:r>
              <w:rPr>
                <w:rFonts w:hint="eastAsia" w:ascii="宋体" w:hAnsi="宋体" w:cs="宋体"/>
                <w:bCs/>
                <w:color w:val="000000"/>
                <w:sz w:val="22"/>
                <w:szCs w:val="22"/>
                <w:highlight w:val="none"/>
              </w:rPr>
              <w:t>施工安全专项方案（格式自拟）</w:t>
            </w:r>
          </w:p>
        </w:tc>
        <w:tc>
          <w:tcPr>
            <w:tcW w:w="1388" w:type="dxa"/>
            <w:vAlign w:val="center"/>
          </w:tcPr>
          <w:p w14:paraId="56C27950">
            <w:pPr>
              <w:jc w:val="center"/>
              <w:rPr>
                <w:rFonts w:ascii="宋体" w:hAnsi="宋体" w:cs="宋体"/>
                <w:bCs/>
                <w:sz w:val="22"/>
                <w:szCs w:val="22"/>
                <w:highlight w:val="none"/>
              </w:rPr>
            </w:pPr>
            <w:r>
              <w:rPr>
                <w:rFonts w:hint="eastAsia" w:ascii="宋体" w:hAnsi="宋体" w:cs="宋体"/>
                <w:sz w:val="22"/>
                <w:szCs w:val="22"/>
                <w:highlight w:val="none"/>
              </w:rPr>
              <w:t>附件十五</w:t>
            </w:r>
          </w:p>
        </w:tc>
      </w:tr>
      <w:tr w14:paraId="3988F8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64" w:type="dxa"/>
            <w:vAlign w:val="center"/>
          </w:tcPr>
          <w:p w14:paraId="1DAF610B">
            <w:pPr>
              <w:jc w:val="center"/>
              <w:rPr>
                <w:rFonts w:ascii="宋体" w:hAnsi="宋体" w:cs="宋体"/>
                <w:sz w:val="22"/>
                <w:szCs w:val="22"/>
                <w:highlight w:val="none"/>
              </w:rPr>
            </w:pPr>
            <w:r>
              <w:rPr>
                <w:rFonts w:hint="eastAsia" w:ascii="宋体" w:hAnsi="宋体" w:cs="宋体"/>
                <w:sz w:val="22"/>
                <w:szCs w:val="22"/>
                <w:highlight w:val="none"/>
              </w:rPr>
              <w:t>7</w:t>
            </w:r>
          </w:p>
        </w:tc>
        <w:tc>
          <w:tcPr>
            <w:tcW w:w="6974" w:type="dxa"/>
            <w:shd w:val="clear" w:color="auto" w:fill="auto"/>
            <w:vAlign w:val="center"/>
          </w:tcPr>
          <w:p w14:paraId="5D6C7744">
            <w:pPr>
              <w:rPr>
                <w:rFonts w:ascii="宋体" w:hAnsi="宋体" w:cs="宋体"/>
                <w:bCs/>
                <w:color w:val="000000"/>
                <w:sz w:val="22"/>
                <w:szCs w:val="22"/>
                <w:highlight w:val="none"/>
              </w:rPr>
            </w:pPr>
            <w:r>
              <w:rPr>
                <w:rFonts w:hint="eastAsia" w:ascii="宋体" w:hAnsi="宋体" w:cs="宋体"/>
                <w:bCs/>
                <w:color w:val="000000"/>
                <w:sz w:val="22"/>
                <w:szCs w:val="22"/>
                <w:highlight w:val="none"/>
              </w:rPr>
              <w:t>项目负责人业绩（格式自拟）</w:t>
            </w:r>
          </w:p>
        </w:tc>
        <w:tc>
          <w:tcPr>
            <w:tcW w:w="1388" w:type="dxa"/>
            <w:vAlign w:val="center"/>
          </w:tcPr>
          <w:p w14:paraId="0DAE4646">
            <w:pPr>
              <w:jc w:val="center"/>
              <w:rPr>
                <w:rFonts w:ascii="宋体" w:hAnsi="宋体" w:cs="宋体"/>
                <w:sz w:val="22"/>
                <w:szCs w:val="22"/>
                <w:highlight w:val="none"/>
              </w:rPr>
            </w:pPr>
            <w:r>
              <w:rPr>
                <w:rFonts w:hint="eastAsia" w:ascii="宋体" w:hAnsi="宋体" w:cs="宋体"/>
                <w:sz w:val="22"/>
                <w:szCs w:val="22"/>
                <w:highlight w:val="none"/>
              </w:rPr>
              <w:t>附件十六</w:t>
            </w:r>
          </w:p>
        </w:tc>
      </w:tr>
      <w:tr w14:paraId="02DDBB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64" w:type="dxa"/>
            <w:vAlign w:val="center"/>
          </w:tcPr>
          <w:p w14:paraId="08A090EA">
            <w:pPr>
              <w:jc w:val="center"/>
              <w:rPr>
                <w:rFonts w:ascii="宋体" w:hAnsi="宋体" w:cs="宋体"/>
                <w:sz w:val="22"/>
                <w:szCs w:val="22"/>
                <w:highlight w:val="none"/>
              </w:rPr>
            </w:pPr>
            <w:r>
              <w:rPr>
                <w:rFonts w:hint="eastAsia" w:ascii="宋体" w:hAnsi="宋体" w:cs="宋体"/>
                <w:sz w:val="22"/>
                <w:szCs w:val="22"/>
                <w:highlight w:val="none"/>
              </w:rPr>
              <w:t>8</w:t>
            </w:r>
          </w:p>
        </w:tc>
        <w:tc>
          <w:tcPr>
            <w:tcW w:w="6974" w:type="dxa"/>
            <w:shd w:val="clear" w:color="auto" w:fill="auto"/>
            <w:vAlign w:val="center"/>
          </w:tcPr>
          <w:p w14:paraId="17FC2EC4">
            <w:pPr>
              <w:rPr>
                <w:rFonts w:ascii="宋体" w:hAnsi="宋体" w:cs="宋体"/>
                <w:bCs/>
                <w:color w:val="000000"/>
                <w:sz w:val="22"/>
                <w:szCs w:val="22"/>
                <w:highlight w:val="none"/>
              </w:rPr>
            </w:pPr>
            <w:r>
              <w:rPr>
                <w:rFonts w:hint="eastAsia" w:ascii="宋体" w:hAnsi="宋体" w:cs="宋体"/>
                <w:bCs/>
                <w:color w:val="000000"/>
                <w:sz w:val="22"/>
                <w:szCs w:val="22"/>
                <w:highlight w:val="none"/>
              </w:rPr>
              <w:t>招标需求中要求提供的其他资料（格式自拟）</w:t>
            </w:r>
          </w:p>
        </w:tc>
        <w:tc>
          <w:tcPr>
            <w:tcW w:w="1388" w:type="dxa"/>
            <w:vAlign w:val="center"/>
          </w:tcPr>
          <w:p w14:paraId="5E5C8562">
            <w:pPr>
              <w:jc w:val="center"/>
              <w:rPr>
                <w:rFonts w:ascii="宋体" w:hAnsi="宋体" w:cs="宋体"/>
                <w:sz w:val="22"/>
                <w:szCs w:val="22"/>
                <w:highlight w:val="none"/>
              </w:rPr>
            </w:pPr>
            <w:r>
              <w:rPr>
                <w:rFonts w:hint="eastAsia" w:ascii="宋体" w:hAnsi="宋体" w:cs="宋体"/>
                <w:sz w:val="22"/>
                <w:szCs w:val="22"/>
                <w:highlight w:val="none"/>
              </w:rPr>
              <w:t>附件十七</w:t>
            </w:r>
          </w:p>
        </w:tc>
      </w:tr>
      <w:tr w14:paraId="2FD387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64" w:type="dxa"/>
            <w:vAlign w:val="center"/>
          </w:tcPr>
          <w:p w14:paraId="6764E126">
            <w:pPr>
              <w:jc w:val="center"/>
              <w:rPr>
                <w:rFonts w:ascii="宋体" w:hAnsi="宋体" w:cs="宋体"/>
                <w:sz w:val="22"/>
                <w:szCs w:val="22"/>
                <w:highlight w:val="none"/>
              </w:rPr>
            </w:pPr>
            <w:r>
              <w:rPr>
                <w:rFonts w:hint="eastAsia" w:ascii="宋体" w:hAnsi="宋体" w:cs="宋体"/>
                <w:sz w:val="22"/>
                <w:szCs w:val="22"/>
                <w:highlight w:val="none"/>
              </w:rPr>
              <w:t>9</w:t>
            </w:r>
          </w:p>
        </w:tc>
        <w:tc>
          <w:tcPr>
            <w:tcW w:w="6974" w:type="dxa"/>
            <w:shd w:val="clear" w:color="auto" w:fill="auto"/>
            <w:vAlign w:val="center"/>
          </w:tcPr>
          <w:p w14:paraId="278E4A48">
            <w:pPr>
              <w:rPr>
                <w:rFonts w:ascii="宋体" w:hAnsi="宋体" w:cs="宋体"/>
                <w:bCs/>
                <w:color w:val="000000"/>
                <w:sz w:val="22"/>
                <w:szCs w:val="22"/>
                <w:highlight w:val="none"/>
              </w:rPr>
            </w:pPr>
            <w:r>
              <w:rPr>
                <w:rFonts w:hint="eastAsia" w:ascii="宋体" w:hAnsi="宋体" w:cs="宋体"/>
                <w:bCs/>
                <w:color w:val="000000"/>
                <w:sz w:val="22"/>
                <w:szCs w:val="22"/>
                <w:highlight w:val="none"/>
              </w:rPr>
              <w:t>关键部件响应</w:t>
            </w:r>
          </w:p>
        </w:tc>
        <w:tc>
          <w:tcPr>
            <w:tcW w:w="1388" w:type="dxa"/>
            <w:vAlign w:val="center"/>
          </w:tcPr>
          <w:p w14:paraId="682C9C34">
            <w:pPr>
              <w:jc w:val="center"/>
              <w:rPr>
                <w:rFonts w:ascii="宋体" w:hAnsi="宋体" w:cs="宋体"/>
                <w:sz w:val="22"/>
                <w:szCs w:val="22"/>
                <w:highlight w:val="none"/>
              </w:rPr>
            </w:pPr>
            <w:r>
              <w:rPr>
                <w:rFonts w:hint="eastAsia" w:ascii="宋体" w:hAnsi="宋体" w:cs="宋体"/>
                <w:sz w:val="22"/>
                <w:szCs w:val="22"/>
                <w:highlight w:val="none"/>
              </w:rPr>
              <w:t>附件十八</w:t>
            </w:r>
          </w:p>
        </w:tc>
      </w:tr>
      <w:tr w14:paraId="52B623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64" w:type="dxa"/>
            <w:vAlign w:val="center"/>
          </w:tcPr>
          <w:p w14:paraId="68A5F5DF">
            <w:pPr>
              <w:jc w:val="center"/>
              <w:rPr>
                <w:rFonts w:ascii="宋体" w:hAnsi="宋体" w:cs="宋体"/>
                <w:sz w:val="22"/>
                <w:szCs w:val="22"/>
                <w:highlight w:val="none"/>
              </w:rPr>
            </w:pPr>
            <w:r>
              <w:rPr>
                <w:rFonts w:hint="eastAsia" w:ascii="宋体" w:hAnsi="宋体" w:cs="宋体"/>
                <w:sz w:val="22"/>
                <w:szCs w:val="22"/>
                <w:highlight w:val="none"/>
              </w:rPr>
              <w:t>10</w:t>
            </w:r>
          </w:p>
        </w:tc>
        <w:tc>
          <w:tcPr>
            <w:tcW w:w="6974" w:type="dxa"/>
            <w:shd w:val="clear" w:color="auto" w:fill="auto"/>
            <w:vAlign w:val="center"/>
          </w:tcPr>
          <w:p w14:paraId="7554E2D7">
            <w:pPr>
              <w:rPr>
                <w:rFonts w:ascii="宋体" w:hAnsi="宋体" w:cs="宋体"/>
                <w:bCs/>
                <w:color w:val="000000"/>
                <w:sz w:val="22"/>
                <w:szCs w:val="22"/>
                <w:highlight w:val="none"/>
              </w:rPr>
            </w:pPr>
            <w:r>
              <w:rPr>
                <w:rFonts w:hint="eastAsia" w:ascii="宋体" w:hAnsi="宋体" w:cs="宋体"/>
                <w:bCs/>
                <w:color w:val="000000"/>
                <w:sz w:val="22"/>
                <w:szCs w:val="22"/>
                <w:highlight w:val="none"/>
              </w:rPr>
              <w:t>人员配备（格式自拟）</w:t>
            </w:r>
          </w:p>
        </w:tc>
        <w:tc>
          <w:tcPr>
            <w:tcW w:w="1388" w:type="dxa"/>
            <w:vAlign w:val="center"/>
          </w:tcPr>
          <w:p w14:paraId="17A8E409">
            <w:pPr>
              <w:jc w:val="center"/>
              <w:rPr>
                <w:rFonts w:ascii="宋体" w:hAnsi="宋体" w:cs="宋体"/>
                <w:bCs/>
                <w:sz w:val="22"/>
                <w:szCs w:val="22"/>
                <w:highlight w:val="none"/>
              </w:rPr>
            </w:pPr>
            <w:r>
              <w:rPr>
                <w:rFonts w:hint="eastAsia" w:ascii="宋体" w:hAnsi="宋体" w:cs="宋体"/>
                <w:sz w:val="22"/>
                <w:szCs w:val="22"/>
                <w:highlight w:val="none"/>
              </w:rPr>
              <w:t>附件十九</w:t>
            </w:r>
          </w:p>
        </w:tc>
      </w:tr>
      <w:tr w14:paraId="65F9E9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64" w:type="dxa"/>
            <w:vAlign w:val="center"/>
          </w:tcPr>
          <w:p w14:paraId="10C46F2D">
            <w:pPr>
              <w:jc w:val="center"/>
              <w:rPr>
                <w:rFonts w:ascii="宋体" w:hAnsi="宋体" w:cs="宋体"/>
                <w:sz w:val="22"/>
                <w:szCs w:val="22"/>
                <w:highlight w:val="none"/>
              </w:rPr>
            </w:pPr>
            <w:r>
              <w:rPr>
                <w:rFonts w:hint="eastAsia" w:ascii="宋体" w:hAnsi="宋体" w:cs="宋体"/>
                <w:sz w:val="22"/>
                <w:szCs w:val="22"/>
                <w:highlight w:val="none"/>
              </w:rPr>
              <w:t>11</w:t>
            </w:r>
          </w:p>
        </w:tc>
        <w:tc>
          <w:tcPr>
            <w:tcW w:w="6974" w:type="dxa"/>
            <w:shd w:val="clear" w:color="auto" w:fill="auto"/>
            <w:vAlign w:val="center"/>
          </w:tcPr>
          <w:p w14:paraId="1151106C">
            <w:pPr>
              <w:rPr>
                <w:rFonts w:ascii="宋体" w:hAnsi="宋体" w:cs="宋体"/>
                <w:bCs/>
                <w:color w:val="000000"/>
                <w:sz w:val="22"/>
                <w:szCs w:val="22"/>
                <w:highlight w:val="none"/>
              </w:rPr>
            </w:pPr>
            <w:r>
              <w:rPr>
                <w:rFonts w:hint="eastAsia" w:ascii="宋体" w:hAnsi="宋体" w:cs="楷体"/>
                <w:bCs/>
                <w:sz w:val="22"/>
                <w:szCs w:val="22"/>
                <w:highlight w:val="none"/>
              </w:rPr>
              <w:t>质量保证服务计划、售后服务措施及承诺表</w:t>
            </w:r>
          </w:p>
        </w:tc>
        <w:tc>
          <w:tcPr>
            <w:tcW w:w="1388" w:type="dxa"/>
            <w:vAlign w:val="center"/>
          </w:tcPr>
          <w:p w14:paraId="164CDB98">
            <w:pPr>
              <w:jc w:val="center"/>
              <w:rPr>
                <w:rFonts w:ascii="宋体" w:hAnsi="宋体" w:cs="宋体"/>
                <w:sz w:val="22"/>
                <w:szCs w:val="22"/>
                <w:highlight w:val="none"/>
              </w:rPr>
            </w:pPr>
            <w:r>
              <w:rPr>
                <w:rFonts w:hint="eastAsia" w:ascii="宋体" w:hAnsi="宋体" w:cs="宋体"/>
                <w:sz w:val="22"/>
                <w:szCs w:val="22"/>
                <w:highlight w:val="none"/>
              </w:rPr>
              <w:t>附件二十</w:t>
            </w:r>
          </w:p>
        </w:tc>
      </w:tr>
      <w:tr w14:paraId="47C61F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64" w:type="dxa"/>
            <w:vAlign w:val="center"/>
          </w:tcPr>
          <w:p w14:paraId="4AB3AF63">
            <w:pPr>
              <w:jc w:val="center"/>
              <w:rPr>
                <w:rFonts w:ascii="宋体" w:hAnsi="宋体" w:cs="宋体"/>
                <w:sz w:val="22"/>
                <w:szCs w:val="22"/>
                <w:highlight w:val="none"/>
              </w:rPr>
            </w:pPr>
            <w:r>
              <w:rPr>
                <w:rFonts w:hint="eastAsia" w:ascii="宋体" w:hAnsi="宋体" w:cs="宋体"/>
                <w:sz w:val="22"/>
                <w:szCs w:val="22"/>
                <w:highlight w:val="none"/>
              </w:rPr>
              <w:t>12</w:t>
            </w:r>
          </w:p>
        </w:tc>
        <w:tc>
          <w:tcPr>
            <w:tcW w:w="6974" w:type="dxa"/>
            <w:shd w:val="clear" w:color="auto" w:fill="auto"/>
            <w:vAlign w:val="center"/>
          </w:tcPr>
          <w:p w14:paraId="675E9122">
            <w:pPr>
              <w:widowControl/>
              <w:rPr>
                <w:rFonts w:ascii="宋体" w:hAnsi="宋体" w:cs="宋体"/>
                <w:sz w:val="22"/>
                <w:szCs w:val="22"/>
                <w:highlight w:val="none"/>
              </w:rPr>
            </w:pPr>
            <w:r>
              <w:rPr>
                <w:rFonts w:hint="eastAsia" w:ascii="宋体" w:hAnsi="宋体" w:cs="宋体"/>
                <w:sz w:val="22"/>
                <w:szCs w:val="22"/>
                <w:highlight w:val="none"/>
              </w:rPr>
              <w:t>投标人需要特别说明的其他文件（格式自拟，加盖公章）</w:t>
            </w:r>
          </w:p>
        </w:tc>
        <w:tc>
          <w:tcPr>
            <w:tcW w:w="1388" w:type="dxa"/>
            <w:vAlign w:val="center"/>
          </w:tcPr>
          <w:p w14:paraId="49B8D7A6">
            <w:pPr>
              <w:jc w:val="center"/>
              <w:rPr>
                <w:rFonts w:ascii="宋体" w:hAnsi="宋体" w:cs="宋体"/>
                <w:sz w:val="22"/>
                <w:szCs w:val="22"/>
                <w:highlight w:val="none"/>
              </w:rPr>
            </w:pPr>
          </w:p>
        </w:tc>
      </w:tr>
    </w:tbl>
    <w:p w14:paraId="310D93B4">
      <w:pPr>
        <w:numPr>
          <w:ilvl w:val="255"/>
          <w:numId w:val="0"/>
        </w:numPr>
        <w:spacing w:line="440" w:lineRule="exact"/>
        <w:ind w:left="9" w:hanging="9" w:hangingChars="4"/>
        <w:rPr>
          <w:rFonts w:ascii="宋体" w:hAnsi="宋体" w:cs="宋体"/>
          <w:sz w:val="22"/>
          <w:szCs w:val="22"/>
          <w:highlight w:val="none"/>
        </w:rPr>
      </w:pPr>
      <w:r>
        <w:rPr>
          <w:rFonts w:hint="eastAsia" w:ascii="宋体" w:hAnsi="宋体" w:cs="宋体"/>
          <w:b/>
          <w:sz w:val="22"/>
          <w:szCs w:val="22"/>
          <w:highlight w:val="none"/>
        </w:rPr>
        <w:t>说明：</w:t>
      </w:r>
      <w:r>
        <w:rPr>
          <w:rFonts w:hint="eastAsia" w:ascii="宋体" w:hAnsi="宋体" w:cs="宋体"/>
          <w:kern w:val="0"/>
          <w:sz w:val="22"/>
          <w:szCs w:val="22"/>
          <w:highlight w:val="none"/>
          <w:lang w:val="zh-CN"/>
        </w:rPr>
        <w:t>投标人可根据招标文件中的招标需求及要求以及</w:t>
      </w:r>
      <w:r>
        <w:rPr>
          <w:rFonts w:hint="eastAsia" w:ascii="宋体" w:hAnsi="宋体" w:cs="宋体"/>
          <w:sz w:val="22"/>
          <w:szCs w:val="22"/>
          <w:highlight w:val="none"/>
        </w:rPr>
        <w:t>商务技术标评审标准</w:t>
      </w:r>
      <w:r>
        <w:rPr>
          <w:rFonts w:hint="eastAsia" w:ascii="宋体" w:hAnsi="宋体" w:cs="宋体"/>
          <w:kern w:val="0"/>
          <w:sz w:val="22"/>
          <w:szCs w:val="22"/>
          <w:highlight w:val="none"/>
          <w:lang w:val="zh-CN"/>
        </w:rPr>
        <w:t>，提供投标人认为需要提供的文件和资料。</w:t>
      </w:r>
    </w:p>
    <w:p w14:paraId="502B1EF2">
      <w:pPr>
        <w:numPr>
          <w:ilvl w:val="255"/>
          <w:numId w:val="0"/>
        </w:numPr>
        <w:spacing w:line="440" w:lineRule="exact"/>
        <w:ind w:left="178"/>
        <w:rPr>
          <w:rFonts w:ascii="宋体" w:hAnsi="宋体" w:cs="宋体"/>
          <w:b/>
          <w:sz w:val="22"/>
          <w:szCs w:val="22"/>
          <w:highlight w:val="none"/>
        </w:rPr>
      </w:pPr>
      <w:r>
        <w:rPr>
          <w:rFonts w:hint="eastAsia" w:ascii="宋体" w:hAnsi="宋体" w:cs="宋体"/>
          <w:b/>
          <w:sz w:val="22"/>
          <w:szCs w:val="22"/>
          <w:highlight w:val="none"/>
        </w:rPr>
        <w:t>（3）价格标</w:t>
      </w:r>
    </w:p>
    <w:tbl>
      <w:tblPr>
        <w:tblStyle w:val="30"/>
        <w:tblW w:w="922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6"/>
        <w:gridCol w:w="7170"/>
        <w:gridCol w:w="1400"/>
      </w:tblGrid>
      <w:tr w14:paraId="6B9CD6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56" w:type="dxa"/>
            <w:vAlign w:val="center"/>
          </w:tcPr>
          <w:p w14:paraId="3A832ACC">
            <w:pPr>
              <w:jc w:val="center"/>
              <w:rPr>
                <w:rFonts w:ascii="宋体" w:hAnsi="宋体" w:cs="宋体"/>
                <w:bCs/>
                <w:sz w:val="22"/>
                <w:szCs w:val="22"/>
                <w:highlight w:val="none"/>
              </w:rPr>
            </w:pPr>
            <w:r>
              <w:rPr>
                <w:rFonts w:hint="eastAsia" w:ascii="宋体" w:hAnsi="宋体" w:cs="宋体"/>
                <w:bCs/>
                <w:sz w:val="22"/>
                <w:szCs w:val="22"/>
                <w:highlight w:val="none"/>
              </w:rPr>
              <w:t>序号</w:t>
            </w:r>
          </w:p>
        </w:tc>
        <w:tc>
          <w:tcPr>
            <w:tcW w:w="7170" w:type="dxa"/>
            <w:vAlign w:val="center"/>
          </w:tcPr>
          <w:p w14:paraId="6C1015A3">
            <w:pPr>
              <w:jc w:val="center"/>
              <w:rPr>
                <w:rFonts w:ascii="宋体" w:hAnsi="宋体" w:cs="宋体"/>
                <w:bCs/>
                <w:sz w:val="22"/>
                <w:szCs w:val="22"/>
                <w:highlight w:val="none"/>
              </w:rPr>
            </w:pPr>
            <w:r>
              <w:rPr>
                <w:rFonts w:hint="eastAsia" w:ascii="宋体" w:hAnsi="宋体" w:cs="宋体"/>
                <w:bCs/>
                <w:sz w:val="22"/>
                <w:szCs w:val="22"/>
                <w:highlight w:val="none"/>
              </w:rPr>
              <w:t>内容</w:t>
            </w:r>
          </w:p>
        </w:tc>
        <w:tc>
          <w:tcPr>
            <w:tcW w:w="1400" w:type="dxa"/>
            <w:vAlign w:val="center"/>
          </w:tcPr>
          <w:p w14:paraId="7A23CDBA">
            <w:pPr>
              <w:jc w:val="center"/>
              <w:rPr>
                <w:rFonts w:ascii="宋体" w:hAnsi="宋体" w:cs="宋体"/>
                <w:bCs/>
                <w:sz w:val="22"/>
                <w:szCs w:val="22"/>
                <w:highlight w:val="none"/>
              </w:rPr>
            </w:pPr>
            <w:r>
              <w:rPr>
                <w:rFonts w:hint="eastAsia" w:ascii="宋体" w:hAnsi="宋体" w:cs="宋体"/>
                <w:bCs/>
                <w:sz w:val="22"/>
                <w:szCs w:val="22"/>
                <w:highlight w:val="none"/>
              </w:rPr>
              <w:t>备注</w:t>
            </w:r>
          </w:p>
        </w:tc>
      </w:tr>
      <w:tr w14:paraId="56F555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56" w:type="dxa"/>
            <w:vAlign w:val="center"/>
          </w:tcPr>
          <w:p w14:paraId="7E823207">
            <w:pPr>
              <w:jc w:val="center"/>
              <w:rPr>
                <w:rFonts w:ascii="宋体" w:hAnsi="宋体" w:cs="宋体"/>
                <w:bCs/>
                <w:sz w:val="22"/>
                <w:szCs w:val="22"/>
                <w:highlight w:val="none"/>
              </w:rPr>
            </w:pPr>
            <w:r>
              <w:rPr>
                <w:rFonts w:hint="eastAsia" w:ascii="宋体" w:hAnsi="宋体" w:cs="宋体"/>
                <w:bCs/>
                <w:sz w:val="22"/>
                <w:szCs w:val="22"/>
                <w:highlight w:val="none"/>
              </w:rPr>
              <w:t>1</w:t>
            </w:r>
          </w:p>
        </w:tc>
        <w:tc>
          <w:tcPr>
            <w:tcW w:w="7170" w:type="dxa"/>
            <w:vAlign w:val="center"/>
          </w:tcPr>
          <w:p w14:paraId="26B00622">
            <w:pPr>
              <w:rPr>
                <w:rFonts w:ascii="宋体" w:hAnsi="宋体" w:cs="宋体"/>
                <w:bCs/>
                <w:sz w:val="22"/>
                <w:szCs w:val="22"/>
                <w:highlight w:val="none"/>
              </w:rPr>
            </w:pPr>
            <w:r>
              <w:rPr>
                <w:rFonts w:hint="eastAsia" w:ascii="宋体" w:hAnsi="宋体" w:cs="宋体"/>
                <w:bCs/>
                <w:sz w:val="22"/>
                <w:szCs w:val="22"/>
                <w:highlight w:val="none"/>
              </w:rPr>
              <w:t>投标报价一览表</w:t>
            </w:r>
          </w:p>
        </w:tc>
        <w:tc>
          <w:tcPr>
            <w:tcW w:w="1400" w:type="dxa"/>
            <w:vAlign w:val="center"/>
          </w:tcPr>
          <w:p w14:paraId="090BF2C4">
            <w:pPr>
              <w:jc w:val="center"/>
              <w:rPr>
                <w:rFonts w:ascii="宋体" w:hAnsi="宋体" w:cs="宋体"/>
                <w:bCs/>
                <w:sz w:val="22"/>
                <w:szCs w:val="22"/>
                <w:highlight w:val="none"/>
              </w:rPr>
            </w:pPr>
            <w:r>
              <w:rPr>
                <w:rFonts w:hint="eastAsia" w:ascii="宋体" w:hAnsi="宋体" w:cs="宋体"/>
                <w:bCs/>
                <w:sz w:val="22"/>
                <w:szCs w:val="22"/>
                <w:highlight w:val="none"/>
              </w:rPr>
              <w:t>附件二十一</w:t>
            </w:r>
          </w:p>
        </w:tc>
      </w:tr>
      <w:tr w14:paraId="000D0B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56" w:type="dxa"/>
            <w:vAlign w:val="center"/>
          </w:tcPr>
          <w:p w14:paraId="730E67A3">
            <w:pPr>
              <w:jc w:val="center"/>
              <w:rPr>
                <w:rFonts w:ascii="宋体" w:hAnsi="宋体" w:cs="宋体"/>
                <w:bCs/>
                <w:sz w:val="22"/>
                <w:szCs w:val="22"/>
                <w:highlight w:val="none"/>
              </w:rPr>
            </w:pPr>
            <w:bookmarkStart w:id="48" w:name="_Toc50128391"/>
            <w:bookmarkStart w:id="49" w:name="_Toc527495473"/>
            <w:bookmarkStart w:id="50" w:name="_Toc14400"/>
            <w:r>
              <w:rPr>
                <w:rFonts w:hint="eastAsia" w:ascii="宋体" w:hAnsi="宋体" w:cs="宋体"/>
                <w:bCs/>
                <w:sz w:val="22"/>
                <w:szCs w:val="22"/>
                <w:highlight w:val="none"/>
              </w:rPr>
              <w:t>2</w:t>
            </w:r>
          </w:p>
        </w:tc>
        <w:tc>
          <w:tcPr>
            <w:tcW w:w="7170" w:type="dxa"/>
            <w:vAlign w:val="center"/>
          </w:tcPr>
          <w:p w14:paraId="3C300B1C">
            <w:pPr>
              <w:rPr>
                <w:rFonts w:ascii="宋体" w:hAnsi="宋体" w:cs="宋体"/>
                <w:bCs/>
                <w:sz w:val="22"/>
                <w:szCs w:val="22"/>
                <w:highlight w:val="none"/>
              </w:rPr>
            </w:pPr>
            <w:r>
              <w:rPr>
                <w:rFonts w:hint="eastAsia" w:ascii="宋体" w:hAnsi="宋体" w:cs="宋体"/>
                <w:bCs/>
                <w:sz w:val="22"/>
                <w:szCs w:val="22"/>
                <w:highlight w:val="none"/>
              </w:rPr>
              <w:t>分项报价表</w:t>
            </w:r>
          </w:p>
        </w:tc>
        <w:tc>
          <w:tcPr>
            <w:tcW w:w="1400" w:type="dxa"/>
            <w:vAlign w:val="center"/>
          </w:tcPr>
          <w:p w14:paraId="13F1E69F">
            <w:pPr>
              <w:jc w:val="center"/>
              <w:rPr>
                <w:rFonts w:ascii="宋体" w:hAnsi="宋体" w:cs="宋体"/>
                <w:bCs/>
                <w:sz w:val="22"/>
                <w:szCs w:val="22"/>
                <w:highlight w:val="none"/>
              </w:rPr>
            </w:pPr>
            <w:r>
              <w:rPr>
                <w:rFonts w:hint="eastAsia" w:ascii="宋体" w:hAnsi="宋体" w:cs="宋体"/>
                <w:bCs/>
                <w:sz w:val="22"/>
                <w:szCs w:val="22"/>
                <w:highlight w:val="none"/>
              </w:rPr>
              <w:t>附件二十二</w:t>
            </w:r>
          </w:p>
        </w:tc>
      </w:tr>
    </w:tbl>
    <w:p w14:paraId="4CC5256A">
      <w:pPr>
        <w:pStyle w:val="10"/>
        <w:spacing w:line="440" w:lineRule="exact"/>
        <w:ind w:firstLine="442" w:firstLineChars="200"/>
        <w:rPr>
          <w:rFonts w:ascii="宋体" w:hAnsi="宋体" w:cs="宋体"/>
          <w:b/>
          <w:color w:val="000000"/>
          <w:sz w:val="22"/>
          <w:szCs w:val="22"/>
          <w:highlight w:val="none"/>
        </w:rPr>
      </w:pPr>
      <w:r>
        <w:rPr>
          <w:rFonts w:hint="eastAsia" w:ascii="宋体" w:hAnsi="宋体" w:cs="宋体"/>
          <w:b/>
          <w:bCs/>
          <w:color w:val="000000"/>
          <w:sz w:val="22"/>
          <w:szCs w:val="22"/>
          <w:highlight w:val="none"/>
        </w:rPr>
        <w:t>★注：投标函、法定代表人授权委托书（或</w:t>
      </w:r>
      <w:r>
        <w:rPr>
          <w:rFonts w:hint="eastAsia" w:ascii="宋体" w:hAnsi="宋体" w:cs="宋体"/>
          <w:b/>
          <w:bCs/>
          <w:sz w:val="22"/>
          <w:szCs w:val="22"/>
          <w:highlight w:val="none"/>
        </w:rPr>
        <w:t>法定代表人资格证明书</w:t>
      </w:r>
      <w:r>
        <w:rPr>
          <w:rFonts w:hint="eastAsia" w:ascii="宋体" w:hAnsi="宋体" w:cs="宋体"/>
          <w:b/>
          <w:bCs/>
          <w:color w:val="000000"/>
          <w:sz w:val="22"/>
          <w:szCs w:val="22"/>
          <w:highlight w:val="none"/>
        </w:rPr>
        <w:t>）、投标声明书、各类承诺函、投标报价一览表</w:t>
      </w:r>
      <w:r>
        <w:rPr>
          <w:rFonts w:hint="eastAsia" w:ascii="宋体" w:hAnsi="宋体" w:cs="宋体"/>
          <w:b/>
          <w:color w:val="000000"/>
          <w:sz w:val="22"/>
          <w:szCs w:val="22"/>
          <w:highlight w:val="none"/>
        </w:rPr>
        <w:t>必须加盖单位公章。</w:t>
      </w:r>
      <w:bookmarkEnd w:id="48"/>
      <w:bookmarkEnd w:id="49"/>
    </w:p>
    <w:p w14:paraId="028A974A">
      <w:pPr>
        <w:snapToGrid w:val="0"/>
        <w:spacing w:line="440" w:lineRule="exact"/>
        <w:ind w:firstLine="440" w:firstLineChars="200"/>
        <w:jc w:val="left"/>
        <w:rPr>
          <w:rFonts w:ascii="宋体" w:hAnsi="宋体" w:cs="宋体"/>
          <w:color w:val="000000"/>
          <w:sz w:val="22"/>
          <w:szCs w:val="22"/>
          <w:highlight w:val="none"/>
        </w:rPr>
      </w:pPr>
      <w:bookmarkStart w:id="51" w:name="_Toc527495474"/>
      <w:bookmarkStart w:id="52" w:name="_Toc50128392"/>
      <w:r>
        <w:rPr>
          <w:rFonts w:hint="eastAsia" w:ascii="宋体" w:hAnsi="宋体" w:cs="宋体"/>
          <w:color w:val="000000"/>
          <w:sz w:val="22"/>
          <w:szCs w:val="22"/>
          <w:highlight w:val="none"/>
        </w:rPr>
        <w:t>（二）投标文件的语言及计量</w:t>
      </w:r>
      <w:bookmarkEnd w:id="50"/>
      <w:bookmarkEnd w:id="51"/>
      <w:bookmarkEnd w:id="52"/>
    </w:p>
    <w:p w14:paraId="22BB210E">
      <w:pPr>
        <w:snapToGrid w:val="0"/>
        <w:spacing w:line="440" w:lineRule="exact"/>
        <w:ind w:firstLine="440" w:firstLineChars="200"/>
        <w:jc w:val="left"/>
        <w:rPr>
          <w:rFonts w:ascii="宋体" w:hAnsi="宋体" w:cs="宋体"/>
          <w:color w:val="000000"/>
          <w:sz w:val="22"/>
          <w:szCs w:val="22"/>
          <w:highlight w:val="none"/>
        </w:rPr>
      </w:pPr>
      <w:r>
        <w:rPr>
          <w:rFonts w:hint="eastAsia" w:ascii="宋体" w:hAnsi="宋体" w:cs="宋体"/>
          <w:color w:val="000000"/>
          <w:sz w:val="22"/>
          <w:szCs w:val="22"/>
          <w:highlight w:val="none"/>
        </w:rPr>
        <w:t>★1.投标文件以及投标人与招标人就关投标事宜的所有来往函电，均应以中文汉语书写。除签名、盖章、专用名称等特殊情形外，以中文汉语以外的文字表述的投标文件视同未提供。</w:t>
      </w:r>
    </w:p>
    <w:p w14:paraId="1E0CCEDE">
      <w:pPr>
        <w:snapToGrid w:val="0"/>
        <w:spacing w:line="440" w:lineRule="exact"/>
        <w:ind w:firstLine="440" w:firstLineChars="200"/>
        <w:jc w:val="left"/>
        <w:rPr>
          <w:rFonts w:ascii="宋体" w:hAnsi="宋体" w:cs="宋体"/>
          <w:color w:val="000000"/>
          <w:sz w:val="22"/>
          <w:szCs w:val="22"/>
          <w:highlight w:val="none"/>
        </w:rPr>
      </w:pPr>
      <w:r>
        <w:rPr>
          <w:rFonts w:hint="eastAsia" w:ascii="宋体" w:hAnsi="宋体" w:cs="宋体"/>
          <w:color w:val="000000"/>
          <w:sz w:val="22"/>
          <w:szCs w:val="22"/>
          <w:highlight w:val="none"/>
        </w:rPr>
        <w:t>★2.投标计量单位，招标文件已有明确规定的，使用招标文件规定的计量单位；招标文件没有规定的，应采用中华人民共和国法定计量单位（例如货币单位：人民币元），否则视同未响应。</w:t>
      </w:r>
    </w:p>
    <w:p w14:paraId="06221B23">
      <w:pPr>
        <w:snapToGrid w:val="0"/>
        <w:spacing w:line="440" w:lineRule="exact"/>
        <w:ind w:firstLine="442" w:firstLineChars="200"/>
        <w:jc w:val="left"/>
        <w:rPr>
          <w:rFonts w:ascii="宋体" w:hAnsi="宋体" w:cs="宋体"/>
          <w:b/>
          <w:color w:val="000000"/>
          <w:sz w:val="22"/>
          <w:szCs w:val="22"/>
          <w:highlight w:val="none"/>
        </w:rPr>
      </w:pPr>
      <w:bookmarkStart w:id="53" w:name="_Toc30109"/>
      <w:bookmarkStart w:id="54" w:name="_Toc527495475"/>
      <w:bookmarkStart w:id="55" w:name="_Toc50128393"/>
      <w:r>
        <w:rPr>
          <w:rFonts w:hint="eastAsia" w:ascii="宋体" w:hAnsi="宋体" w:cs="宋体"/>
          <w:b/>
          <w:color w:val="000000"/>
          <w:sz w:val="22"/>
          <w:szCs w:val="22"/>
          <w:highlight w:val="none"/>
        </w:rPr>
        <w:t>（三）投标报价</w:t>
      </w:r>
      <w:bookmarkEnd w:id="53"/>
      <w:bookmarkEnd w:id="54"/>
      <w:bookmarkEnd w:id="55"/>
    </w:p>
    <w:p w14:paraId="5C81D642">
      <w:pPr>
        <w:snapToGrid w:val="0"/>
        <w:spacing w:line="440" w:lineRule="exact"/>
        <w:ind w:firstLine="442" w:firstLineChars="200"/>
        <w:jc w:val="left"/>
        <w:rPr>
          <w:rFonts w:ascii="宋体" w:hAnsi="宋体" w:cs="宋体"/>
          <w:b/>
          <w:color w:val="000000"/>
          <w:sz w:val="22"/>
          <w:szCs w:val="22"/>
          <w:highlight w:val="none"/>
        </w:rPr>
      </w:pPr>
      <w:bookmarkStart w:id="56" w:name="_Toc527495476"/>
      <w:bookmarkStart w:id="57" w:name="_Toc26553"/>
      <w:bookmarkStart w:id="58" w:name="_Toc50128394"/>
      <w:r>
        <w:rPr>
          <w:rFonts w:hint="eastAsia" w:ascii="宋体" w:hAnsi="宋体" w:cs="宋体"/>
          <w:b/>
          <w:color w:val="000000"/>
          <w:sz w:val="22"/>
          <w:szCs w:val="22"/>
          <w:highlight w:val="none"/>
        </w:rPr>
        <w:t>1.投标报价应按招标文件中相关附表格式填写。</w:t>
      </w:r>
      <w:bookmarkEnd w:id="56"/>
      <w:bookmarkEnd w:id="57"/>
      <w:bookmarkEnd w:id="58"/>
    </w:p>
    <w:p w14:paraId="583D3C9A">
      <w:pPr>
        <w:snapToGrid w:val="0"/>
        <w:spacing w:line="440" w:lineRule="exact"/>
        <w:ind w:firstLine="442" w:firstLineChars="200"/>
        <w:jc w:val="left"/>
        <w:rPr>
          <w:rFonts w:ascii="宋体" w:hAnsi="宋体" w:cs="宋体"/>
          <w:b/>
          <w:color w:val="000000"/>
          <w:sz w:val="22"/>
          <w:szCs w:val="22"/>
          <w:highlight w:val="none"/>
        </w:rPr>
      </w:pPr>
      <w:bookmarkStart w:id="59" w:name="_Toc527495477"/>
      <w:bookmarkStart w:id="60" w:name="_Toc27262"/>
      <w:r>
        <w:rPr>
          <w:rFonts w:hint="eastAsia" w:ascii="宋体" w:hAnsi="宋体" w:cs="宋体"/>
          <w:b/>
          <w:color w:val="000000"/>
          <w:sz w:val="22"/>
          <w:szCs w:val="22"/>
          <w:highlight w:val="none"/>
        </w:rPr>
        <w:t>★2.</w:t>
      </w:r>
      <w:bookmarkEnd w:id="59"/>
      <w:bookmarkEnd w:id="60"/>
      <w:r>
        <w:rPr>
          <w:rFonts w:hint="eastAsia" w:ascii="宋体" w:hAnsi="宋体" w:cs="宋体"/>
          <w:b/>
          <w:color w:val="000000"/>
          <w:sz w:val="22"/>
          <w:szCs w:val="22"/>
          <w:highlight w:val="none"/>
        </w:rPr>
        <w:t>本项目为交钥匙工程，本次报价是包含招标文件规定的完成本项目所需的人工费、材料费、汽车吊租赁费、保险费、调试、施工方案审查费、检测检验费、13%增值税税金及项目涉及的一切服务和辅材等全部工作的总费用（含平台交易服务费）。现场安装、调试所需叉车、用电、用水、齿轮油、锂基脂均不含在投标报价内，由招标人负</w:t>
      </w:r>
      <w:r>
        <w:rPr>
          <w:rFonts w:hint="eastAsia" w:ascii="宋体" w:hAnsi="宋体" w:cs="宋体"/>
          <w:b/>
          <w:color w:val="000000"/>
          <w:sz w:val="22"/>
          <w:szCs w:val="22"/>
          <w:highlight w:val="none"/>
          <w:lang w:val="en-US" w:eastAsia="zh-CN"/>
        </w:rPr>
        <w:t>责</w:t>
      </w:r>
      <w:r>
        <w:rPr>
          <w:rFonts w:hint="eastAsia" w:ascii="宋体" w:hAnsi="宋体" w:cs="宋体"/>
          <w:b/>
          <w:color w:val="000000"/>
          <w:sz w:val="22"/>
          <w:szCs w:val="22"/>
          <w:highlight w:val="none"/>
        </w:rPr>
        <w:t>。招标人不再另行支付其它任何费用。</w:t>
      </w:r>
    </w:p>
    <w:p w14:paraId="2616B3D3">
      <w:pPr>
        <w:snapToGrid w:val="0"/>
        <w:spacing w:line="440" w:lineRule="exact"/>
        <w:ind w:firstLine="442" w:firstLineChars="200"/>
        <w:jc w:val="left"/>
        <w:rPr>
          <w:rFonts w:ascii="宋体" w:hAnsi="宋体" w:cs="宋体"/>
          <w:b/>
          <w:color w:val="000000"/>
          <w:sz w:val="22"/>
          <w:szCs w:val="22"/>
          <w:highlight w:val="none"/>
        </w:rPr>
      </w:pPr>
      <w:bookmarkStart w:id="61" w:name="_Toc50128396"/>
      <w:bookmarkStart w:id="62" w:name="_Toc4050"/>
      <w:bookmarkStart w:id="63" w:name="_Toc527495478"/>
      <w:r>
        <w:rPr>
          <w:rFonts w:hint="eastAsia" w:ascii="宋体" w:hAnsi="宋体" w:cs="宋体"/>
          <w:b/>
          <w:color w:val="000000"/>
          <w:sz w:val="22"/>
          <w:szCs w:val="22"/>
          <w:highlight w:val="none"/>
        </w:rPr>
        <w:t>★3.投标文件只允许有一个投标价，有选择的或有条件的报价将不予接受。</w:t>
      </w:r>
      <w:bookmarkEnd w:id="61"/>
      <w:bookmarkEnd w:id="62"/>
      <w:bookmarkEnd w:id="63"/>
    </w:p>
    <w:p w14:paraId="352C4349">
      <w:pPr>
        <w:snapToGrid w:val="0"/>
        <w:spacing w:line="440" w:lineRule="exact"/>
        <w:ind w:firstLine="442" w:firstLineChars="200"/>
        <w:jc w:val="left"/>
        <w:rPr>
          <w:rFonts w:ascii="宋体" w:hAnsi="宋体" w:cs="宋体"/>
          <w:b/>
          <w:color w:val="000000"/>
          <w:sz w:val="22"/>
          <w:szCs w:val="22"/>
          <w:highlight w:val="none"/>
        </w:rPr>
      </w:pPr>
      <w:r>
        <w:rPr>
          <w:rFonts w:hint="eastAsia" w:ascii="宋体" w:hAnsi="宋体" w:cs="宋体"/>
          <w:b/>
          <w:color w:val="000000"/>
          <w:sz w:val="22"/>
          <w:szCs w:val="22"/>
          <w:highlight w:val="none"/>
        </w:rPr>
        <w:t>★投标报价报出后，投标人不得以任何理由予以变更。任何包含价格调整的要求，将被认为是非实质性响应投标而予以拒绝。</w:t>
      </w:r>
    </w:p>
    <w:p w14:paraId="2F1C5761">
      <w:pPr>
        <w:spacing w:line="440" w:lineRule="exact"/>
        <w:ind w:firstLine="442" w:firstLineChars="200"/>
        <w:rPr>
          <w:rFonts w:ascii="宋体" w:hAnsi="宋体" w:cs="宋体"/>
          <w:b/>
          <w:color w:val="000000"/>
          <w:sz w:val="22"/>
          <w:szCs w:val="22"/>
          <w:highlight w:val="none"/>
        </w:rPr>
      </w:pPr>
      <w:bookmarkStart w:id="64" w:name="_Toc50128397"/>
      <w:bookmarkStart w:id="65" w:name="_Toc527495479"/>
      <w:bookmarkStart w:id="66" w:name="_Toc11291"/>
      <w:r>
        <w:rPr>
          <w:rFonts w:hint="eastAsia" w:ascii="宋体" w:hAnsi="宋体" w:cs="宋体"/>
          <w:b/>
          <w:color w:val="000000"/>
          <w:sz w:val="22"/>
          <w:szCs w:val="22"/>
          <w:highlight w:val="none"/>
        </w:rPr>
        <w:t>（四）投标文件的有效期</w:t>
      </w:r>
      <w:bookmarkEnd w:id="64"/>
      <w:bookmarkEnd w:id="65"/>
      <w:bookmarkEnd w:id="66"/>
    </w:p>
    <w:p w14:paraId="6B96CC74">
      <w:pPr>
        <w:pStyle w:val="6"/>
        <w:numPr>
          <w:ilvl w:val="0"/>
          <w:numId w:val="0"/>
        </w:numPr>
        <w:snapToGrid w:val="0"/>
        <w:spacing w:line="440" w:lineRule="exact"/>
        <w:ind w:firstLine="442" w:firstLineChars="200"/>
        <w:rPr>
          <w:rFonts w:ascii="宋体" w:hAnsi="宋体" w:cs="宋体"/>
          <w:b/>
          <w:color w:val="000000"/>
          <w:sz w:val="22"/>
          <w:szCs w:val="22"/>
          <w:highlight w:val="none"/>
        </w:rPr>
      </w:pPr>
      <w:r>
        <w:rPr>
          <w:rFonts w:hint="eastAsia" w:ascii="宋体" w:hAnsi="宋体" w:cs="宋体"/>
          <w:b/>
          <w:color w:val="000000"/>
          <w:sz w:val="22"/>
          <w:szCs w:val="22"/>
          <w:highlight w:val="none"/>
        </w:rPr>
        <w:t>★1.自投标截止日起</w:t>
      </w:r>
      <w:r>
        <w:rPr>
          <w:rFonts w:hint="eastAsia" w:ascii="宋体" w:hAnsi="宋体" w:cs="宋体"/>
          <w:b/>
          <w:color w:val="000000"/>
          <w:sz w:val="22"/>
          <w:szCs w:val="22"/>
          <w:highlight w:val="none"/>
          <w:u w:val="single"/>
        </w:rPr>
        <w:t>90</w:t>
      </w:r>
      <w:r>
        <w:rPr>
          <w:rFonts w:hint="eastAsia" w:ascii="宋体" w:hAnsi="宋体" w:cs="宋体"/>
          <w:b/>
          <w:color w:val="000000"/>
          <w:sz w:val="22"/>
          <w:szCs w:val="22"/>
          <w:highlight w:val="none"/>
        </w:rPr>
        <w:t>日投标文件应保持有效。有效期不足的投标文件将被拒绝。</w:t>
      </w:r>
    </w:p>
    <w:p w14:paraId="05D2C156">
      <w:pPr>
        <w:snapToGrid w:val="0"/>
        <w:spacing w:line="440" w:lineRule="exact"/>
        <w:ind w:firstLine="440" w:firstLineChars="200"/>
        <w:jc w:val="left"/>
        <w:rPr>
          <w:rFonts w:ascii="宋体" w:hAnsi="宋体" w:cs="宋体"/>
          <w:color w:val="000000"/>
          <w:sz w:val="22"/>
          <w:szCs w:val="22"/>
          <w:highlight w:val="none"/>
        </w:rPr>
      </w:pPr>
      <w:r>
        <w:rPr>
          <w:rFonts w:hint="eastAsia" w:ascii="宋体" w:hAnsi="宋体" w:cs="宋体"/>
          <w:color w:val="000000"/>
          <w:sz w:val="22"/>
          <w:szCs w:val="22"/>
          <w:highlight w:val="none"/>
        </w:rPr>
        <w:t>2.在特殊情况下，招标人可与投标人协商延长投标书的有效期，这种要求和答复均以书面形式进行。</w:t>
      </w:r>
    </w:p>
    <w:p w14:paraId="49C35C28">
      <w:pPr>
        <w:snapToGrid w:val="0"/>
        <w:spacing w:line="440" w:lineRule="exact"/>
        <w:ind w:firstLine="440" w:firstLineChars="200"/>
        <w:jc w:val="left"/>
        <w:rPr>
          <w:rFonts w:ascii="宋体" w:hAnsi="宋体" w:cs="宋体"/>
          <w:b/>
          <w:color w:val="000000"/>
          <w:sz w:val="22"/>
          <w:szCs w:val="22"/>
          <w:highlight w:val="none"/>
        </w:rPr>
      </w:pPr>
      <w:bookmarkStart w:id="67" w:name="_Toc13025"/>
      <w:bookmarkStart w:id="68" w:name="_Toc527495480"/>
      <w:bookmarkStart w:id="69" w:name="_Toc50128398"/>
      <w:r>
        <w:rPr>
          <w:rFonts w:hint="eastAsia" w:ascii="宋体" w:hAnsi="宋体" w:cs="宋体"/>
          <w:color w:val="000000"/>
          <w:sz w:val="22"/>
          <w:szCs w:val="22"/>
          <w:highlight w:val="none"/>
        </w:rPr>
        <w:t>3.投标人可拒绝接受延期要求而不会导致投标保证金被没收。同意延长有效期的投标人需要相应延长投标保证金的有效期，但不能修改投标文件。</w:t>
      </w:r>
      <w:bookmarkEnd w:id="67"/>
      <w:bookmarkEnd w:id="68"/>
      <w:bookmarkEnd w:id="69"/>
    </w:p>
    <w:p w14:paraId="6F719A7E">
      <w:pPr>
        <w:snapToGrid w:val="0"/>
        <w:spacing w:line="440" w:lineRule="exact"/>
        <w:ind w:firstLine="440" w:firstLineChars="200"/>
        <w:jc w:val="left"/>
        <w:rPr>
          <w:rFonts w:ascii="宋体" w:hAnsi="宋体" w:cs="宋体"/>
          <w:b/>
          <w:color w:val="000000"/>
          <w:sz w:val="22"/>
          <w:szCs w:val="22"/>
          <w:highlight w:val="none"/>
        </w:rPr>
      </w:pPr>
      <w:bookmarkStart w:id="70" w:name="_Toc19039"/>
      <w:bookmarkStart w:id="71" w:name="_Toc527495481"/>
      <w:bookmarkStart w:id="72" w:name="_Toc50128399"/>
      <w:r>
        <w:rPr>
          <w:rFonts w:hint="eastAsia" w:ascii="宋体" w:hAnsi="宋体" w:cs="宋体"/>
          <w:color w:val="000000"/>
          <w:sz w:val="22"/>
          <w:szCs w:val="22"/>
          <w:highlight w:val="none"/>
        </w:rPr>
        <w:t>4.中标人的投标文件自开标之日起至合同履行完毕止均应保持有效。</w:t>
      </w:r>
      <w:bookmarkEnd w:id="70"/>
      <w:bookmarkEnd w:id="71"/>
      <w:bookmarkEnd w:id="72"/>
    </w:p>
    <w:p w14:paraId="58E164BF">
      <w:pPr>
        <w:snapToGrid w:val="0"/>
        <w:spacing w:line="440" w:lineRule="exact"/>
        <w:ind w:firstLine="442" w:firstLineChars="200"/>
        <w:jc w:val="left"/>
        <w:rPr>
          <w:rFonts w:ascii="宋体" w:hAnsi="宋体" w:cs="宋体"/>
          <w:b/>
          <w:color w:val="000000"/>
          <w:sz w:val="22"/>
          <w:szCs w:val="22"/>
          <w:highlight w:val="none"/>
        </w:rPr>
      </w:pPr>
      <w:bookmarkStart w:id="73" w:name="_Toc527495482"/>
      <w:bookmarkStart w:id="74" w:name="_Toc50128400"/>
      <w:bookmarkStart w:id="75" w:name="_Toc1123"/>
      <w:r>
        <w:rPr>
          <w:rFonts w:hint="eastAsia" w:ascii="宋体" w:hAnsi="宋体" w:cs="宋体"/>
          <w:b/>
          <w:color w:val="000000"/>
          <w:sz w:val="22"/>
          <w:szCs w:val="22"/>
          <w:highlight w:val="none"/>
        </w:rPr>
        <w:t>（五）投标保证金</w:t>
      </w:r>
      <w:bookmarkEnd w:id="73"/>
      <w:bookmarkEnd w:id="74"/>
      <w:bookmarkEnd w:id="75"/>
    </w:p>
    <w:p w14:paraId="4EBA7A40">
      <w:pPr>
        <w:snapToGrid w:val="0"/>
        <w:spacing w:line="440" w:lineRule="exact"/>
        <w:ind w:firstLine="440" w:firstLineChars="200"/>
        <w:jc w:val="left"/>
        <w:rPr>
          <w:rFonts w:ascii="宋体" w:hAnsi="宋体" w:cs="宋体"/>
          <w:color w:val="000000"/>
          <w:sz w:val="22"/>
          <w:szCs w:val="22"/>
          <w:highlight w:val="none"/>
        </w:rPr>
      </w:pPr>
      <w:r>
        <w:rPr>
          <w:rFonts w:hint="eastAsia" w:ascii="宋体" w:hAnsi="宋体" w:cs="宋体"/>
          <w:color w:val="000000"/>
          <w:sz w:val="22"/>
          <w:szCs w:val="22"/>
          <w:highlight w:val="none"/>
        </w:rPr>
        <w:t>★1.投标人须按规定提交投标保证金。否则，其投标将被拒绝。</w:t>
      </w:r>
    </w:p>
    <w:p w14:paraId="6D7CBDFE">
      <w:pPr>
        <w:snapToGrid w:val="0"/>
        <w:spacing w:line="440" w:lineRule="exact"/>
        <w:ind w:firstLine="440" w:firstLineChars="200"/>
        <w:jc w:val="left"/>
        <w:rPr>
          <w:rFonts w:ascii="宋体" w:hAnsi="宋体" w:cs="宋体"/>
          <w:color w:val="000000"/>
          <w:sz w:val="22"/>
          <w:szCs w:val="22"/>
          <w:highlight w:val="none"/>
        </w:rPr>
      </w:pPr>
      <w:r>
        <w:rPr>
          <w:rFonts w:hint="eastAsia" w:ascii="宋体" w:hAnsi="宋体" w:cs="宋体"/>
          <w:color w:val="000000"/>
          <w:sz w:val="22"/>
          <w:szCs w:val="22"/>
          <w:highlight w:val="none"/>
        </w:rPr>
        <w:t>2.保证金形式：电汇或</w:t>
      </w:r>
      <w:r>
        <w:rPr>
          <w:rFonts w:hint="eastAsia" w:ascii="宋体" w:hAnsi="宋体" w:cs="宋体"/>
          <w:bCs/>
          <w:kern w:val="0"/>
          <w:sz w:val="22"/>
          <w:szCs w:val="22"/>
          <w:highlight w:val="none"/>
        </w:rPr>
        <w:t>银行转账</w:t>
      </w:r>
      <w:r>
        <w:rPr>
          <w:rFonts w:hint="eastAsia" w:ascii="宋体" w:hAnsi="宋体" w:cs="宋体"/>
          <w:color w:val="000000"/>
          <w:sz w:val="22"/>
          <w:szCs w:val="22"/>
          <w:highlight w:val="none"/>
        </w:rPr>
        <w:t>。</w:t>
      </w:r>
    </w:p>
    <w:p w14:paraId="35159A0B">
      <w:pPr>
        <w:snapToGrid w:val="0"/>
        <w:spacing w:line="440" w:lineRule="exact"/>
        <w:ind w:firstLine="440" w:firstLineChars="200"/>
        <w:jc w:val="left"/>
        <w:rPr>
          <w:rFonts w:ascii="宋体" w:hAnsi="宋体" w:cs="宋体"/>
          <w:color w:val="000000" w:themeColor="text1"/>
          <w:sz w:val="22"/>
          <w:szCs w:val="22"/>
          <w:highlight w:val="none"/>
          <w14:textFill>
            <w14:solidFill>
              <w14:schemeClr w14:val="tx1"/>
            </w14:solidFill>
          </w14:textFill>
        </w:rPr>
      </w:pPr>
      <w:r>
        <w:rPr>
          <w:rFonts w:hint="eastAsia" w:ascii="宋体" w:hAnsi="宋体" w:cs="宋体"/>
          <w:color w:val="000000" w:themeColor="text1"/>
          <w:sz w:val="22"/>
          <w:szCs w:val="22"/>
          <w:highlight w:val="none"/>
          <w14:textFill>
            <w14:solidFill>
              <w14:schemeClr w14:val="tx1"/>
            </w14:solidFill>
          </w14:textFill>
        </w:rPr>
        <w:t>3.中标人的投标保证金将在合同签订后5个日内无息退还；</w:t>
      </w:r>
    </w:p>
    <w:p w14:paraId="65DE0546">
      <w:pPr>
        <w:snapToGrid w:val="0"/>
        <w:spacing w:line="440" w:lineRule="exact"/>
        <w:ind w:firstLine="440" w:firstLineChars="200"/>
        <w:jc w:val="left"/>
        <w:rPr>
          <w:rFonts w:ascii="宋体" w:hAnsi="宋体" w:cs="宋体"/>
          <w:color w:val="000000" w:themeColor="text1"/>
          <w:sz w:val="22"/>
          <w:szCs w:val="22"/>
          <w:highlight w:val="none"/>
          <w14:textFill>
            <w14:solidFill>
              <w14:schemeClr w14:val="tx1"/>
            </w14:solidFill>
          </w14:textFill>
        </w:rPr>
      </w:pPr>
      <w:r>
        <w:rPr>
          <w:rFonts w:hint="eastAsia" w:ascii="宋体" w:hAnsi="宋体" w:cs="宋体"/>
          <w:color w:val="000000" w:themeColor="text1"/>
          <w:sz w:val="22"/>
          <w:szCs w:val="22"/>
          <w:highlight w:val="none"/>
          <w14:textFill>
            <w14:solidFill>
              <w14:schemeClr w14:val="tx1"/>
            </w14:solidFill>
          </w14:textFill>
        </w:rPr>
        <w:t>4.未中标人的投标保证金将在中标通知书发送后5个日内无息退还。</w:t>
      </w:r>
    </w:p>
    <w:p w14:paraId="44A598B7">
      <w:pPr>
        <w:snapToGrid w:val="0"/>
        <w:spacing w:line="440" w:lineRule="exact"/>
        <w:ind w:firstLine="440" w:firstLineChars="200"/>
        <w:jc w:val="left"/>
        <w:rPr>
          <w:rFonts w:ascii="宋体" w:hAnsi="宋体" w:cs="宋体"/>
          <w:color w:val="000000"/>
          <w:sz w:val="22"/>
          <w:szCs w:val="22"/>
          <w:highlight w:val="none"/>
        </w:rPr>
      </w:pPr>
      <w:r>
        <w:rPr>
          <w:rFonts w:hint="eastAsia" w:ascii="宋体" w:hAnsi="宋体" w:cs="宋体"/>
          <w:color w:val="000000"/>
          <w:sz w:val="22"/>
          <w:szCs w:val="22"/>
          <w:highlight w:val="none"/>
        </w:rPr>
        <w:t>★5.中标人应在中标通知书发出后30日内与招标人签订合同，中标人的投标保证金在与招标人签订合同后5日内一次性无息退还给中标人。</w:t>
      </w:r>
    </w:p>
    <w:p w14:paraId="59C50337">
      <w:pPr>
        <w:snapToGrid w:val="0"/>
        <w:spacing w:line="440" w:lineRule="exact"/>
        <w:ind w:firstLine="440" w:firstLineChars="200"/>
        <w:jc w:val="left"/>
        <w:rPr>
          <w:rFonts w:ascii="宋体" w:hAnsi="宋体" w:cs="宋体"/>
          <w:color w:val="000000"/>
          <w:sz w:val="22"/>
          <w:szCs w:val="22"/>
          <w:highlight w:val="none"/>
        </w:rPr>
      </w:pPr>
      <w:r>
        <w:rPr>
          <w:rFonts w:hint="eastAsia" w:ascii="宋体" w:hAnsi="宋体" w:cs="宋体"/>
          <w:color w:val="000000"/>
          <w:sz w:val="22"/>
          <w:szCs w:val="22"/>
          <w:highlight w:val="none"/>
        </w:rPr>
        <w:t>★6.投标人有下列情形之一的，投标保证金将不予退还：</w:t>
      </w:r>
    </w:p>
    <w:p w14:paraId="47D3F383">
      <w:pPr>
        <w:snapToGrid w:val="0"/>
        <w:spacing w:line="440" w:lineRule="exact"/>
        <w:ind w:firstLine="440" w:firstLineChars="200"/>
        <w:jc w:val="left"/>
        <w:rPr>
          <w:rFonts w:ascii="宋体" w:hAnsi="宋体" w:cs="宋体"/>
          <w:color w:val="000000"/>
          <w:sz w:val="22"/>
          <w:szCs w:val="22"/>
          <w:highlight w:val="none"/>
        </w:rPr>
      </w:pPr>
      <w:r>
        <w:rPr>
          <w:rFonts w:hint="eastAsia" w:ascii="宋体" w:hAnsi="宋体" w:cs="宋体"/>
          <w:color w:val="000000"/>
          <w:sz w:val="22"/>
          <w:szCs w:val="22"/>
          <w:highlight w:val="none"/>
        </w:rPr>
        <w:t>（1）投标人在投标有效期内撤回投标文件的；</w:t>
      </w:r>
    </w:p>
    <w:p w14:paraId="57196DD0">
      <w:pPr>
        <w:snapToGrid w:val="0"/>
        <w:spacing w:line="440" w:lineRule="exact"/>
        <w:ind w:firstLine="440" w:firstLineChars="200"/>
        <w:jc w:val="left"/>
        <w:rPr>
          <w:rFonts w:ascii="宋体" w:hAnsi="宋体" w:cs="宋体"/>
          <w:color w:val="000000"/>
          <w:sz w:val="22"/>
          <w:szCs w:val="22"/>
          <w:highlight w:val="none"/>
        </w:rPr>
      </w:pPr>
      <w:r>
        <w:rPr>
          <w:rFonts w:hint="eastAsia" w:ascii="宋体" w:hAnsi="宋体" w:cs="宋体"/>
          <w:color w:val="000000"/>
          <w:sz w:val="22"/>
          <w:szCs w:val="22"/>
          <w:highlight w:val="none"/>
        </w:rPr>
        <w:t>（2）未按规定提交履约保证金</w:t>
      </w:r>
      <w:r>
        <w:rPr>
          <w:rFonts w:hint="eastAsia" w:ascii="宋体" w:hAnsi="宋体" w:cs="宋体"/>
          <w:sz w:val="22"/>
          <w:szCs w:val="22"/>
          <w:highlight w:val="none"/>
        </w:rPr>
        <w:t>的；</w:t>
      </w:r>
    </w:p>
    <w:p w14:paraId="26D7D7CF">
      <w:pPr>
        <w:snapToGrid w:val="0"/>
        <w:spacing w:line="440" w:lineRule="exact"/>
        <w:ind w:firstLine="440" w:firstLineChars="200"/>
        <w:jc w:val="left"/>
        <w:rPr>
          <w:rFonts w:ascii="宋体" w:hAnsi="宋体" w:cs="宋体"/>
          <w:color w:val="000000"/>
          <w:sz w:val="22"/>
          <w:szCs w:val="22"/>
          <w:highlight w:val="none"/>
        </w:rPr>
      </w:pPr>
      <w:r>
        <w:rPr>
          <w:rFonts w:hint="eastAsia" w:ascii="宋体" w:hAnsi="宋体" w:cs="宋体"/>
          <w:color w:val="000000"/>
          <w:sz w:val="22"/>
          <w:szCs w:val="22"/>
          <w:highlight w:val="none"/>
        </w:rPr>
        <w:t>（3）投标人在投标过程中弄虚作假，提供虚假材料的；</w:t>
      </w:r>
    </w:p>
    <w:p w14:paraId="434E8538">
      <w:pPr>
        <w:snapToGrid w:val="0"/>
        <w:spacing w:line="440" w:lineRule="exact"/>
        <w:ind w:firstLine="440" w:firstLineChars="200"/>
        <w:jc w:val="left"/>
        <w:rPr>
          <w:rFonts w:ascii="宋体" w:hAnsi="宋体" w:cs="宋体"/>
          <w:color w:val="000000"/>
          <w:sz w:val="22"/>
          <w:szCs w:val="22"/>
          <w:highlight w:val="none"/>
        </w:rPr>
      </w:pPr>
      <w:r>
        <w:rPr>
          <w:rFonts w:hint="eastAsia" w:ascii="宋体" w:hAnsi="宋体" w:cs="宋体"/>
          <w:color w:val="000000"/>
          <w:sz w:val="22"/>
          <w:szCs w:val="22"/>
          <w:highlight w:val="none"/>
        </w:rPr>
        <w:t>（4）中标人无正当理由不与招标人签订合同的；</w:t>
      </w:r>
    </w:p>
    <w:p w14:paraId="27D23182">
      <w:pPr>
        <w:snapToGrid w:val="0"/>
        <w:spacing w:line="440" w:lineRule="exact"/>
        <w:ind w:firstLine="440" w:firstLineChars="200"/>
        <w:jc w:val="left"/>
        <w:rPr>
          <w:rFonts w:ascii="宋体" w:hAnsi="宋体" w:cs="宋体"/>
          <w:color w:val="000000"/>
          <w:sz w:val="22"/>
          <w:szCs w:val="22"/>
          <w:highlight w:val="none"/>
        </w:rPr>
      </w:pPr>
      <w:r>
        <w:rPr>
          <w:rFonts w:hint="eastAsia" w:ascii="宋体" w:hAnsi="宋体" w:cs="宋体"/>
          <w:color w:val="000000"/>
          <w:sz w:val="22"/>
          <w:szCs w:val="22"/>
          <w:highlight w:val="none"/>
        </w:rPr>
        <w:t>（5）将中标项目转让给他人或者在投标文件中未说明且未经招标人同意，将中标项目分包给他人的；</w:t>
      </w:r>
    </w:p>
    <w:p w14:paraId="42AC1275">
      <w:pPr>
        <w:snapToGrid w:val="0"/>
        <w:spacing w:line="440" w:lineRule="exact"/>
        <w:ind w:firstLine="440" w:firstLineChars="200"/>
        <w:jc w:val="left"/>
        <w:rPr>
          <w:rFonts w:ascii="宋体" w:hAnsi="宋体" w:cs="宋体"/>
          <w:color w:val="000000"/>
          <w:sz w:val="22"/>
          <w:szCs w:val="22"/>
          <w:highlight w:val="none"/>
        </w:rPr>
      </w:pPr>
      <w:r>
        <w:rPr>
          <w:rFonts w:hint="eastAsia" w:ascii="宋体" w:hAnsi="宋体" w:cs="宋体"/>
          <w:color w:val="000000"/>
          <w:sz w:val="22"/>
          <w:szCs w:val="22"/>
          <w:highlight w:val="none"/>
        </w:rPr>
        <w:t>（6）投标人在投标过程中违反有关法律法规的；</w:t>
      </w:r>
    </w:p>
    <w:p w14:paraId="71426689">
      <w:pPr>
        <w:snapToGrid w:val="0"/>
        <w:spacing w:line="440" w:lineRule="exact"/>
        <w:ind w:firstLine="440" w:firstLineChars="200"/>
        <w:jc w:val="left"/>
        <w:rPr>
          <w:rFonts w:ascii="宋体" w:hAnsi="宋体" w:cs="宋体"/>
          <w:color w:val="000000"/>
          <w:sz w:val="22"/>
          <w:szCs w:val="22"/>
          <w:highlight w:val="none"/>
        </w:rPr>
      </w:pPr>
      <w:r>
        <w:rPr>
          <w:rFonts w:hint="eastAsia" w:ascii="宋体" w:hAnsi="宋体" w:cs="宋体"/>
          <w:color w:val="000000"/>
          <w:sz w:val="22"/>
          <w:szCs w:val="22"/>
          <w:highlight w:val="none"/>
        </w:rPr>
        <w:t>（7）其他严重扰乱招投标程序的。</w:t>
      </w:r>
    </w:p>
    <w:p w14:paraId="6E2F4E30">
      <w:pPr>
        <w:snapToGrid w:val="0"/>
        <w:spacing w:line="440" w:lineRule="exact"/>
        <w:ind w:firstLine="442" w:firstLineChars="200"/>
        <w:jc w:val="left"/>
        <w:rPr>
          <w:rFonts w:ascii="宋体" w:hAnsi="宋体" w:cs="宋体"/>
          <w:b/>
          <w:color w:val="000000"/>
          <w:sz w:val="22"/>
          <w:szCs w:val="22"/>
          <w:highlight w:val="none"/>
        </w:rPr>
      </w:pPr>
      <w:bookmarkStart w:id="76" w:name="_Toc527495483"/>
      <w:bookmarkStart w:id="77" w:name="_Toc2315"/>
      <w:bookmarkStart w:id="78" w:name="_Toc50128401"/>
      <w:r>
        <w:rPr>
          <w:rFonts w:hint="eastAsia" w:ascii="宋体" w:hAnsi="宋体" w:cs="宋体"/>
          <w:b/>
          <w:color w:val="000000"/>
          <w:sz w:val="22"/>
          <w:szCs w:val="22"/>
          <w:highlight w:val="none"/>
        </w:rPr>
        <w:t>（六）投标文件的签署</w:t>
      </w:r>
      <w:bookmarkEnd w:id="76"/>
      <w:bookmarkEnd w:id="77"/>
      <w:bookmarkEnd w:id="78"/>
    </w:p>
    <w:p w14:paraId="143E7029">
      <w:pPr>
        <w:snapToGrid w:val="0"/>
        <w:spacing w:line="440" w:lineRule="exact"/>
        <w:ind w:firstLine="440" w:firstLineChars="200"/>
        <w:jc w:val="left"/>
        <w:rPr>
          <w:rFonts w:ascii="宋体" w:hAnsi="宋体" w:cs="宋体"/>
          <w:color w:val="000000"/>
          <w:sz w:val="22"/>
          <w:szCs w:val="22"/>
          <w:highlight w:val="none"/>
        </w:rPr>
      </w:pPr>
      <w:r>
        <w:rPr>
          <w:rFonts w:hint="eastAsia" w:ascii="宋体" w:hAnsi="宋体" w:cs="宋体"/>
          <w:color w:val="000000"/>
          <w:sz w:val="22"/>
          <w:szCs w:val="22"/>
          <w:highlight w:val="none"/>
        </w:rPr>
        <w:t>1.投标人应按本招标文件规定的格式和顺序编制、标注页码，投标文件内容不完整、编排混乱导致投标文件被误读、漏读或者查找不到相关内容的，是投标人的责任。</w:t>
      </w:r>
    </w:p>
    <w:p w14:paraId="7E261B8B">
      <w:pPr>
        <w:snapToGrid w:val="0"/>
        <w:spacing w:line="440" w:lineRule="exact"/>
        <w:ind w:firstLine="440" w:firstLineChars="200"/>
        <w:jc w:val="left"/>
        <w:rPr>
          <w:rFonts w:ascii="宋体" w:hAnsi="宋体" w:cs="宋体"/>
          <w:color w:val="000000"/>
          <w:sz w:val="22"/>
          <w:szCs w:val="22"/>
          <w:highlight w:val="none"/>
        </w:rPr>
      </w:pPr>
      <w:r>
        <w:rPr>
          <w:rFonts w:hint="eastAsia" w:ascii="宋体" w:hAnsi="宋体" w:cs="宋体"/>
          <w:color w:val="000000"/>
          <w:sz w:val="22"/>
          <w:szCs w:val="22"/>
          <w:highlight w:val="none"/>
        </w:rPr>
        <w:t>2.投标文件须由投标人在规定位置盖电子章并由法定代表人或法定代表人的授权代表盖电子签名章，投标人应写全称。</w:t>
      </w:r>
    </w:p>
    <w:p w14:paraId="03FBBE02">
      <w:pPr>
        <w:snapToGrid w:val="0"/>
        <w:spacing w:line="440" w:lineRule="exact"/>
        <w:ind w:firstLine="442" w:firstLineChars="200"/>
        <w:jc w:val="left"/>
        <w:rPr>
          <w:rFonts w:ascii="宋体" w:hAnsi="宋体" w:cs="宋体"/>
          <w:b/>
          <w:color w:val="000000"/>
          <w:sz w:val="22"/>
          <w:szCs w:val="22"/>
          <w:highlight w:val="none"/>
        </w:rPr>
      </w:pPr>
      <w:r>
        <w:rPr>
          <w:rFonts w:hint="eastAsia" w:ascii="宋体" w:hAnsi="宋体" w:cs="宋体"/>
          <w:b/>
          <w:color w:val="000000"/>
          <w:sz w:val="22"/>
          <w:szCs w:val="22"/>
          <w:highlight w:val="none"/>
        </w:rPr>
        <w:t>（七）投标文件的包装、递交、修改和撤回</w:t>
      </w:r>
    </w:p>
    <w:p w14:paraId="20B22A6A">
      <w:pPr>
        <w:snapToGrid w:val="0"/>
        <w:spacing w:line="440" w:lineRule="exact"/>
        <w:ind w:firstLine="440" w:firstLineChars="200"/>
        <w:jc w:val="left"/>
        <w:rPr>
          <w:rFonts w:ascii="宋体" w:hAnsi="宋体" w:cs="宋体"/>
          <w:sz w:val="22"/>
          <w:szCs w:val="22"/>
          <w:highlight w:val="none"/>
        </w:rPr>
      </w:pPr>
      <w:bookmarkStart w:id="79" w:name="_Toc50128402"/>
      <w:r>
        <w:rPr>
          <w:rFonts w:hint="eastAsia" w:ascii="宋体" w:hAnsi="宋体" w:cs="宋体"/>
          <w:sz w:val="22"/>
          <w:szCs w:val="22"/>
          <w:highlight w:val="none"/>
        </w:rPr>
        <w:t>1.投标人应在投标截止时间前递交投标文件。</w:t>
      </w:r>
    </w:p>
    <w:p w14:paraId="6CE4D69F">
      <w:pPr>
        <w:snapToGrid w:val="0"/>
        <w:spacing w:line="440" w:lineRule="exact"/>
        <w:ind w:firstLine="440" w:firstLineChars="200"/>
        <w:jc w:val="left"/>
        <w:rPr>
          <w:rFonts w:ascii="宋体" w:hAnsi="宋体" w:cs="宋体"/>
          <w:sz w:val="22"/>
          <w:szCs w:val="22"/>
          <w:highlight w:val="none"/>
        </w:rPr>
      </w:pPr>
      <w:r>
        <w:rPr>
          <w:rFonts w:hint="eastAsia" w:ascii="宋体" w:hAnsi="宋体" w:cs="宋体"/>
          <w:sz w:val="22"/>
          <w:szCs w:val="22"/>
          <w:highlight w:val="none"/>
        </w:rPr>
        <w:t>2.投标人通过</w:t>
      </w:r>
      <w:r>
        <w:rPr>
          <w:rFonts w:hint="eastAsia" w:ascii="宋体" w:hAnsi="宋体" w:cs="宋体"/>
          <w:color w:val="000000"/>
          <w:sz w:val="22"/>
          <w:szCs w:val="22"/>
          <w:highlight w:val="none"/>
        </w:rPr>
        <w:t>电子招标采购平台</w:t>
      </w:r>
      <w:r>
        <w:rPr>
          <w:rFonts w:hint="eastAsia" w:ascii="宋体" w:hAnsi="宋体" w:cs="宋体"/>
          <w:sz w:val="22"/>
          <w:szCs w:val="22"/>
          <w:highlight w:val="none"/>
        </w:rPr>
        <w:t>递交电子投标文件。</w:t>
      </w:r>
    </w:p>
    <w:p w14:paraId="5D8C3F93">
      <w:pPr>
        <w:snapToGrid w:val="0"/>
        <w:spacing w:line="440" w:lineRule="exact"/>
        <w:ind w:firstLine="440" w:firstLineChars="200"/>
        <w:jc w:val="left"/>
        <w:rPr>
          <w:rFonts w:ascii="宋体" w:hAnsi="宋体" w:cs="宋体"/>
          <w:sz w:val="22"/>
          <w:szCs w:val="22"/>
          <w:highlight w:val="none"/>
        </w:rPr>
      </w:pPr>
      <w:r>
        <w:rPr>
          <w:rFonts w:hint="eastAsia" w:ascii="宋体" w:hAnsi="宋体" w:cs="宋体"/>
          <w:sz w:val="22"/>
          <w:szCs w:val="22"/>
          <w:highlight w:val="none"/>
        </w:rPr>
        <w:t>3.电子投标文件的拒收情形（因招标人或系统原因导致的除外）：</w:t>
      </w:r>
    </w:p>
    <w:p w14:paraId="357A6065">
      <w:pPr>
        <w:snapToGrid w:val="0"/>
        <w:spacing w:line="440" w:lineRule="exact"/>
        <w:ind w:firstLine="440" w:firstLineChars="200"/>
        <w:jc w:val="left"/>
        <w:rPr>
          <w:rFonts w:ascii="宋体" w:hAnsi="宋体" w:cs="宋体"/>
          <w:sz w:val="22"/>
          <w:szCs w:val="22"/>
          <w:highlight w:val="none"/>
        </w:rPr>
      </w:pPr>
      <w:r>
        <w:rPr>
          <w:rFonts w:hint="eastAsia" w:ascii="宋体" w:hAnsi="宋体" w:cs="宋体"/>
          <w:sz w:val="22"/>
          <w:szCs w:val="22"/>
          <w:highlight w:val="none"/>
        </w:rPr>
        <w:t>（1）投标截止时间后送达（上传）的投标文件、未按招标文件要求上传的；</w:t>
      </w:r>
    </w:p>
    <w:p w14:paraId="78203DBE">
      <w:pPr>
        <w:snapToGrid w:val="0"/>
        <w:spacing w:line="440" w:lineRule="exact"/>
        <w:ind w:firstLine="440" w:firstLineChars="200"/>
        <w:jc w:val="left"/>
        <w:rPr>
          <w:rFonts w:ascii="宋体" w:hAnsi="宋体" w:cs="宋体"/>
          <w:sz w:val="22"/>
          <w:szCs w:val="22"/>
          <w:highlight w:val="none"/>
        </w:rPr>
      </w:pPr>
      <w:r>
        <w:rPr>
          <w:rFonts w:hint="eastAsia" w:ascii="宋体" w:hAnsi="宋体" w:cs="宋体"/>
          <w:sz w:val="22"/>
          <w:szCs w:val="22"/>
          <w:highlight w:val="none"/>
        </w:rPr>
        <w:t>（2）投标人未按规定加密的投标文件，应当拒收并提示；</w:t>
      </w:r>
    </w:p>
    <w:p w14:paraId="77B826CB">
      <w:pPr>
        <w:snapToGrid w:val="0"/>
        <w:spacing w:line="440" w:lineRule="exact"/>
        <w:ind w:firstLine="440" w:firstLineChars="200"/>
        <w:jc w:val="left"/>
        <w:rPr>
          <w:rFonts w:ascii="宋体" w:hAnsi="宋体" w:cs="宋体"/>
          <w:sz w:val="22"/>
          <w:szCs w:val="22"/>
          <w:highlight w:val="none"/>
        </w:rPr>
      </w:pPr>
      <w:r>
        <w:rPr>
          <w:rFonts w:hint="eastAsia" w:ascii="宋体" w:hAnsi="宋体" w:cs="宋体"/>
          <w:sz w:val="22"/>
          <w:szCs w:val="22"/>
          <w:highlight w:val="none"/>
        </w:rPr>
        <w:t>（3）电子投标文件无法解密的；</w:t>
      </w:r>
    </w:p>
    <w:p w14:paraId="07C6753A">
      <w:pPr>
        <w:snapToGrid w:val="0"/>
        <w:spacing w:line="440" w:lineRule="exact"/>
        <w:ind w:firstLine="440" w:firstLineChars="200"/>
        <w:jc w:val="left"/>
        <w:rPr>
          <w:rFonts w:ascii="宋体" w:hAnsi="宋体" w:cs="宋体"/>
          <w:sz w:val="22"/>
          <w:szCs w:val="22"/>
          <w:highlight w:val="none"/>
        </w:rPr>
      </w:pPr>
      <w:r>
        <w:rPr>
          <w:rFonts w:hint="eastAsia" w:ascii="宋体" w:hAnsi="宋体" w:cs="宋体"/>
          <w:sz w:val="22"/>
          <w:szCs w:val="22"/>
          <w:highlight w:val="none"/>
        </w:rPr>
        <w:t>（4）电子投标文件解密后无法正确读取的；</w:t>
      </w:r>
    </w:p>
    <w:p w14:paraId="670CFCCC">
      <w:pPr>
        <w:snapToGrid w:val="0"/>
        <w:spacing w:line="440" w:lineRule="exact"/>
        <w:ind w:firstLine="440" w:firstLineChars="200"/>
        <w:jc w:val="left"/>
        <w:rPr>
          <w:rFonts w:ascii="宋体" w:hAnsi="宋体" w:cs="宋体"/>
          <w:sz w:val="22"/>
          <w:szCs w:val="22"/>
          <w:highlight w:val="none"/>
        </w:rPr>
      </w:pPr>
      <w:r>
        <w:rPr>
          <w:rFonts w:hint="eastAsia" w:ascii="宋体" w:hAnsi="宋体" w:cs="宋体"/>
          <w:sz w:val="22"/>
          <w:szCs w:val="22"/>
          <w:highlight w:val="none"/>
        </w:rPr>
        <w:t>（5）电子投标文件无法导入成功的。</w:t>
      </w:r>
    </w:p>
    <w:p w14:paraId="241A0573">
      <w:pPr>
        <w:snapToGrid w:val="0"/>
        <w:spacing w:line="440" w:lineRule="exact"/>
        <w:ind w:firstLine="440" w:firstLineChars="200"/>
        <w:jc w:val="left"/>
        <w:rPr>
          <w:rFonts w:ascii="宋体" w:hAnsi="宋体" w:cs="宋体"/>
          <w:sz w:val="22"/>
          <w:szCs w:val="22"/>
          <w:highlight w:val="none"/>
        </w:rPr>
      </w:pPr>
      <w:r>
        <w:rPr>
          <w:rFonts w:hint="eastAsia" w:ascii="宋体" w:hAnsi="宋体" w:cs="宋体"/>
          <w:sz w:val="22"/>
          <w:szCs w:val="22"/>
          <w:highlight w:val="none"/>
        </w:rPr>
        <w:t>4.在投标截止时间前，投标人可以修改或撤回已递交的投标文件，但应以书面形式通知招标人。投标截止时间前未完成投标文件传输的，视为撤回投标文件。</w:t>
      </w:r>
    </w:p>
    <w:p w14:paraId="57C91BE4">
      <w:pPr>
        <w:snapToGrid w:val="0"/>
        <w:spacing w:line="440" w:lineRule="exact"/>
        <w:ind w:firstLine="440" w:firstLineChars="200"/>
        <w:jc w:val="left"/>
        <w:rPr>
          <w:rFonts w:ascii="宋体" w:hAnsi="宋体" w:cs="宋体"/>
          <w:color w:val="000000"/>
          <w:sz w:val="22"/>
          <w:szCs w:val="22"/>
          <w:highlight w:val="none"/>
        </w:rPr>
      </w:pPr>
      <w:r>
        <w:rPr>
          <w:rFonts w:hint="eastAsia" w:ascii="宋体" w:hAnsi="宋体" w:cs="宋体"/>
          <w:sz w:val="22"/>
          <w:szCs w:val="22"/>
          <w:highlight w:val="none"/>
        </w:rPr>
        <w:t>5.投标人修改或撤回已递交投标文件的通知，应按要求加盖单位公章。电子招标投标交易平台收到通知后，即时向投标人发出确认回执通知。</w:t>
      </w:r>
    </w:p>
    <w:p w14:paraId="0078E3DE">
      <w:pPr>
        <w:snapToGrid w:val="0"/>
        <w:spacing w:line="440" w:lineRule="exact"/>
        <w:ind w:firstLine="440" w:firstLineChars="200"/>
        <w:jc w:val="left"/>
        <w:rPr>
          <w:rFonts w:ascii="宋体" w:hAnsi="宋体" w:cs="宋体"/>
          <w:b/>
          <w:color w:val="000000"/>
          <w:sz w:val="22"/>
          <w:szCs w:val="22"/>
          <w:highlight w:val="none"/>
        </w:rPr>
      </w:pPr>
      <w:r>
        <w:rPr>
          <w:rFonts w:hint="eastAsia" w:ascii="宋体" w:hAnsi="宋体" w:cs="宋体"/>
          <w:color w:val="000000"/>
          <w:sz w:val="22"/>
          <w:szCs w:val="22"/>
          <w:highlight w:val="none"/>
        </w:rPr>
        <w:t>★</w:t>
      </w:r>
      <w:r>
        <w:rPr>
          <w:rFonts w:hint="eastAsia" w:ascii="宋体" w:hAnsi="宋体" w:cs="宋体"/>
          <w:b/>
          <w:color w:val="000000"/>
          <w:sz w:val="22"/>
          <w:szCs w:val="22"/>
          <w:highlight w:val="none"/>
        </w:rPr>
        <w:t>（八）投标无效的情形</w:t>
      </w:r>
      <w:bookmarkEnd w:id="79"/>
    </w:p>
    <w:p w14:paraId="62F9A6A6">
      <w:pPr>
        <w:snapToGrid w:val="0"/>
        <w:spacing w:line="440" w:lineRule="exact"/>
        <w:ind w:firstLine="440" w:firstLineChars="200"/>
        <w:jc w:val="left"/>
        <w:rPr>
          <w:rFonts w:ascii="宋体" w:hAnsi="宋体" w:cs="宋体"/>
          <w:bCs/>
          <w:color w:val="000000"/>
          <w:sz w:val="22"/>
          <w:szCs w:val="22"/>
          <w:highlight w:val="none"/>
        </w:rPr>
      </w:pPr>
      <w:r>
        <w:rPr>
          <w:rFonts w:hint="eastAsia" w:ascii="宋体" w:hAnsi="宋体" w:cs="宋体"/>
          <w:bCs/>
          <w:color w:val="000000"/>
          <w:sz w:val="22"/>
          <w:szCs w:val="22"/>
          <w:highlight w:val="none"/>
        </w:rPr>
        <w:t>实质上没有响应招标文件要求的投标将被视为无效投标。投标人不得通过修正或撤消不合要求的偏离或保留从而使其投标成为实质上响应的投标，但经评标委员会认定属于投标人疏忽、笔误所造成的差错，应当允许其在评标结束之前进行修改或者补正（可以是复印件、传真件等，原件必须加盖单位公章）。修改或者补正投标文件必须以书面形式进行，并应在中标结果公告之前查核原件。限期内不补正或经补正后仍不符合招标文件要求的，应认定其投标无效。投标人修改、补正投标文件后，不影响评标委员会对其投标文件所作的评价和评分结果。</w:t>
      </w:r>
    </w:p>
    <w:p w14:paraId="2649F1B6">
      <w:pPr>
        <w:snapToGrid w:val="0"/>
        <w:spacing w:line="440" w:lineRule="exact"/>
        <w:ind w:firstLine="424" w:firstLineChars="200"/>
        <w:jc w:val="left"/>
        <w:rPr>
          <w:rFonts w:ascii="宋体" w:hAnsi="宋体" w:cs="宋体"/>
          <w:b/>
          <w:bCs/>
          <w:color w:val="000000"/>
          <w:sz w:val="22"/>
          <w:szCs w:val="22"/>
          <w:highlight w:val="none"/>
        </w:rPr>
      </w:pPr>
      <w:r>
        <w:rPr>
          <w:rFonts w:hint="eastAsia" w:ascii="宋体" w:hAnsi="宋体" w:cs="宋体"/>
          <w:spacing w:val="-4"/>
          <w:sz w:val="22"/>
          <w:szCs w:val="22"/>
          <w:highlight w:val="none"/>
        </w:rPr>
        <w:t>★</w:t>
      </w:r>
      <w:r>
        <w:rPr>
          <w:rFonts w:hint="eastAsia" w:ascii="宋体" w:hAnsi="宋体" w:cs="宋体"/>
          <w:b/>
          <w:bCs/>
          <w:color w:val="000000"/>
          <w:sz w:val="22"/>
          <w:szCs w:val="22"/>
          <w:highlight w:val="none"/>
        </w:rPr>
        <w:t>在初步评审时，如发现下列情形之一的，投标文件将被视为无效：</w:t>
      </w:r>
    </w:p>
    <w:p w14:paraId="51177A3E">
      <w:pPr>
        <w:snapToGrid w:val="0"/>
        <w:spacing w:line="440" w:lineRule="exact"/>
        <w:ind w:firstLine="440" w:firstLineChars="200"/>
        <w:jc w:val="left"/>
        <w:rPr>
          <w:rFonts w:ascii="宋体" w:hAnsi="宋体" w:cs="宋体"/>
          <w:bCs/>
          <w:color w:val="000000"/>
          <w:sz w:val="22"/>
          <w:szCs w:val="22"/>
          <w:highlight w:val="none"/>
        </w:rPr>
      </w:pPr>
      <w:r>
        <w:rPr>
          <w:rFonts w:hint="eastAsia" w:ascii="宋体" w:hAnsi="宋体" w:cs="宋体"/>
          <w:bCs/>
          <w:color w:val="000000"/>
          <w:sz w:val="22"/>
          <w:szCs w:val="22"/>
          <w:highlight w:val="none"/>
        </w:rPr>
        <w:t xml:space="preserve">1.投标人的资格条件不符合招标文件要求的； </w:t>
      </w:r>
    </w:p>
    <w:p w14:paraId="525CA445">
      <w:pPr>
        <w:snapToGrid w:val="0"/>
        <w:spacing w:line="440" w:lineRule="exact"/>
        <w:ind w:firstLine="440" w:firstLineChars="200"/>
        <w:jc w:val="left"/>
        <w:rPr>
          <w:rFonts w:ascii="宋体" w:hAnsi="宋体" w:cs="宋体"/>
          <w:bCs/>
          <w:color w:val="000000"/>
          <w:sz w:val="22"/>
          <w:szCs w:val="22"/>
          <w:highlight w:val="none"/>
        </w:rPr>
      </w:pPr>
      <w:r>
        <w:rPr>
          <w:rFonts w:hint="eastAsia" w:ascii="宋体" w:hAnsi="宋体" w:cs="宋体"/>
          <w:bCs/>
          <w:color w:val="000000"/>
          <w:sz w:val="22"/>
          <w:szCs w:val="22"/>
          <w:highlight w:val="none"/>
        </w:rPr>
        <w:t>2.投标人未提交投标保证金或保证金金额不足，投标保证金不符合招标文件要求的；</w:t>
      </w:r>
    </w:p>
    <w:p w14:paraId="38380C8D">
      <w:pPr>
        <w:snapToGrid w:val="0"/>
        <w:spacing w:line="440" w:lineRule="exact"/>
        <w:ind w:firstLine="440" w:firstLineChars="200"/>
        <w:jc w:val="left"/>
        <w:rPr>
          <w:rFonts w:ascii="宋体" w:hAnsi="宋体" w:cs="宋体"/>
          <w:bCs/>
          <w:color w:val="000000"/>
          <w:sz w:val="22"/>
          <w:szCs w:val="22"/>
          <w:highlight w:val="none"/>
        </w:rPr>
      </w:pPr>
      <w:r>
        <w:rPr>
          <w:rFonts w:hint="eastAsia" w:ascii="宋体" w:hAnsi="宋体" w:cs="宋体"/>
          <w:bCs/>
          <w:color w:val="000000"/>
          <w:sz w:val="22"/>
          <w:szCs w:val="22"/>
          <w:highlight w:val="none"/>
        </w:rPr>
        <w:t>3.投标文件未按招标文件要求签字盖章，无法定代表人签字或签字人无法定代表人有效授权书的；</w:t>
      </w:r>
    </w:p>
    <w:p w14:paraId="569D496A">
      <w:pPr>
        <w:snapToGrid w:val="0"/>
        <w:spacing w:line="440" w:lineRule="exact"/>
        <w:ind w:firstLine="440" w:firstLineChars="200"/>
        <w:jc w:val="left"/>
        <w:rPr>
          <w:rFonts w:ascii="宋体" w:hAnsi="宋体" w:cs="宋体"/>
          <w:bCs/>
          <w:color w:val="000000"/>
          <w:sz w:val="22"/>
          <w:szCs w:val="22"/>
          <w:highlight w:val="none"/>
        </w:rPr>
      </w:pPr>
      <w:r>
        <w:rPr>
          <w:rFonts w:hint="eastAsia" w:ascii="宋体" w:hAnsi="宋体" w:cs="宋体"/>
          <w:bCs/>
          <w:color w:val="000000"/>
          <w:sz w:val="22"/>
          <w:szCs w:val="22"/>
          <w:highlight w:val="none"/>
        </w:rPr>
        <w:t>4.投标有效期不足的；</w:t>
      </w:r>
    </w:p>
    <w:p w14:paraId="53E53AF8">
      <w:pPr>
        <w:snapToGrid w:val="0"/>
        <w:spacing w:line="440" w:lineRule="exact"/>
        <w:ind w:firstLine="440" w:firstLineChars="200"/>
        <w:jc w:val="left"/>
        <w:rPr>
          <w:rFonts w:ascii="宋体" w:hAnsi="宋体" w:cs="宋体"/>
          <w:bCs/>
          <w:color w:val="000000"/>
          <w:sz w:val="22"/>
          <w:szCs w:val="22"/>
          <w:highlight w:val="none"/>
        </w:rPr>
      </w:pPr>
      <w:r>
        <w:rPr>
          <w:rFonts w:hint="eastAsia" w:ascii="宋体" w:hAnsi="宋体" w:cs="宋体"/>
          <w:bCs/>
          <w:color w:val="000000"/>
          <w:sz w:val="22"/>
          <w:szCs w:val="22"/>
          <w:highlight w:val="none"/>
        </w:rPr>
        <w:t>5.在评标过程中，评标委员会发现投标人的报价明显低于其他投标报价，使得其投标报价可能低于其个别成本的，应当要求该投标人作出书面说明并提供相关证明材料。投标人不能合理说明或者不能提供相关证明材料的，由评标委员会认定该投标方以低于成本报价竞标，其投标作无效标处理；</w:t>
      </w:r>
    </w:p>
    <w:p w14:paraId="685A2A22">
      <w:pPr>
        <w:snapToGrid w:val="0"/>
        <w:spacing w:line="440" w:lineRule="exact"/>
        <w:ind w:firstLine="440" w:firstLineChars="200"/>
        <w:jc w:val="left"/>
        <w:rPr>
          <w:rFonts w:ascii="宋体" w:hAnsi="宋体" w:cs="宋体"/>
          <w:bCs/>
          <w:color w:val="000000"/>
          <w:sz w:val="22"/>
          <w:szCs w:val="22"/>
          <w:highlight w:val="none"/>
        </w:rPr>
      </w:pPr>
      <w:r>
        <w:rPr>
          <w:rFonts w:hint="eastAsia" w:ascii="宋体" w:hAnsi="宋体" w:cs="宋体"/>
          <w:bCs/>
          <w:color w:val="000000"/>
          <w:sz w:val="22"/>
          <w:szCs w:val="22"/>
          <w:highlight w:val="none"/>
        </w:rPr>
        <w:t>6.</w:t>
      </w:r>
      <w:r>
        <w:rPr>
          <w:rFonts w:hint="eastAsia" w:ascii="宋体" w:hAnsi="宋体" w:cs="宋体"/>
          <w:spacing w:val="-4"/>
          <w:sz w:val="22"/>
          <w:szCs w:val="22"/>
          <w:highlight w:val="none"/>
        </w:rPr>
        <w:t>投标文件的实质性内容未使用中文表述、意思表述不明确、前后矛盾或者使用计量单位不符合招标文件要求的（经评标委员会认定并允许其当场更正的笔误除外）；</w:t>
      </w:r>
    </w:p>
    <w:p w14:paraId="3184C512">
      <w:pPr>
        <w:snapToGrid w:val="0"/>
        <w:spacing w:line="440" w:lineRule="exact"/>
        <w:ind w:firstLine="440" w:firstLineChars="200"/>
        <w:jc w:val="left"/>
        <w:rPr>
          <w:rFonts w:ascii="宋体" w:hAnsi="宋体" w:cs="宋体"/>
          <w:bCs/>
          <w:color w:val="000000"/>
          <w:sz w:val="22"/>
          <w:szCs w:val="22"/>
          <w:highlight w:val="none"/>
        </w:rPr>
      </w:pPr>
      <w:r>
        <w:rPr>
          <w:rFonts w:hint="eastAsia" w:ascii="宋体" w:hAnsi="宋体" w:cs="宋体"/>
          <w:bCs/>
          <w:color w:val="000000"/>
          <w:sz w:val="22"/>
          <w:szCs w:val="22"/>
          <w:highlight w:val="none"/>
        </w:rPr>
        <w:t>7.</w:t>
      </w:r>
      <w:r>
        <w:rPr>
          <w:rFonts w:hint="eastAsia" w:ascii="宋体" w:hAnsi="宋体" w:cs="宋体"/>
          <w:spacing w:val="-4"/>
          <w:sz w:val="22"/>
          <w:szCs w:val="22"/>
          <w:highlight w:val="none"/>
        </w:rPr>
        <w:t>未实质性响应招标文件要求（与招标文件中标“★”的实质性条款偏离）或者投标文件有招标方不能接受的附加条件的；</w:t>
      </w:r>
    </w:p>
    <w:p w14:paraId="7F1C2AC6">
      <w:pPr>
        <w:spacing w:line="440" w:lineRule="exact"/>
        <w:ind w:firstLine="440" w:firstLineChars="200"/>
        <w:rPr>
          <w:rFonts w:ascii="宋体" w:hAnsi="宋体" w:cs="宋体"/>
          <w:kern w:val="0"/>
          <w:sz w:val="22"/>
          <w:szCs w:val="22"/>
          <w:highlight w:val="none"/>
        </w:rPr>
      </w:pPr>
      <w:r>
        <w:rPr>
          <w:rFonts w:hint="eastAsia" w:ascii="宋体" w:hAnsi="宋体" w:cs="宋体"/>
          <w:kern w:val="0"/>
          <w:sz w:val="22"/>
          <w:szCs w:val="22"/>
          <w:highlight w:val="none"/>
        </w:rPr>
        <w:t>8.存在串标、抬标或弄虚作假情况的；</w:t>
      </w:r>
    </w:p>
    <w:p w14:paraId="6B22620C">
      <w:pPr>
        <w:tabs>
          <w:tab w:val="left" w:pos="540"/>
        </w:tabs>
        <w:spacing w:line="440" w:lineRule="exact"/>
        <w:ind w:firstLine="440" w:firstLineChars="200"/>
        <w:rPr>
          <w:rFonts w:ascii="宋体" w:hAnsi="宋体" w:cs="宋体"/>
          <w:kern w:val="0"/>
          <w:sz w:val="22"/>
          <w:szCs w:val="22"/>
          <w:highlight w:val="none"/>
        </w:rPr>
      </w:pPr>
      <w:r>
        <w:rPr>
          <w:rFonts w:hint="eastAsia" w:ascii="宋体" w:hAnsi="宋体" w:cs="宋体"/>
          <w:kern w:val="0"/>
          <w:sz w:val="22"/>
          <w:szCs w:val="22"/>
          <w:highlight w:val="none"/>
        </w:rPr>
        <w:t>9.法律、法规和招标文件规定的其他无效情形（或出现重大偏差）；</w:t>
      </w:r>
    </w:p>
    <w:p w14:paraId="6F2AAB72">
      <w:pPr>
        <w:snapToGrid w:val="0"/>
        <w:spacing w:line="440" w:lineRule="exact"/>
        <w:ind w:firstLine="426" w:firstLineChars="200"/>
        <w:jc w:val="left"/>
        <w:rPr>
          <w:rFonts w:ascii="宋体" w:hAnsi="宋体" w:cs="宋体"/>
          <w:spacing w:val="-4"/>
          <w:sz w:val="22"/>
          <w:szCs w:val="22"/>
          <w:highlight w:val="none"/>
        </w:rPr>
      </w:pPr>
      <w:r>
        <w:rPr>
          <w:rFonts w:hint="eastAsia" w:ascii="宋体" w:hAnsi="宋体" w:cs="宋体"/>
          <w:b/>
          <w:bCs/>
          <w:spacing w:val="-4"/>
          <w:sz w:val="22"/>
          <w:szCs w:val="22"/>
          <w:highlight w:val="none"/>
        </w:rPr>
        <w:t>10.不同投标人的电子投标文件编制时计算机硬件信息网卡MAC地址（如有）、硬盘（含移动存储介质）序列号（optane_000、0100_0000_0000_0000序列号除外）、互联网接入ip地址相同。</w:t>
      </w:r>
    </w:p>
    <w:p w14:paraId="23A84C83">
      <w:pPr>
        <w:pStyle w:val="23"/>
        <w:outlineLvl w:val="2"/>
        <w:rPr>
          <w:sz w:val="28"/>
          <w:highlight w:val="none"/>
        </w:rPr>
      </w:pPr>
      <w:bookmarkStart w:id="80" w:name="_Toc50128403"/>
      <w:bookmarkStart w:id="81" w:name="_Toc10966"/>
      <w:r>
        <w:rPr>
          <w:rFonts w:hint="eastAsia"/>
          <w:sz w:val="28"/>
          <w:highlight w:val="none"/>
        </w:rPr>
        <w:t>四   重新招标</w:t>
      </w:r>
      <w:bookmarkEnd w:id="80"/>
      <w:bookmarkEnd w:id="81"/>
    </w:p>
    <w:p w14:paraId="645BC05A">
      <w:pPr>
        <w:pStyle w:val="17"/>
        <w:snapToGrid w:val="0"/>
        <w:spacing w:beforeLines="0" w:afterLines="0" w:line="440" w:lineRule="exact"/>
        <w:ind w:firstLine="440" w:firstLineChars="200"/>
        <w:jc w:val="left"/>
        <w:rPr>
          <w:rFonts w:hAnsi="宋体"/>
          <w:color w:val="000000"/>
          <w:sz w:val="22"/>
          <w:szCs w:val="22"/>
          <w:highlight w:val="none"/>
        </w:rPr>
      </w:pPr>
      <w:bookmarkStart w:id="82" w:name="_Toc50128404"/>
      <w:r>
        <w:rPr>
          <w:rFonts w:hint="eastAsia" w:hAnsi="宋体"/>
          <w:color w:val="000000"/>
          <w:sz w:val="22"/>
          <w:szCs w:val="22"/>
          <w:highlight w:val="none"/>
        </w:rPr>
        <w:t>1.至投标截止时间止，投标人不足3家的，本项目无法开标，重新组织招标。</w:t>
      </w:r>
    </w:p>
    <w:p w14:paraId="1633F9DA">
      <w:pPr>
        <w:pStyle w:val="17"/>
        <w:snapToGrid w:val="0"/>
        <w:spacing w:beforeLines="0" w:afterLines="0" w:line="440" w:lineRule="exact"/>
        <w:ind w:firstLine="440" w:firstLineChars="200"/>
        <w:jc w:val="left"/>
        <w:rPr>
          <w:rFonts w:hAnsi="宋体"/>
          <w:color w:val="000000"/>
          <w:sz w:val="22"/>
          <w:szCs w:val="22"/>
          <w:highlight w:val="none"/>
        </w:rPr>
      </w:pPr>
      <w:r>
        <w:rPr>
          <w:rFonts w:hint="eastAsia" w:hAnsi="宋体"/>
          <w:color w:val="000000"/>
          <w:sz w:val="22"/>
          <w:szCs w:val="22"/>
          <w:highlight w:val="none"/>
        </w:rPr>
        <w:t>2.开标后经评审，当有效标不足3家时，评标委员会应否决全部投标，重新组织招标。</w:t>
      </w:r>
    </w:p>
    <w:p w14:paraId="14793C7D">
      <w:pPr>
        <w:pStyle w:val="17"/>
        <w:snapToGrid w:val="0"/>
        <w:spacing w:beforeLines="0" w:afterLines="0" w:line="440" w:lineRule="exact"/>
        <w:ind w:firstLine="440" w:firstLineChars="200"/>
        <w:jc w:val="left"/>
        <w:rPr>
          <w:rFonts w:hAnsi="宋体"/>
          <w:color w:val="000000"/>
          <w:sz w:val="22"/>
          <w:szCs w:val="22"/>
          <w:highlight w:val="none"/>
        </w:rPr>
      </w:pPr>
      <w:r>
        <w:rPr>
          <w:rFonts w:hint="eastAsia" w:hAnsi="宋体"/>
          <w:color w:val="000000"/>
          <w:sz w:val="22"/>
          <w:szCs w:val="22"/>
          <w:highlight w:val="none"/>
        </w:rPr>
        <w:t>3.中标候选人均未与招标人签订合同的，重新组织招标。</w:t>
      </w:r>
    </w:p>
    <w:p w14:paraId="621C11B4">
      <w:pPr>
        <w:pStyle w:val="23"/>
        <w:outlineLvl w:val="2"/>
        <w:rPr>
          <w:sz w:val="28"/>
          <w:highlight w:val="none"/>
        </w:rPr>
      </w:pPr>
      <w:bookmarkStart w:id="83" w:name="_Toc18826"/>
      <w:r>
        <w:rPr>
          <w:rFonts w:hint="eastAsia"/>
          <w:sz w:val="28"/>
          <w:highlight w:val="none"/>
        </w:rPr>
        <w:t xml:space="preserve">五 </w:t>
      </w:r>
      <w:r>
        <w:rPr>
          <w:sz w:val="28"/>
          <w:highlight w:val="none"/>
        </w:rPr>
        <w:t xml:space="preserve"> </w:t>
      </w:r>
      <w:r>
        <w:rPr>
          <w:rFonts w:hint="eastAsia"/>
          <w:sz w:val="28"/>
          <w:highlight w:val="none"/>
        </w:rPr>
        <w:t xml:space="preserve"> 开  标</w:t>
      </w:r>
      <w:bookmarkEnd w:id="82"/>
      <w:bookmarkEnd w:id="83"/>
    </w:p>
    <w:p w14:paraId="23D72FE9">
      <w:pPr>
        <w:pStyle w:val="17"/>
        <w:snapToGrid w:val="0"/>
        <w:spacing w:beforeLines="0" w:afterLines="0" w:line="440" w:lineRule="exact"/>
        <w:ind w:firstLine="442" w:firstLineChars="200"/>
        <w:jc w:val="left"/>
        <w:rPr>
          <w:rFonts w:hAnsi="宋体"/>
          <w:b/>
          <w:color w:val="000000"/>
          <w:sz w:val="22"/>
          <w:szCs w:val="22"/>
          <w:highlight w:val="none"/>
        </w:rPr>
      </w:pPr>
      <w:r>
        <w:rPr>
          <w:rFonts w:hAnsi="宋体"/>
          <w:b/>
          <w:color w:val="000000"/>
          <w:sz w:val="22"/>
          <w:szCs w:val="22"/>
          <w:highlight w:val="none"/>
        </w:rPr>
        <w:t>（一）开标准备</w:t>
      </w:r>
    </w:p>
    <w:p w14:paraId="69360622">
      <w:pPr>
        <w:pStyle w:val="17"/>
        <w:snapToGrid w:val="0"/>
        <w:spacing w:beforeLines="0" w:afterLines="0" w:line="440" w:lineRule="exact"/>
        <w:ind w:firstLine="440" w:firstLineChars="200"/>
        <w:jc w:val="left"/>
        <w:rPr>
          <w:rFonts w:hAnsi="宋体"/>
          <w:bCs/>
          <w:color w:val="000000"/>
          <w:sz w:val="22"/>
          <w:szCs w:val="22"/>
          <w:highlight w:val="none"/>
        </w:rPr>
      </w:pPr>
      <w:r>
        <w:rPr>
          <w:rFonts w:hint="eastAsia" w:hAnsi="宋体" w:cs="宋体"/>
          <w:sz w:val="22"/>
          <w:szCs w:val="22"/>
          <w:highlight w:val="none"/>
        </w:rPr>
        <w:t>招标人将在规定的时间和地点进行开标，投标人的法定代表人或其授权代表应在投标截止时间之后三十分钟内在“浙江海港投标管家”工具端—进入项目—开标—远程开标模块，进行开标结果确定，如超时未确认，视作投标人已对开标结果确认无误。</w:t>
      </w:r>
    </w:p>
    <w:p w14:paraId="6FF9F2CF">
      <w:pPr>
        <w:pStyle w:val="17"/>
        <w:snapToGrid w:val="0"/>
        <w:spacing w:beforeLines="0" w:afterLines="0" w:line="440" w:lineRule="exact"/>
        <w:ind w:firstLine="442" w:firstLineChars="200"/>
        <w:jc w:val="left"/>
        <w:rPr>
          <w:rFonts w:hAnsi="宋体"/>
          <w:b/>
          <w:color w:val="000000"/>
          <w:sz w:val="22"/>
          <w:szCs w:val="22"/>
          <w:highlight w:val="none"/>
        </w:rPr>
      </w:pPr>
      <w:r>
        <w:rPr>
          <w:rFonts w:hAnsi="宋体"/>
          <w:b/>
          <w:color w:val="000000"/>
          <w:sz w:val="22"/>
          <w:szCs w:val="22"/>
          <w:highlight w:val="none"/>
        </w:rPr>
        <w:t>（二）开标程序：</w:t>
      </w:r>
    </w:p>
    <w:p w14:paraId="177ECB81">
      <w:pPr>
        <w:pStyle w:val="17"/>
        <w:snapToGrid w:val="0"/>
        <w:spacing w:beforeLines="0" w:afterLines="0" w:line="440" w:lineRule="exact"/>
        <w:ind w:firstLine="440" w:firstLineChars="200"/>
        <w:jc w:val="left"/>
        <w:rPr>
          <w:rFonts w:hAnsi="宋体"/>
          <w:color w:val="000000"/>
          <w:sz w:val="22"/>
          <w:szCs w:val="22"/>
          <w:highlight w:val="none"/>
        </w:rPr>
      </w:pPr>
      <w:r>
        <w:rPr>
          <w:rFonts w:hint="eastAsia" w:hAnsi="宋体"/>
          <w:color w:val="000000"/>
          <w:sz w:val="22"/>
          <w:szCs w:val="22"/>
          <w:highlight w:val="none"/>
        </w:rPr>
        <w:t>1.开标会由招标人或代理机构主持，主持人宣布开标会议开始。</w:t>
      </w:r>
    </w:p>
    <w:p w14:paraId="4E600AE5">
      <w:pPr>
        <w:pStyle w:val="17"/>
        <w:snapToGrid w:val="0"/>
        <w:spacing w:beforeLines="0" w:afterLines="0" w:line="440" w:lineRule="exact"/>
        <w:ind w:firstLine="440" w:firstLineChars="200"/>
        <w:jc w:val="left"/>
        <w:rPr>
          <w:rFonts w:hAnsi="宋体"/>
          <w:color w:val="000000"/>
          <w:sz w:val="22"/>
          <w:szCs w:val="22"/>
          <w:highlight w:val="none"/>
        </w:rPr>
      </w:pPr>
      <w:r>
        <w:rPr>
          <w:rFonts w:hint="eastAsia" w:hAnsi="宋体"/>
          <w:color w:val="000000"/>
          <w:sz w:val="22"/>
          <w:szCs w:val="22"/>
          <w:highlight w:val="none"/>
        </w:rPr>
        <w:t xml:space="preserve">2.主持人介绍参加开标会的人员名单。 </w:t>
      </w:r>
    </w:p>
    <w:p w14:paraId="12AC071C">
      <w:pPr>
        <w:pStyle w:val="17"/>
        <w:snapToGrid w:val="0"/>
        <w:spacing w:beforeLines="0" w:afterLines="0" w:line="440" w:lineRule="exact"/>
        <w:ind w:firstLine="440" w:firstLineChars="200"/>
        <w:jc w:val="left"/>
        <w:rPr>
          <w:rFonts w:hAnsi="宋体"/>
          <w:color w:val="000000"/>
          <w:sz w:val="22"/>
          <w:szCs w:val="22"/>
          <w:highlight w:val="none"/>
        </w:rPr>
      </w:pPr>
      <w:r>
        <w:rPr>
          <w:rFonts w:hint="eastAsia" w:hAnsi="宋体"/>
          <w:color w:val="000000"/>
          <w:sz w:val="22"/>
          <w:szCs w:val="22"/>
          <w:highlight w:val="none"/>
        </w:rPr>
        <w:t>3.主持人发起投标文件解密。</w:t>
      </w:r>
    </w:p>
    <w:p w14:paraId="3CC62225">
      <w:pPr>
        <w:pStyle w:val="17"/>
        <w:snapToGrid w:val="0"/>
        <w:spacing w:beforeLines="0" w:afterLines="0" w:line="440" w:lineRule="exact"/>
        <w:ind w:firstLine="440" w:firstLineChars="200"/>
        <w:jc w:val="left"/>
        <w:rPr>
          <w:rFonts w:hAnsi="宋体"/>
          <w:color w:val="000000"/>
          <w:sz w:val="22"/>
          <w:szCs w:val="22"/>
          <w:highlight w:val="none"/>
        </w:rPr>
      </w:pPr>
      <w:r>
        <w:rPr>
          <w:rFonts w:hint="eastAsia" w:hAnsi="宋体"/>
          <w:color w:val="000000"/>
          <w:sz w:val="22"/>
          <w:szCs w:val="22"/>
          <w:highlight w:val="none"/>
        </w:rPr>
        <w:t>4.所有投标解密后开启电子投标文件。</w:t>
      </w:r>
    </w:p>
    <w:p w14:paraId="525706ED">
      <w:pPr>
        <w:pStyle w:val="17"/>
        <w:snapToGrid w:val="0"/>
        <w:spacing w:beforeLines="0" w:afterLines="0" w:line="440" w:lineRule="exact"/>
        <w:ind w:firstLine="440" w:firstLineChars="200"/>
        <w:jc w:val="left"/>
        <w:rPr>
          <w:rFonts w:hAnsi="宋体"/>
          <w:color w:val="000000"/>
          <w:sz w:val="22"/>
          <w:szCs w:val="22"/>
          <w:highlight w:val="none"/>
        </w:rPr>
      </w:pPr>
      <w:r>
        <w:rPr>
          <w:rFonts w:hint="eastAsia" w:hAnsi="宋体"/>
          <w:color w:val="000000"/>
          <w:sz w:val="22"/>
          <w:szCs w:val="22"/>
          <w:highlight w:val="none"/>
        </w:rPr>
        <w:t>5.开启电子投标文件后公布开标结果。</w:t>
      </w:r>
    </w:p>
    <w:p w14:paraId="3564B122">
      <w:pPr>
        <w:pStyle w:val="17"/>
        <w:snapToGrid w:val="0"/>
        <w:spacing w:beforeLines="0" w:afterLines="0" w:line="440" w:lineRule="exact"/>
        <w:ind w:firstLine="440" w:firstLineChars="200"/>
        <w:jc w:val="left"/>
        <w:rPr>
          <w:rFonts w:hAnsi="宋体"/>
          <w:color w:val="000000"/>
          <w:sz w:val="22"/>
          <w:szCs w:val="22"/>
          <w:highlight w:val="none"/>
        </w:rPr>
      </w:pPr>
      <w:r>
        <w:rPr>
          <w:rFonts w:hint="eastAsia" w:hAnsi="宋体"/>
          <w:color w:val="000000"/>
          <w:sz w:val="22"/>
          <w:szCs w:val="22"/>
          <w:highlight w:val="none"/>
        </w:rPr>
        <w:t>6.开标会议结束。</w:t>
      </w:r>
    </w:p>
    <w:p w14:paraId="384F523E">
      <w:pPr>
        <w:pStyle w:val="17"/>
        <w:snapToGrid w:val="0"/>
        <w:spacing w:before="156" w:after="156" w:line="360" w:lineRule="auto"/>
        <w:ind w:firstLine="562" w:firstLineChars="200"/>
        <w:jc w:val="center"/>
        <w:outlineLvl w:val="2"/>
        <w:rPr>
          <w:rFonts w:ascii="Cambria" w:hAnsi="Cambria"/>
          <w:b/>
          <w:bCs/>
          <w:kern w:val="28"/>
          <w:sz w:val="28"/>
          <w:szCs w:val="32"/>
          <w:highlight w:val="none"/>
        </w:rPr>
      </w:pPr>
      <w:bookmarkStart w:id="84" w:name="_Toc7107"/>
      <w:r>
        <w:rPr>
          <w:rFonts w:hint="eastAsia" w:ascii="Cambria" w:hAnsi="Cambria"/>
          <w:b/>
          <w:bCs/>
          <w:kern w:val="28"/>
          <w:sz w:val="28"/>
          <w:szCs w:val="32"/>
          <w:highlight w:val="none"/>
        </w:rPr>
        <w:t>六   评  标</w:t>
      </w:r>
      <w:bookmarkEnd w:id="84"/>
    </w:p>
    <w:p w14:paraId="2DB5A333">
      <w:pPr>
        <w:pStyle w:val="17"/>
        <w:snapToGrid w:val="0"/>
        <w:spacing w:beforeLines="0" w:afterLines="0" w:line="440" w:lineRule="exact"/>
        <w:ind w:firstLine="442" w:firstLineChars="200"/>
        <w:jc w:val="left"/>
        <w:rPr>
          <w:rFonts w:hAnsi="宋体"/>
          <w:b/>
          <w:color w:val="000000"/>
          <w:sz w:val="22"/>
          <w:szCs w:val="22"/>
          <w:highlight w:val="none"/>
        </w:rPr>
      </w:pPr>
      <w:r>
        <w:rPr>
          <w:rFonts w:hAnsi="宋体"/>
          <w:b/>
          <w:color w:val="000000"/>
          <w:sz w:val="22"/>
          <w:szCs w:val="22"/>
          <w:highlight w:val="none"/>
        </w:rPr>
        <w:t>（一）组建评标委员会</w:t>
      </w:r>
    </w:p>
    <w:p w14:paraId="6633C09A">
      <w:pPr>
        <w:pStyle w:val="17"/>
        <w:snapToGrid w:val="0"/>
        <w:spacing w:beforeLines="0" w:afterLines="0" w:line="440" w:lineRule="exact"/>
        <w:ind w:firstLine="440" w:firstLineChars="200"/>
        <w:jc w:val="left"/>
        <w:rPr>
          <w:rFonts w:hAnsi="宋体"/>
          <w:color w:val="000000"/>
          <w:sz w:val="22"/>
          <w:szCs w:val="22"/>
          <w:highlight w:val="none"/>
        </w:rPr>
      </w:pPr>
      <w:r>
        <w:rPr>
          <w:rFonts w:hAnsi="宋体"/>
          <w:color w:val="000000"/>
          <w:sz w:val="22"/>
          <w:szCs w:val="22"/>
          <w:highlight w:val="none"/>
        </w:rPr>
        <w:t>本项目评标委员会由评审专家</w:t>
      </w:r>
      <w:r>
        <w:rPr>
          <w:rFonts w:hint="eastAsia" w:hAnsi="宋体"/>
          <w:color w:val="000000"/>
          <w:sz w:val="22"/>
          <w:szCs w:val="22"/>
          <w:highlight w:val="none"/>
        </w:rPr>
        <w:t>和招标人代表共5人</w:t>
      </w:r>
      <w:r>
        <w:rPr>
          <w:rFonts w:hAnsi="宋体"/>
          <w:color w:val="000000"/>
          <w:sz w:val="22"/>
          <w:szCs w:val="22"/>
          <w:highlight w:val="none"/>
        </w:rPr>
        <w:t>组成。</w:t>
      </w:r>
    </w:p>
    <w:p w14:paraId="5180BA4D">
      <w:pPr>
        <w:pStyle w:val="17"/>
        <w:snapToGrid w:val="0"/>
        <w:spacing w:beforeLines="0" w:afterLines="0" w:line="440" w:lineRule="exact"/>
        <w:ind w:firstLine="442" w:firstLineChars="200"/>
        <w:jc w:val="left"/>
        <w:rPr>
          <w:rFonts w:hAnsi="宋体"/>
          <w:b/>
          <w:color w:val="000000"/>
          <w:sz w:val="22"/>
          <w:szCs w:val="22"/>
          <w:highlight w:val="none"/>
        </w:rPr>
      </w:pPr>
      <w:r>
        <w:rPr>
          <w:rFonts w:hAnsi="宋体"/>
          <w:b/>
          <w:color w:val="000000"/>
          <w:sz w:val="22"/>
          <w:szCs w:val="22"/>
          <w:highlight w:val="none"/>
        </w:rPr>
        <w:t>（二）评标的方式</w:t>
      </w:r>
    </w:p>
    <w:p w14:paraId="667428CA">
      <w:pPr>
        <w:pStyle w:val="17"/>
        <w:snapToGrid w:val="0"/>
        <w:spacing w:beforeLines="0" w:afterLines="0" w:line="440" w:lineRule="exact"/>
        <w:ind w:firstLine="440" w:firstLineChars="200"/>
        <w:jc w:val="left"/>
        <w:rPr>
          <w:rFonts w:hAnsi="宋体"/>
          <w:color w:val="000000"/>
          <w:sz w:val="22"/>
          <w:szCs w:val="22"/>
          <w:highlight w:val="none"/>
        </w:rPr>
      </w:pPr>
      <w:r>
        <w:rPr>
          <w:rFonts w:hAnsi="宋体"/>
          <w:color w:val="000000"/>
          <w:sz w:val="22"/>
          <w:szCs w:val="22"/>
          <w:highlight w:val="none"/>
        </w:rPr>
        <w:t>本项目采用不公开方式评标，评标的依据为招标文件和投标文件。</w:t>
      </w:r>
    </w:p>
    <w:p w14:paraId="653D8E3F">
      <w:pPr>
        <w:pStyle w:val="17"/>
        <w:snapToGrid w:val="0"/>
        <w:spacing w:beforeLines="0" w:afterLines="0" w:line="440" w:lineRule="exact"/>
        <w:ind w:firstLine="442" w:firstLineChars="200"/>
        <w:jc w:val="left"/>
        <w:rPr>
          <w:rFonts w:hAnsi="宋体"/>
          <w:b/>
          <w:color w:val="000000"/>
          <w:sz w:val="22"/>
          <w:szCs w:val="22"/>
          <w:highlight w:val="none"/>
        </w:rPr>
      </w:pPr>
      <w:r>
        <w:rPr>
          <w:rFonts w:hAnsi="宋体"/>
          <w:b/>
          <w:color w:val="000000"/>
          <w:sz w:val="22"/>
          <w:szCs w:val="22"/>
          <w:highlight w:val="none"/>
        </w:rPr>
        <w:t>（三）</w:t>
      </w:r>
      <w:r>
        <w:rPr>
          <w:rFonts w:hAnsi="宋体"/>
          <w:b/>
          <w:bCs/>
          <w:color w:val="000000"/>
          <w:sz w:val="22"/>
          <w:szCs w:val="22"/>
          <w:highlight w:val="none"/>
        </w:rPr>
        <w:t>评标程序</w:t>
      </w:r>
    </w:p>
    <w:p w14:paraId="1D5FBB86">
      <w:pPr>
        <w:snapToGrid w:val="0"/>
        <w:spacing w:line="440" w:lineRule="exact"/>
        <w:ind w:firstLine="442" w:firstLineChars="200"/>
        <w:jc w:val="left"/>
        <w:rPr>
          <w:rFonts w:ascii="宋体" w:hAnsi="宋体"/>
          <w:b/>
          <w:bCs/>
          <w:color w:val="000000"/>
          <w:sz w:val="22"/>
          <w:szCs w:val="22"/>
          <w:highlight w:val="none"/>
        </w:rPr>
      </w:pPr>
      <w:r>
        <w:rPr>
          <w:rFonts w:ascii="宋体" w:hAnsi="宋体"/>
          <w:b/>
          <w:bCs/>
          <w:color w:val="000000"/>
          <w:sz w:val="22"/>
          <w:szCs w:val="22"/>
          <w:highlight w:val="none"/>
        </w:rPr>
        <w:t>1</w:t>
      </w:r>
      <w:r>
        <w:rPr>
          <w:rFonts w:hint="eastAsia" w:ascii="宋体" w:hAnsi="宋体"/>
          <w:b/>
          <w:bCs/>
          <w:color w:val="000000"/>
          <w:sz w:val="22"/>
          <w:szCs w:val="22"/>
          <w:highlight w:val="none"/>
        </w:rPr>
        <w:t>.</w:t>
      </w:r>
      <w:r>
        <w:rPr>
          <w:rFonts w:ascii="宋体" w:hAnsi="宋体"/>
          <w:b/>
          <w:bCs/>
          <w:color w:val="000000"/>
          <w:sz w:val="22"/>
          <w:szCs w:val="22"/>
          <w:highlight w:val="none"/>
        </w:rPr>
        <w:t>形式审查</w:t>
      </w:r>
    </w:p>
    <w:p w14:paraId="087A42FC">
      <w:pPr>
        <w:snapToGrid w:val="0"/>
        <w:spacing w:line="440" w:lineRule="exact"/>
        <w:ind w:firstLine="440" w:firstLineChars="200"/>
        <w:jc w:val="left"/>
        <w:rPr>
          <w:rFonts w:ascii="宋体" w:hAnsi="宋体"/>
          <w:b/>
          <w:color w:val="000000"/>
          <w:sz w:val="22"/>
          <w:szCs w:val="22"/>
          <w:highlight w:val="none"/>
        </w:rPr>
      </w:pPr>
      <w:r>
        <w:rPr>
          <w:rFonts w:hint="eastAsia" w:ascii="宋体" w:hAnsi="宋体"/>
          <w:color w:val="000000"/>
          <w:sz w:val="22"/>
          <w:szCs w:val="22"/>
          <w:highlight w:val="none"/>
        </w:rPr>
        <w:t>招标代理的工作人员协助评标委员会对投标人的资格</w:t>
      </w:r>
      <w:r>
        <w:rPr>
          <w:rFonts w:ascii="宋体" w:hAnsi="宋体"/>
          <w:color w:val="000000"/>
          <w:sz w:val="22"/>
          <w:szCs w:val="22"/>
          <w:highlight w:val="none"/>
        </w:rPr>
        <w:t>和投标文件的完整性、合法性等进行审查。</w:t>
      </w:r>
    </w:p>
    <w:p w14:paraId="4AB6D19F">
      <w:pPr>
        <w:snapToGrid w:val="0"/>
        <w:spacing w:line="440" w:lineRule="exact"/>
        <w:ind w:firstLine="442" w:firstLineChars="200"/>
        <w:jc w:val="left"/>
        <w:rPr>
          <w:rFonts w:ascii="宋体" w:hAnsi="宋体"/>
          <w:b/>
          <w:bCs/>
          <w:color w:val="000000"/>
          <w:sz w:val="22"/>
          <w:szCs w:val="22"/>
          <w:highlight w:val="none"/>
        </w:rPr>
      </w:pPr>
      <w:r>
        <w:rPr>
          <w:rFonts w:ascii="宋体" w:hAnsi="宋体"/>
          <w:b/>
          <w:bCs/>
          <w:color w:val="000000"/>
          <w:sz w:val="22"/>
          <w:szCs w:val="22"/>
          <w:highlight w:val="none"/>
        </w:rPr>
        <w:t>2</w:t>
      </w:r>
      <w:r>
        <w:rPr>
          <w:rFonts w:hint="eastAsia" w:ascii="宋体" w:hAnsi="宋体"/>
          <w:b/>
          <w:bCs/>
          <w:color w:val="000000"/>
          <w:sz w:val="22"/>
          <w:szCs w:val="22"/>
          <w:highlight w:val="none"/>
        </w:rPr>
        <w:t>.</w:t>
      </w:r>
      <w:r>
        <w:rPr>
          <w:rFonts w:ascii="宋体" w:hAnsi="宋体"/>
          <w:b/>
          <w:bCs/>
          <w:color w:val="000000"/>
          <w:sz w:val="22"/>
          <w:szCs w:val="22"/>
          <w:highlight w:val="none"/>
        </w:rPr>
        <w:t>实质审查与比较</w:t>
      </w:r>
    </w:p>
    <w:p w14:paraId="23C74C08">
      <w:pPr>
        <w:snapToGrid w:val="0"/>
        <w:spacing w:line="440" w:lineRule="exact"/>
        <w:ind w:firstLine="440" w:firstLineChars="200"/>
        <w:jc w:val="left"/>
        <w:rPr>
          <w:rFonts w:ascii="宋体" w:hAnsi="宋体"/>
          <w:color w:val="000000"/>
          <w:sz w:val="22"/>
          <w:szCs w:val="22"/>
          <w:highlight w:val="none"/>
        </w:rPr>
      </w:pPr>
      <w:r>
        <w:rPr>
          <w:rFonts w:hint="eastAsia" w:ascii="宋体" w:hAnsi="宋体"/>
          <w:color w:val="000000"/>
          <w:sz w:val="22"/>
          <w:szCs w:val="22"/>
          <w:highlight w:val="none"/>
        </w:rPr>
        <w:t>（</w:t>
      </w:r>
      <w:r>
        <w:rPr>
          <w:rFonts w:ascii="宋体" w:hAnsi="宋体"/>
          <w:color w:val="000000"/>
          <w:sz w:val="22"/>
          <w:szCs w:val="22"/>
          <w:highlight w:val="none"/>
        </w:rPr>
        <w:t>1）评标委员会审查投标文件的实质性内容是否符合招标文件的实质性要求。</w:t>
      </w:r>
    </w:p>
    <w:p w14:paraId="3E20AA9E">
      <w:pPr>
        <w:snapToGrid w:val="0"/>
        <w:spacing w:line="440" w:lineRule="exact"/>
        <w:ind w:firstLine="440" w:firstLineChars="200"/>
        <w:jc w:val="left"/>
        <w:rPr>
          <w:rFonts w:ascii="宋体" w:hAnsi="宋体"/>
          <w:color w:val="000000"/>
          <w:sz w:val="22"/>
          <w:szCs w:val="22"/>
          <w:highlight w:val="none"/>
        </w:rPr>
      </w:pPr>
      <w:r>
        <w:rPr>
          <w:rFonts w:hint="eastAsia" w:ascii="宋体" w:hAnsi="宋体"/>
          <w:color w:val="000000"/>
          <w:sz w:val="22"/>
          <w:szCs w:val="22"/>
          <w:highlight w:val="none"/>
        </w:rPr>
        <w:t>（</w:t>
      </w:r>
      <w:r>
        <w:rPr>
          <w:rFonts w:ascii="宋体" w:hAnsi="宋体"/>
          <w:color w:val="000000"/>
          <w:sz w:val="22"/>
          <w:szCs w:val="22"/>
          <w:highlight w:val="none"/>
        </w:rPr>
        <w:t>2）评标委员会将根据投标人的投标文件进行审查、核对,如有疑问,将对投标人进行询标,投标人要向评标委员会澄清有关问题,并最终以书面形式进行答复。</w:t>
      </w:r>
    </w:p>
    <w:p w14:paraId="223612C0">
      <w:pPr>
        <w:snapToGrid w:val="0"/>
        <w:spacing w:line="440" w:lineRule="exact"/>
        <w:ind w:firstLine="440" w:firstLineChars="200"/>
        <w:jc w:val="left"/>
        <w:rPr>
          <w:rFonts w:ascii="宋体" w:hAnsi="宋体"/>
          <w:color w:val="000000"/>
          <w:sz w:val="22"/>
          <w:szCs w:val="22"/>
          <w:highlight w:val="none"/>
        </w:rPr>
      </w:pPr>
      <w:r>
        <w:rPr>
          <w:rFonts w:hint="eastAsia" w:ascii="宋体" w:hAnsi="宋体"/>
          <w:color w:val="000000"/>
          <w:sz w:val="22"/>
          <w:szCs w:val="22"/>
          <w:highlight w:val="none"/>
        </w:rPr>
        <w:t>（3</w:t>
      </w:r>
      <w:r>
        <w:rPr>
          <w:rFonts w:ascii="宋体" w:hAnsi="宋体"/>
          <w:color w:val="000000"/>
          <w:sz w:val="22"/>
          <w:szCs w:val="22"/>
          <w:highlight w:val="none"/>
        </w:rPr>
        <w:t>）</w:t>
      </w:r>
      <w:r>
        <w:rPr>
          <w:rFonts w:hint="eastAsia" w:ascii="宋体" w:hAnsi="宋体"/>
          <w:color w:val="000000"/>
          <w:sz w:val="22"/>
          <w:szCs w:val="22"/>
          <w:highlight w:val="none"/>
        </w:rPr>
        <w:t>投标人代表未到场或者拒绝澄清或者澄清的内容改变了投标文件的实质性内容的，评标委员会有权对该投标文件作出不利于投标人的评判。</w:t>
      </w:r>
    </w:p>
    <w:p w14:paraId="2B44A162">
      <w:pPr>
        <w:snapToGrid w:val="0"/>
        <w:spacing w:line="440" w:lineRule="exact"/>
        <w:ind w:firstLine="440" w:firstLineChars="200"/>
        <w:jc w:val="left"/>
        <w:rPr>
          <w:rFonts w:ascii="宋体" w:hAnsi="宋体"/>
          <w:color w:val="000000"/>
          <w:sz w:val="22"/>
          <w:szCs w:val="22"/>
          <w:highlight w:val="none"/>
        </w:rPr>
      </w:pPr>
      <w:r>
        <w:rPr>
          <w:rFonts w:hint="eastAsia" w:ascii="宋体" w:hAnsi="宋体"/>
          <w:color w:val="000000"/>
          <w:sz w:val="22"/>
          <w:szCs w:val="22"/>
          <w:highlight w:val="none"/>
        </w:rPr>
        <w:t>（4</w:t>
      </w:r>
      <w:r>
        <w:rPr>
          <w:rFonts w:ascii="宋体" w:hAnsi="宋体"/>
          <w:color w:val="000000"/>
          <w:sz w:val="22"/>
          <w:szCs w:val="22"/>
          <w:highlight w:val="none"/>
        </w:rPr>
        <w:t>）各投标人的技术</w:t>
      </w:r>
      <w:r>
        <w:rPr>
          <w:rFonts w:hint="eastAsia" w:ascii="宋体" w:hAnsi="宋体"/>
          <w:color w:val="000000"/>
          <w:sz w:val="22"/>
          <w:szCs w:val="22"/>
          <w:highlight w:val="none"/>
        </w:rPr>
        <w:t>资信</w:t>
      </w:r>
      <w:r>
        <w:rPr>
          <w:rFonts w:ascii="宋体" w:hAnsi="宋体"/>
          <w:color w:val="000000"/>
          <w:sz w:val="22"/>
          <w:szCs w:val="22"/>
          <w:highlight w:val="none"/>
        </w:rPr>
        <w:t>得分为所有评委的有效评分的算术平均数</w:t>
      </w:r>
      <w:r>
        <w:rPr>
          <w:rFonts w:hint="eastAsia" w:ascii="宋体" w:hAnsi="宋体"/>
          <w:color w:val="000000"/>
          <w:sz w:val="22"/>
          <w:szCs w:val="22"/>
          <w:highlight w:val="none"/>
        </w:rPr>
        <w:t>(计算保留两位小数)</w:t>
      </w:r>
      <w:r>
        <w:rPr>
          <w:rFonts w:ascii="宋体" w:hAnsi="宋体"/>
          <w:color w:val="000000"/>
          <w:sz w:val="22"/>
          <w:szCs w:val="22"/>
          <w:highlight w:val="none"/>
        </w:rPr>
        <w:t>。</w:t>
      </w:r>
    </w:p>
    <w:p w14:paraId="5C54D5F4">
      <w:pPr>
        <w:snapToGrid w:val="0"/>
        <w:spacing w:line="440" w:lineRule="exact"/>
        <w:ind w:firstLine="440" w:firstLineChars="200"/>
        <w:jc w:val="left"/>
        <w:rPr>
          <w:rFonts w:ascii="宋体" w:hAnsi="宋体"/>
          <w:color w:val="000000"/>
          <w:sz w:val="22"/>
          <w:szCs w:val="22"/>
          <w:highlight w:val="none"/>
        </w:rPr>
      </w:pPr>
      <w:r>
        <w:rPr>
          <w:rFonts w:hint="eastAsia" w:ascii="宋体" w:hAnsi="宋体"/>
          <w:color w:val="000000"/>
          <w:sz w:val="22"/>
          <w:szCs w:val="22"/>
          <w:highlight w:val="none"/>
        </w:rPr>
        <w:t>（5</w:t>
      </w:r>
      <w:r>
        <w:rPr>
          <w:rFonts w:ascii="宋体" w:hAnsi="宋体"/>
          <w:color w:val="000000"/>
          <w:sz w:val="22"/>
          <w:szCs w:val="22"/>
          <w:highlight w:val="none"/>
        </w:rPr>
        <w:t>）评标委员会根据</w:t>
      </w:r>
      <w:r>
        <w:rPr>
          <w:rFonts w:hint="eastAsia" w:ascii="宋体" w:hAnsi="宋体"/>
          <w:color w:val="000000"/>
          <w:sz w:val="22"/>
          <w:szCs w:val="22"/>
          <w:highlight w:val="none"/>
        </w:rPr>
        <w:t>本项目的评分标准</w:t>
      </w:r>
      <w:r>
        <w:rPr>
          <w:rFonts w:ascii="宋体" w:hAnsi="宋体"/>
          <w:color w:val="000000"/>
          <w:sz w:val="22"/>
          <w:szCs w:val="22"/>
          <w:highlight w:val="none"/>
        </w:rPr>
        <w:t>计算各投标人的报价得分</w:t>
      </w:r>
      <w:r>
        <w:rPr>
          <w:rFonts w:hint="eastAsia" w:ascii="宋体" w:hAnsi="宋体"/>
          <w:color w:val="000000"/>
          <w:sz w:val="22"/>
          <w:szCs w:val="22"/>
          <w:highlight w:val="none"/>
        </w:rPr>
        <w:t>。</w:t>
      </w:r>
    </w:p>
    <w:p w14:paraId="59EC3E3B">
      <w:pPr>
        <w:snapToGrid w:val="0"/>
        <w:spacing w:line="440" w:lineRule="exact"/>
        <w:ind w:firstLine="440" w:firstLineChars="200"/>
        <w:jc w:val="left"/>
        <w:rPr>
          <w:rFonts w:ascii="宋体" w:hAnsi="宋体"/>
          <w:color w:val="000000"/>
          <w:sz w:val="22"/>
          <w:szCs w:val="22"/>
          <w:highlight w:val="none"/>
        </w:rPr>
      </w:pPr>
      <w:r>
        <w:rPr>
          <w:rFonts w:hint="eastAsia" w:ascii="宋体" w:hAnsi="宋体"/>
          <w:color w:val="000000"/>
          <w:sz w:val="22"/>
          <w:szCs w:val="22"/>
          <w:highlight w:val="none"/>
        </w:rPr>
        <w:t>（6</w:t>
      </w:r>
      <w:r>
        <w:rPr>
          <w:rFonts w:ascii="宋体" w:hAnsi="宋体"/>
          <w:color w:val="000000"/>
          <w:sz w:val="22"/>
          <w:szCs w:val="22"/>
          <w:highlight w:val="none"/>
        </w:rPr>
        <w:t>）评标委员会完成评标后,评委对各部分得分汇总,</w:t>
      </w:r>
      <w:r>
        <w:rPr>
          <w:rFonts w:hint="eastAsia" w:ascii="宋体" w:hAnsi="宋体"/>
          <w:color w:val="000000"/>
          <w:sz w:val="22"/>
          <w:szCs w:val="22"/>
          <w:highlight w:val="none"/>
        </w:rPr>
        <w:t>计算</w:t>
      </w:r>
      <w:r>
        <w:rPr>
          <w:rFonts w:ascii="宋体" w:hAnsi="宋体"/>
          <w:color w:val="000000"/>
          <w:sz w:val="22"/>
          <w:szCs w:val="22"/>
          <w:highlight w:val="none"/>
        </w:rPr>
        <w:t>出本项目</w:t>
      </w:r>
      <w:r>
        <w:rPr>
          <w:rFonts w:hint="eastAsia" w:ascii="宋体" w:hAnsi="宋体"/>
          <w:color w:val="000000"/>
          <w:sz w:val="22"/>
          <w:szCs w:val="22"/>
          <w:highlight w:val="none"/>
        </w:rPr>
        <w:t>最终得分</w:t>
      </w:r>
      <w:r>
        <w:rPr>
          <w:rFonts w:ascii="宋体" w:hAnsi="宋体"/>
          <w:color w:val="000000"/>
          <w:sz w:val="22"/>
          <w:szCs w:val="22"/>
          <w:highlight w:val="none"/>
        </w:rPr>
        <w:t>。评标委员会按评标原则推荐中标候选人同时起草评标报告。</w:t>
      </w:r>
    </w:p>
    <w:p w14:paraId="1FE4E2C4">
      <w:pPr>
        <w:snapToGrid w:val="0"/>
        <w:spacing w:line="440" w:lineRule="exact"/>
        <w:ind w:firstLine="442" w:firstLineChars="200"/>
        <w:jc w:val="left"/>
        <w:rPr>
          <w:rFonts w:ascii="宋体" w:hAnsi="宋体"/>
          <w:b/>
          <w:bCs/>
          <w:color w:val="000000"/>
          <w:sz w:val="22"/>
          <w:szCs w:val="22"/>
          <w:highlight w:val="none"/>
        </w:rPr>
      </w:pPr>
      <w:r>
        <w:rPr>
          <w:rFonts w:hint="eastAsia" w:ascii="宋体" w:hAnsi="宋体"/>
          <w:b/>
          <w:bCs/>
          <w:color w:val="000000"/>
          <w:sz w:val="22"/>
          <w:szCs w:val="22"/>
          <w:highlight w:val="none"/>
        </w:rPr>
        <w:t>（四）澄清问题的形式</w:t>
      </w:r>
    </w:p>
    <w:p w14:paraId="1E3CCD60">
      <w:pPr>
        <w:snapToGrid w:val="0"/>
        <w:spacing w:line="440" w:lineRule="exact"/>
        <w:ind w:firstLine="440" w:firstLineChars="200"/>
        <w:jc w:val="left"/>
        <w:rPr>
          <w:rFonts w:ascii="宋体" w:hAnsi="宋体"/>
          <w:color w:val="000000"/>
          <w:sz w:val="22"/>
          <w:szCs w:val="22"/>
          <w:highlight w:val="none"/>
        </w:rPr>
      </w:pPr>
      <w:r>
        <w:rPr>
          <w:rFonts w:hint="eastAsia" w:ascii="宋体" w:hAnsi="宋体"/>
          <w:color w:val="000000"/>
          <w:sz w:val="22"/>
          <w:szCs w:val="22"/>
          <w:highlight w:val="none"/>
        </w:rPr>
        <w:t>对投标文件中含义不明确、同类问题表述不一致或者有明显文字和计算错误的内容，评标委员会可要求投标人作出必要的澄清、说明或者纠正。投标人的澄清、说明或者补正应当采用书面形式，由其授权代表签字或盖章确认，并不得超出投标文件的范围或者改变投标文件的实质性内容。</w:t>
      </w:r>
    </w:p>
    <w:p w14:paraId="25DC5485">
      <w:pPr>
        <w:pStyle w:val="17"/>
        <w:snapToGrid w:val="0"/>
        <w:spacing w:beforeLines="0" w:afterLines="0" w:line="440" w:lineRule="exact"/>
        <w:ind w:firstLine="442" w:firstLineChars="200"/>
        <w:jc w:val="left"/>
        <w:rPr>
          <w:rFonts w:hAnsi="宋体"/>
          <w:b/>
          <w:bCs/>
          <w:color w:val="000000"/>
          <w:sz w:val="22"/>
          <w:szCs w:val="22"/>
          <w:highlight w:val="none"/>
        </w:rPr>
      </w:pPr>
      <w:r>
        <w:rPr>
          <w:rFonts w:hAnsi="宋体"/>
          <w:b/>
          <w:bCs/>
          <w:color w:val="000000"/>
          <w:sz w:val="22"/>
          <w:szCs w:val="22"/>
          <w:highlight w:val="none"/>
        </w:rPr>
        <w:t>（五）错误修正</w:t>
      </w:r>
    </w:p>
    <w:p w14:paraId="20A19B3C">
      <w:pPr>
        <w:pStyle w:val="17"/>
        <w:snapToGrid w:val="0"/>
        <w:spacing w:beforeLines="0" w:afterLines="0" w:line="440" w:lineRule="exact"/>
        <w:ind w:firstLine="440" w:firstLineChars="200"/>
        <w:jc w:val="left"/>
        <w:rPr>
          <w:rFonts w:hAnsi="宋体"/>
          <w:color w:val="000000"/>
          <w:sz w:val="22"/>
          <w:szCs w:val="22"/>
          <w:highlight w:val="none"/>
        </w:rPr>
      </w:pPr>
      <w:r>
        <w:rPr>
          <w:rFonts w:hAnsi="宋体"/>
          <w:color w:val="000000"/>
          <w:sz w:val="22"/>
          <w:szCs w:val="22"/>
          <w:highlight w:val="none"/>
        </w:rPr>
        <w:t>投标文件如果出现计算或表达上的错误，修正错误的原则如下：</w:t>
      </w:r>
    </w:p>
    <w:p w14:paraId="09C9DD6B">
      <w:pPr>
        <w:pStyle w:val="17"/>
        <w:snapToGrid w:val="0"/>
        <w:spacing w:beforeLines="0" w:afterLines="0" w:line="440" w:lineRule="exact"/>
        <w:ind w:firstLine="440" w:firstLineChars="200"/>
        <w:jc w:val="left"/>
        <w:rPr>
          <w:rFonts w:hAnsi="宋体"/>
          <w:color w:val="000000"/>
          <w:sz w:val="22"/>
          <w:szCs w:val="22"/>
          <w:highlight w:val="none"/>
        </w:rPr>
      </w:pPr>
      <w:r>
        <w:rPr>
          <w:rFonts w:hAnsi="宋体"/>
          <w:color w:val="000000"/>
          <w:sz w:val="22"/>
          <w:szCs w:val="22"/>
          <w:highlight w:val="none"/>
        </w:rPr>
        <w:t>1</w:t>
      </w:r>
      <w:r>
        <w:rPr>
          <w:rFonts w:hint="eastAsia" w:hAnsi="宋体"/>
          <w:color w:val="000000"/>
          <w:sz w:val="22"/>
          <w:szCs w:val="22"/>
          <w:highlight w:val="none"/>
        </w:rPr>
        <w:t>.</w:t>
      </w:r>
      <w:r>
        <w:rPr>
          <w:rFonts w:hAnsi="宋体"/>
          <w:color w:val="000000"/>
          <w:sz w:val="22"/>
          <w:szCs w:val="22"/>
          <w:highlight w:val="none"/>
        </w:rPr>
        <w:t>投标文件的大写金额和小写金额不一致的，以大写金额为准；</w:t>
      </w:r>
    </w:p>
    <w:p w14:paraId="3764D9A6">
      <w:pPr>
        <w:pStyle w:val="17"/>
        <w:snapToGrid w:val="0"/>
        <w:spacing w:beforeLines="0" w:afterLines="0" w:line="440" w:lineRule="exact"/>
        <w:ind w:firstLine="440" w:firstLineChars="200"/>
        <w:jc w:val="left"/>
        <w:rPr>
          <w:rFonts w:hAnsi="宋体"/>
          <w:color w:val="000000"/>
          <w:sz w:val="22"/>
          <w:szCs w:val="22"/>
          <w:highlight w:val="none"/>
        </w:rPr>
      </w:pPr>
      <w:r>
        <w:rPr>
          <w:rFonts w:hint="eastAsia" w:hAnsi="宋体"/>
          <w:color w:val="000000"/>
          <w:sz w:val="22"/>
          <w:szCs w:val="22"/>
          <w:highlight w:val="none"/>
        </w:rPr>
        <w:t>2.</w:t>
      </w:r>
      <w:r>
        <w:rPr>
          <w:rFonts w:hAnsi="宋体"/>
          <w:color w:val="000000"/>
          <w:sz w:val="22"/>
          <w:szCs w:val="22"/>
          <w:highlight w:val="none"/>
        </w:rPr>
        <w:t>总价金额与按单价汇总金额不一致的，以单价金额计算结果为准；</w:t>
      </w:r>
    </w:p>
    <w:p w14:paraId="014E450D">
      <w:pPr>
        <w:pStyle w:val="17"/>
        <w:snapToGrid w:val="0"/>
        <w:spacing w:beforeLines="0" w:afterLines="0" w:line="440" w:lineRule="exact"/>
        <w:ind w:firstLine="440" w:firstLineChars="200"/>
        <w:jc w:val="left"/>
        <w:rPr>
          <w:rFonts w:hAnsi="宋体"/>
          <w:color w:val="000000"/>
          <w:sz w:val="22"/>
          <w:szCs w:val="22"/>
          <w:highlight w:val="none"/>
        </w:rPr>
      </w:pPr>
      <w:r>
        <w:rPr>
          <w:rFonts w:hint="eastAsia" w:hAnsi="宋体"/>
          <w:color w:val="000000"/>
          <w:sz w:val="22"/>
          <w:szCs w:val="22"/>
          <w:highlight w:val="none"/>
        </w:rPr>
        <w:t>3.</w:t>
      </w:r>
      <w:r>
        <w:rPr>
          <w:rFonts w:hAnsi="宋体"/>
          <w:color w:val="000000"/>
          <w:sz w:val="22"/>
          <w:szCs w:val="22"/>
          <w:highlight w:val="none"/>
        </w:rPr>
        <w:t>对不同文字文本投标文件的解释发生异议的，以中文文本为准。</w:t>
      </w:r>
    </w:p>
    <w:p w14:paraId="16922F38">
      <w:pPr>
        <w:pStyle w:val="17"/>
        <w:snapToGrid w:val="0"/>
        <w:spacing w:beforeLines="0" w:afterLines="0" w:line="440" w:lineRule="exact"/>
        <w:ind w:firstLine="442" w:firstLineChars="200"/>
        <w:jc w:val="left"/>
        <w:rPr>
          <w:rFonts w:hAnsi="宋体"/>
          <w:b/>
          <w:bCs/>
          <w:color w:val="000000"/>
          <w:sz w:val="22"/>
          <w:szCs w:val="22"/>
          <w:highlight w:val="none"/>
        </w:rPr>
      </w:pPr>
      <w:r>
        <w:rPr>
          <w:rFonts w:hAnsi="宋体"/>
          <w:b/>
          <w:bCs/>
          <w:color w:val="000000"/>
          <w:sz w:val="22"/>
          <w:szCs w:val="22"/>
          <w:highlight w:val="none"/>
        </w:rPr>
        <w:t>按上述修正错误的原则及方法调整或修正投标文件的投标报价，投标人同意</w:t>
      </w:r>
      <w:r>
        <w:rPr>
          <w:rFonts w:hint="eastAsia" w:hAnsi="宋体"/>
          <w:b/>
          <w:bCs/>
          <w:color w:val="000000"/>
          <w:sz w:val="22"/>
          <w:szCs w:val="22"/>
          <w:highlight w:val="none"/>
        </w:rPr>
        <w:t>并签字确认</w:t>
      </w:r>
      <w:r>
        <w:rPr>
          <w:rFonts w:hAnsi="宋体"/>
          <w:b/>
          <w:bCs/>
          <w:color w:val="000000"/>
          <w:sz w:val="22"/>
          <w:szCs w:val="22"/>
          <w:highlight w:val="none"/>
        </w:rPr>
        <w:t>后，调整后的投标报价对投标人具有约束作用。如果投标人不接受修正后的报价，则其投标将</w:t>
      </w:r>
      <w:r>
        <w:rPr>
          <w:rFonts w:hint="eastAsia" w:hAnsi="宋体"/>
          <w:b/>
          <w:bCs/>
          <w:color w:val="000000"/>
          <w:sz w:val="22"/>
          <w:szCs w:val="22"/>
          <w:highlight w:val="none"/>
        </w:rPr>
        <w:t>作为无效投标处理</w:t>
      </w:r>
      <w:r>
        <w:rPr>
          <w:rFonts w:hAnsi="宋体"/>
          <w:b/>
          <w:bCs/>
          <w:color w:val="000000"/>
          <w:sz w:val="22"/>
          <w:szCs w:val="22"/>
          <w:highlight w:val="none"/>
        </w:rPr>
        <w:t>。</w:t>
      </w:r>
    </w:p>
    <w:p w14:paraId="501DFB85">
      <w:pPr>
        <w:pStyle w:val="17"/>
        <w:tabs>
          <w:tab w:val="left" w:pos="630"/>
        </w:tabs>
        <w:snapToGrid w:val="0"/>
        <w:spacing w:beforeLines="0" w:afterLines="0" w:line="440" w:lineRule="exact"/>
        <w:ind w:firstLine="442" w:firstLineChars="200"/>
        <w:jc w:val="left"/>
        <w:rPr>
          <w:rFonts w:hAnsi="宋体"/>
          <w:b/>
          <w:color w:val="000000"/>
          <w:sz w:val="22"/>
          <w:szCs w:val="22"/>
          <w:highlight w:val="none"/>
        </w:rPr>
      </w:pPr>
      <w:r>
        <w:rPr>
          <w:rFonts w:hAnsi="宋体"/>
          <w:b/>
          <w:color w:val="000000"/>
          <w:sz w:val="22"/>
          <w:szCs w:val="22"/>
          <w:highlight w:val="none"/>
        </w:rPr>
        <w:t>（六）评标原则和评标办法</w:t>
      </w:r>
    </w:p>
    <w:p w14:paraId="308F6BF2">
      <w:pPr>
        <w:pStyle w:val="17"/>
        <w:snapToGrid w:val="0"/>
        <w:spacing w:beforeLines="0" w:afterLines="0" w:line="440" w:lineRule="exact"/>
        <w:ind w:firstLine="440" w:firstLineChars="200"/>
        <w:jc w:val="left"/>
        <w:rPr>
          <w:rFonts w:hAnsi="宋体"/>
          <w:color w:val="000000"/>
          <w:sz w:val="22"/>
          <w:szCs w:val="22"/>
          <w:highlight w:val="none"/>
        </w:rPr>
      </w:pPr>
      <w:r>
        <w:rPr>
          <w:rFonts w:hAnsi="宋体"/>
          <w:color w:val="000000"/>
          <w:sz w:val="22"/>
          <w:szCs w:val="22"/>
          <w:highlight w:val="none"/>
        </w:rPr>
        <w:t>1</w:t>
      </w:r>
      <w:r>
        <w:rPr>
          <w:rFonts w:hint="eastAsia" w:hAnsi="宋体"/>
          <w:color w:val="000000"/>
          <w:sz w:val="22"/>
          <w:szCs w:val="22"/>
          <w:highlight w:val="none"/>
        </w:rPr>
        <w:t>.</w:t>
      </w:r>
      <w:r>
        <w:rPr>
          <w:rFonts w:hAnsi="宋体"/>
          <w:color w:val="000000"/>
          <w:sz w:val="22"/>
          <w:szCs w:val="22"/>
          <w:highlight w:val="none"/>
        </w:rPr>
        <w:t>评标原则。评标委员会必须公平、公正、客观，不带任何倾向性和启发性；不得向外界透露任何与评标有关的内容；任何单位和个人不得干扰、影响评标的正常进行；评标委员会及有关工作人员不得私下与投标人接触。</w:t>
      </w:r>
    </w:p>
    <w:p w14:paraId="5A43462B">
      <w:pPr>
        <w:pStyle w:val="17"/>
        <w:snapToGrid w:val="0"/>
        <w:spacing w:beforeLines="0" w:afterLines="0" w:line="440" w:lineRule="exact"/>
        <w:ind w:firstLine="440" w:firstLineChars="200"/>
        <w:jc w:val="left"/>
        <w:rPr>
          <w:rFonts w:hAnsi="宋体"/>
          <w:color w:val="000000"/>
          <w:sz w:val="22"/>
          <w:szCs w:val="22"/>
          <w:highlight w:val="none"/>
        </w:rPr>
      </w:pPr>
      <w:r>
        <w:rPr>
          <w:rFonts w:hAnsi="宋体"/>
          <w:color w:val="000000"/>
          <w:sz w:val="22"/>
          <w:szCs w:val="22"/>
          <w:highlight w:val="none"/>
        </w:rPr>
        <w:t>2</w:t>
      </w:r>
      <w:r>
        <w:rPr>
          <w:rFonts w:hint="eastAsia" w:hAnsi="宋体"/>
          <w:color w:val="000000"/>
          <w:sz w:val="22"/>
          <w:szCs w:val="22"/>
          <w:highlight w:val="none"/>
        </w:rPr>
        <w:t>.</w:t>
      </w:r>
      <w:r>
        <w:rPr>
          <w:rFonts w:hAnsi="宋体"/>
          <w:color w:val="000000"/>
          <w:sz w:val="22"/>
          <w:szCs w:val="22"/>
          <w:highlight w:val="none"/>
        </w:rPr>
        <w:t>评标办法。本项目评标办法是</w:t>
      </w:r>
      <w:r>
        <w:rPr>
          <w:rFonts w:hint="eastAsia" w:hAnsi="宋体"/>
          <w:color w:val="000000"/>
          <w:sz w:val="22"/>
          <w:szCs w:val="22"/>
          <w:highlight w:val="none"/>
          <w:u w:val="single"/>
        </w:rPr>
        <w:t>综合评分法</w:t>
      </w:r>
      <w:r>
        <w:rPr>
          <w:rFonts w:hAnsi="宋体"/>
          <w:color w:val="000000"/>
          <w:sz w:val="22"/>
          <w:szCs w:val="22"/>
          <w:highlight w:val="none"/>
        </w:rPr>
        <w:t>，具体评标内容及评分标准等详见《第</w:t>
      </w:r>
      <w:r>
        <w:rPr>
          <w:rFonts w:hint="eastAsia" w:hAnsi="宋体" w:cs="宋体"/>
          <w:bCs/>
          <w:sz w:val="22"/>
          <w:szCs w:val="22"/>
          <w:highlight w:val="none"/>
        </w:rPr>
        <w:t>四</w:t>
      </w:r>
      <w:r>
        <w:rPr>
          <w:rFonts w:hAnsi="宋体"/>
          <w:color w:val="000000"/>
          <w:sz w:val="22"/>
          <w:szCs w:val="22"/>
          <w:highlight w:val="none"/>
        </w:rPr>
        <w:t>章：评标办法及评分标准》。</w:t>
      </w:r>
    </w:p>
    <w:p w14:paraId="321AA057">
      <w:pPr>
        <w:pStyle w:val="17"/>
        <w:snapToGrid w:val="0"/>
        <w:spacing w:beforeLines="0" w:afterLines="0" w:line="440" w:lineRule="exact"/>
        <w:ind w:firstLine="442" w:firstLineChars="200"/>
        <w:jc w:val="left"/>
        <w:rPr>
          <w:rFonts w:hAnsi="宋体"/>
          <w:b/>
          <w:color w:val="000000"/>
          <w:sz w:val="22"/>
          <w:szCs w:val="22"/>
          <w:highlight w:val="none"/>
        </w:rPr>
      </w:pPr>
      <w:r>
        <w:rPr>
          <w:rFonts w:hAnsi="宋体"/>
          <w:b/>
          <w:color w:val="000000"/>
          <w:sz w:val="22"/>
          <w:szCs w:val="22"/>
          <w:highlight w:val="none"/>
        </w:rPr>
        <w:t>（七）评标过程的监控</w:t>
      </w:r>
    </w:p>
    <w:p w14:paraId="31549E3D">
      <w:pPr>
        <w:pStyle w:val="17"/>
        <w:snapToGrid w:val="0"/>
        <w:spacing w:beforeLines="0" w:afterLines="0" w:line="440" w:lineRule="exact"/>
        <w:ind w:firstLine="440" w:firstLineChars="200"/>
        <w:jc w:val="left"/>
        <w:rPr>
          <w:rFonts w:hAnsi="宋体"/>
          <w:color w:val="000000"/>
          <w:sz w:val="22"/>
          <w:szCs w:val="22"/>
          <w:highlight w:val="none"/>
        </w:rPr>
      </w:pPr>
      <w:r>
        <w:rPr>
          <w:rFonts w:hAnsi="宋体"/>
          <w:color w:val="000000"/>
          <w:sz w:val="22"/>
          <w:szCs w:val="22"/>
          <w:highlight w:val="none"/>
        </w:rPr>
        <w:t>投标人在评标过程中所进行的</w:t>
      </w:r>
      <w:r>
        <w:rPr>
          <w:rFonts w:hint="eastAsia" w:hAnsi="宋体"/>
          <w:color w:val="000000"/>
          <w:sz w:val="22"/>
          <w:szCs w:val="22"/>
          <w:highlight w:val="none"/>
        </w:rPr>
        <w:t>试</w:t>
      </w:r>
      <w:r>
        <w:rPr>
          <w:rFonts w:hAnsi="宋体"/>
          <w:color w:val="000000"/>
          <w:sz w:val="22"/>
          <w:szCs w:val="22"/>
          <w:highlight w:val="none"/>
        </w:rPr>
        <w:t>图影响评标结果的不公正活动，可能导致其投标被拒绝。</w:t>
      </w:r>
    </w:p>
    <w:p w14:paraId="0A871A0C">
      <w:pPr>
        <w:pStyle w:val="17"/>
        <w:snapToGrid w:val="0"/>
        <w:spacing w:beforeLines="0" w:afterLines="0" w:line="440" w:lineRule="exact"/>
        <w:ind w:firstLine="442" w:firstLineChars="200"/>
        <w:jc w:val="left"/>
        <w:rPr>
          <w:rFonts w:hAnsi="宋体"/>
          <w:b/>
          <w:color w:val="000000"/>
          <w:sz w:val="22"/>
          <w:szCs w:val="22"/>
          <w:highlight w:val="none"/>
        </w:rPr>
      </w:pPr>
      <w:bookmarkStart w:id="85" w:name="_Toc50128405"/>
      <w:r>
        <w:rPr>
          <w:rFonts w:hint="eastAsia" w:hAnsi="宋体"/>
          <w:b/>
          <w:color w:val="000000"/>
          <w:sz w:val="22"/>
          <w:szCs w:val="22"/>
          <w:highlight w:val="none"/>
        </w:rPr>
        <w:t>（八）中标候选人</w:t>
      </w:r>
      <w:bookmarkEnd w:id="85"/>
    </w:p>
    <w:p w14:paraId="0E271637">
      <w:pPr>
        <w:snapToGrid w:val="0"/>
        <w:spacing w:line="440" w:lineRule="exact"/>
        <w:ind w:firstLine="442" w:firstLineChars="200"/>
        <w:jc w:val="left"/>
        <w:rPr>
          <w:rFonts w:ascii="宋体" w:hAnsi="宋体" w:cs="宋体"/>
          <w:b/>
          <w:sz w:val="22"/>
          <w:szCs w:val="22"/>
          <w:highlight w:val="none"/>
        </w:rPr>
      </w:pPr>
      <w:r>
        <w:rPr>
          <w:rFonts w:hint="eastAsia" w:ascii="宋体" w:hAnsi="宋体" w:cs="宋体"/>
          <w:b/>
          <w:sz w:val="22"/>
          <w:szCs w:val="22"/>
          <w:highlight w:val="none"/>
        </w:rPr>
        <w:t>1.评标委员会根据各投标人的综合得分高低排定顺序，推荐综合得分最高的投标人为第一中标候选人；综合得分第二的投标人为第二中标候选人</w:t>
      </w:r>
      <w:r>
        <w:rPr>
          <w:rFonts w:hint="eastAsia" w:ascii="宋体" w:hAnsi="宋体"/>
          <w:sz w:val="22"/>
          <w:szCs w:val="22"/>
          <w:highlight w:val="none"/>
        </w:rPr>
        <w:t>（得分相同投标报价低的排序优先；得分且投标报价相同的，抽签决定）</w:t>
      </w:r>
      <w:r>
        <w:rPr>
          <w:rFonts w:hint="eastAsia" w:ascii="宋体" w:hAnsi="宋体" w:cs="宋体"/>
          <w:b/>
          <w:sz w:val="22"/>
          <w:szCs w:val="22"/>
          <w:highlight w:val="none"/>
        </w:rPr>
        <w:t>。招标人根据评标委员会推荐的中标候选人确定中标人。</w:t>
      </w:r>
    </w:p>
    <w:p w14:paraId="62C00295">
      <w:pPr>
        <w:snapToGrid w:val="0"/>
        <w:spacing w:line="440" w:lineRule="exact"/>
        <w:ind w:firstLine="440" w:firstLineChars="200"/>
        <w:jc w:val="left"/>
        <w:rPr>
          <w:rFonts w:ascii="宋体" w:hAnsi="宋体"/>
          <w:color w:val="000000"/>
          <w:sz w:val="22"/>
          <w:szCs w:val="22"/>
          <w:highlight w:val="none"/>
        </w:rPr>
      </w:pPr>
      <w:r>
        <w:rPr>
          <w:rFonts w:ascii="宋体" w:hAnsi="宋体"/>
          <w:color w:val="000000"/>
          <w:sz w:val="22"/>
          <w:szCs w:val="22"/>
          <w:highlight w:val="none"/>
        </w:rPr>
        <w:t>2</w:t>
      </w:r>
      <w:r>
        <w:rPr>
          <w:rFonts w:hint="eastAsia" w:ascii="宋体" w:hAnsi="宋体"/>
          <w:color w:val="000000"/>
          <w:sz w:val="22"/>
          <w:szCs w:val="22"/>
          <w:highlight w:val="none"/>
        </w:rPr>
        <w:t>.</w:t>
      </w:r>
      <w:r>
        <w:rPr>
          <w:rFonts w:ascii="宋体" w:hAnsi="宋体"/>
          <w:color w:val="000000"/>
          <w:sz w:val="22"/>
          <w:szCs w:val="22"/>
          <w:highlight w:val="none"/>
        </w:rPr>
        <w:t>中标人拖延、拒签</w:t>
      </w:r>
      <w:r>
        <w:rPr>
          <w:rFonts w:hint="eastAsia" w:ascii="宋体" w:hAnsi="宋体"/>
          <w:color w:val="000000"/>
          <w:sz w:val="22"/>
          <w:szCs w:val="22"/>
          <w:highlight w:val="none"/>
        </w:rPr>
        <w:t>合同或拒交履约保证金</w:t>
      </w:r>
      <w:r>
        <w:rPr>
          <w:rFonts w:ascii="宋体" w:hAnsi="宋体"/>
          <w:color w:val="000000"/>
          <w:sz w:val="22"/>
          <w:szCs w:val="22"/>
          <w:highlight w:val="none"/>
        </w:rPr>
        <w:t>的或</w:t>
      </w:r>
      <w:r>
        <w:rPr>
          <w:rFonts w:hint="eastAsia" w:ascii="宋体" w:hAnsi="宋体"/>
          <w:sz w:val="22"/>
          <w:szCs w:val="22"/>
          <w:highlight w:val="none"/>
        </w:rPr>
        <w:t>在本次招标活动中存在违法违规行为</w:t>
      </w:r>
      <w:r>
        <w:rPr>
          <w:rFonts w:ascii="宋体" w:hAnsi="宋体"/>
          <w:color w:val="000000"/>
          <w:sz w:val="22"/>
          <w:szCs w:val="22"/>
          <w:highlight w:val="none"/>
        </w:rPr>
        <w:t>,将被扣罚投标保证金并取消中标资格</w:t>
      </w:r>
      <w:r>
        <w:rPr>
          <w:rFonts w:hint="eastAsia" w:ascii="宋体" w:hAnsi="宋体"/>
          <w:color w:val="000000"/>
          <w:sz w:val="22"/>
          <w:szCs w:val="22"/>
          <w:highlight w:val="none"/>
        </w:rPr>
        <w:t>。</w:t>
      </w:r>
    </w:p>
    <w:p w14:paraId="781D2ACB">
      <w:pPr>
        <w:spacing w:line="440" w:lineRule="exact"/>
        <w:ind w:firstLine="440" w:firstLineChars="200"/>
        <w:jc w:val="left"/>
        <w:rPr>
          <w:rFonts w:ascii="宋体" w:hAnsi="宋体"/>
          <w:b/>
          <w:sz w:val="22"/>
          <w:szCs w:val="22"/>
          <w:highlight w:val="none"/>
        </w:rPr>
      </w:pPr>
      <w:r>
        <w:rPr>
          <w:rFonts w:hint="eastAsia" w:ascii="宋体" w:hAnsi="宋体"/>
          <w:sz w:val="22"/>
          <w:szCs w:val="22"/>
          <w:highlight w:val="none"/>
        </w:rPr>
        <w:t>3.中标候选人放弃中标；因不可抗力提出不能履行合同；或未能在规定时间内与招标人签订合同的；或者经质疑，招标人审查后，确因中标候选人在本次招标活动中存在违法违规行为或其他原因使质疑成立的，招标人可选择第二中标候选人为中标人或重新招标。</w:t>
      </w:r>
    </w:p>
    <w:p w14:paraId="1A31D1A1">
      <w:pPr>
        <w:tabs>
          <w:tab w:val="left" w:pos="425"/>
          <w:tab w:val="left" w:pos="540"/>
        </w:tabs>
        <w:spacing w:line="440" w:lineRule="exact"/>
        <w:ind w:firstLine="440" w:firstLineChars="200"/>
        <w:jc w:val="left"/>
        <w:rPr>
          <w:rFonts w:ascii="宋体" w:hAnsi="宋体" w:cs="宋体"/>
          <w:bCs/>
          <w:sz w:val="22"/>
          <w:szCs w:val="22"/>
          <w:highlight w:val="none"/>
        </w:rPr>
      </w:pPr>
      <w:r>
        <w:rPr>
          <w:rFonts w:hint="eastAsia" w:ascii="宋体" w:hAnsi="宋体" w:cs="宋体"/>
          <w:bCs/>
          <w:sz w:val="22"/>
          <w:szCs w:val="22"/>
          <w:highlight w:val="none"/>
        </w:rPr>
        <w:t>4.招标人对决标结果不做任何解释，也不保证最低报价中标。</w:t>
      </w:r>
    </w:p>
    <w:p w14:paraId="6E8EAD2A">
      <w:pPr>
        <w:pStyle w:val="17"/>
        <w:snapToGrid w:val="0"/>
        <w:spacing w:beforeLines="0" w:afterLines="0" w:line="440" w:lineRule="exact"/>
        <w:ind w:firstLine="442" w:firstLineChars="200"/>
        <w:jc w:val="left"/>
        <w:rPr>
          <w:rFonts w:hAnsi="宋体"/>
          <w:b/>
          <w:color w:val="000000"/>
          <w:sz w:val="22"/>
          <w:szCs w:val="22"/>
          <w:highlight w:val="none"/>
        </w:rPr>
      </w:pPr>
      <w:bookmarkStart w:id="86" w:name="_Toc50128406"/>
      <w:r>
        <w:rPr>
          <w:rFonts w:hint="eastAsia" w:hAnsi="宋体"/>
          <w:b/>
          <w:color w:val="000000"/>
          <w:sz w:val="22"/>
          <w:szCs w:val="22"/>
          <w:highlight w:val="none"/>
        </w:rPr>
        <w:t>（九）合同授予</w:t>
      </w:r>
      <w:bookmarkEnd w:id="86"/>
    </w:p>
    <w:p w14:paraId="0A115EF3">
      <w:pPr>
        <w:tabs>
          <w:tab w:val="left" w:pos="540"/>
        </w:tabs>
        <w:spacing w:line="440" w:lineRule="exact"/>
        <w:ind w:firstLine="442" w:firstLineChars="200"/>
        <w:jc w:val="left"/>
        <w:rPr>
          <w:rFonts w:ascii="宋体" w:hAnsi="宋体" w:cs="宋体"/>
          <w:bCs/>
          <w:sz w:val="22"/>
          <w:szCs w:val="22"/>
          <w:highlight w:val="none"/>
        </w:rPr>
      </w:pPr>
      <w:r>
        <w:rPr>
          <w:rFonts w:hint="eastAsia" w:ascii="宋体" w:hAnsi="宋体" w:cs="宋体"/>
          <w:b/>
          <w:sz w:val="22"/>
          <w:szCs w:val="22"/>
          <w:highlight w:val="none"/>
        </w:rPr>
        <w:t>1.评审结束后，招标人将对评标专家推荐的第一中标候选人进行最终审查，审查内容主要是中标人是否有能力（财务、技术和生产能力）履行合同。</w:t>
      </w:r>
      <w:r>
        <w:rPr>
          <w:rFonts w:hint="eastAsia" w:ascii="宋体" w:hAnsi="宋体" w:cs="宋体"/>
          <w:bCs/>
          <w:sz w:val="22"/>
          <w:szCs w:val="22"/>
          <w:highlight w:val="none"/>
        </w:rPr>
        <w:t>审查通过，招标人将把中标合同授予该中标人；审查未通过，招标人将拒绝其中标，</w:t>
      </w:r>
      <w:r>
        <w:rPr>
          <w:rFonts w:hint="eastAsia" w:ascii="宋体" w:hAnsi="宋体"/>
          <w:sz w:val="22"/>
          <w:szCs w:val="22"/>
          <w:highlight w:val="none"/>
        </w:rPr>
        <w:t>并可以将</w:t>
      </w:r>
      <w:r>
        <w:rPr>
          <w:rFonts w:hint="eastAsia" w:ascii="宋体" w:hAnsi="宋体" w:cs="宋体"/>
          <w:bCs/>
          <w:sz w:val="22"/>
          <w:szCs w:val="22"/>
          <w:highlight w:val="none"/>
        </w:rPr>
        <w:t>合同授予审查通过的</w:t>
      </w:r>
      <w:r>
        <w:rPr>
          <w:rFonts w:hint="eastAsia" w:ascii="宋体" w:hAnsi="宋体"/>
          <w:sz w:val="22"/>
          <w:szCs w:val="22"/>
          <w:highlight w:val="none"/>
        </w:rPr>
        <w:t>第二中标候选人或重新招标</w:t>
      </w:r>
      <w:r>
        <w:rPr>
          <w:rFonts w:hint="eastAsia" w:ascii="宋体" w:hAnsi="宋体" w:cs="宋体"/>
          <w:bCs/>
          <w:sz w:val="22"/>
          <w:szCs w:val="22"/>
          <w:highlight w:val="none"/>
        </w:rPr>
        <w:t>。</w:t>
      </w:r>
    </w:p>
    <w:p w14:paraId="184314DA">
      <w:pPr>
        <w:tabs>
          <w:tab w:val="left" w:pos="540"/>
        </w:tabs>
        <w:spacing w:line="440" w:lineRule="exact"/>
        <w:ind w:firstLine="440" w:firstLineChars="200"/>
        <w:jc w:val="left"/>
        <w:rPr>
          <w:rFonts w:ascii="宋体" w:hAnsi="宋体" w:cs="宋体"/>
          <w:bCs/>
          <w:sz w:val="22"/>
          <w:szCs w:val="22"/>
          <w:highlight w:val="none"/>
        </w:rPr>
      </w:pPr>
      <w:r>
        <w:rPr>
          <w:rFonts w:hint="eastAsia" w:ascii="宋体" w:hAnsi="宋体" w:cs="宋体"/>
          <w:bCs/>
          <w:sz w:val="22"/>
          <w:szCs w:val="22"/>
          <w:highlight w:val="none"/>
        </w:rPr>
        <w:t>2</w:t>
      </w:r>
      <w:r>
        <w:rPr>
          <w:rFonts w:hint="eastAsia" w:ascii="宋体" w:hAnsi="宋体" w:cs="宋体"/>
          <w:bCs/>
          <w:color w:val="000000" w:themeColor="text1"/>
          <w:sz w:val="22"/>
          <w:szCs w:val="22"/>
          <w:highlight w:val="none"/>
          <w14:textFill>
            <w14:solidFill>
              <w14:schemeClr w14:val="tx1"/>
            </w14:solidFill>
          </w14:textFill>
        </w:rPr>
        <w:t>.评标专家确定的</w:t>
      </w:r>
      <w:r>
        <w:rPr>
          <w:rFonts w:hint="eastAsia" w:ascii="宋体" w:hAnsi="宋体" w:cs="新宋体"/>
          <w:color w:val="000000" w:themeColor="text1"/>
          <w:sz w:val="22"/>
          <w:szCs w:val="22"/>
          <w:highlight w:val="none"/>
          <w14:textFill>
            <w14:solidFill>
              <w14:schemeClr w14:val="tx1"/>
            </w14:solidFill>
          </w14:textFill>
        </w:rPr>
        <w:t>中标候选人</w:t>
      </w:r>
      <w:r>
        <w:rPr>
          <w:rFonts w:hint="eastAsia" w:ascii="宋体" w:hAnsi="宋体" w:cs="宋体"/>
          <w:bCs/>
          <w:color w:val="000000" w:themeColor="text1"/>
          <w:sz w:val="22"/>
          <w:szCs w:val="22"/>
          <w:highlight w:val="none"/>
          <w14:textFill>
            <w14:solidFill>
              <w14:schemeClr w14:val="tx1"/>
            </w14:solidFill>
          </w14:textFill>
        </w:rPr>
        <w:t>经招标人审查合格后在本项目招标指定信息发布媒体上公示，</w:t>
      </w:r>
      <w:r>
        <w:rPr>
          <w:rFonts w:hint="eastAsia" w:ascii="宋体" w:hAnsi="宋体" w:cs="新宋体"/>
          <w:sz w:val="22"/>
          <w:szCs w:val="22"/>
          <w:highlight w:val="none"/>
        </w:rPr>
        <w:t>结果公示期限为3个工作日</w:t>
      </w:r>
      <w:r>
        <w:rPr>
          <w:rFonts w:hint="eastAsia" w:ascii="宋体" w:hAnsi="宋体"/>
          <w:bCs/>
          <w:sz w:val="22"/>
          <w:szCs w:val="22"/>
          <w:highlight w:val="none"/>
        </w:rPr>
        <w:t>。</w:t>
      </w:r>
      <w:r>
        <w:rPr>
          <w:rFonts w:hint="eastAsia" w:ascii="宋体" w:hAnsi="宋体" w:cs="宋体"/>
          <w:bCs/>
          <w:sz w:val="22"/>
          <w:szCs w:val="22"/>
          <w:highlight w:val="none"/>
        </w:rPr>
        <w:t>各投标人对评标结果如有异议，可在规定时间内以书面形式向招标人进行署名投诉或提出质疑，但需对投诉或质疑内容的真实性承担法律责任。</w:t>
      </w:r>
    </w:p>
    <w:p w14:paraId="11E9292A">
      <w:pPr>
        <w:tabs>
          <w:tab w:val="left" w:pos="540"/>
        </w:tabs>
        <w:spacing w:line="440" w:lineRule="exact"/>
        <w:ind w:firstLine="440" w:firstLineChars="200"/>
        <w:jc w:val="left"/>
        <w:rPr>
          <w:rFonts w:ascii="宋体" w:hAnsi="宋体" w:cs="宋体"/>
          <w:bCs/>
          <w:sz w:val="22"/>
          <w:szCs w:val="22"/>
          <w:highlight w:val="none"/>
        </w:rPr>
      </w:pPr>
      <w:r>
        <w:rPr>
          <w:rFonts w:hint="eastAsia" w:ascii="宋体" w:hAnsi="宋体" w:cs="宋体"/>
          <w:bCs/>
          <w:sz w:val="22"/>
          <w:szCs w:val="22"/>
          <w:highlight w:val="none"/>
        </w:rPr>
        <w:t>3.公示期结束后，</w:t>
      </w:r>
      <w:r>
        <w:rPr>
          <w:rFonts w:hint="eastAsia" w:ascii="宋体" w:hAnsi="宋体" w:cs="新宋体"/>
          <w:sz w:val="22"/>
          <w:szCs w:val="22"/>
          <w:highlight w:val="none"/>
        </w:rPr>
        <w:t>招标人向中标人发出中标通知书，</w:t>
      </w:r>
      <w:r>
        <w:rPr>
          <w:rFonts w:hint="eastAsia" w:ascii="宋体" w:hAnsi="宋体"/>
          <w:sz w:val="22"/>
          <w:szCs w:val="22"/>
          <w:highlight w:val="none"/>
        </w:rPr>
        <w:t>中标通知书是合同的一个组成部分,对招标人和中标人均具有同等法律效力。</w:t>
      </w:r>
    </w:p>
    <w:p w14:paraId="195FADF6">
      <w:pPr>
        <w:tabs>
          <w:tab w:val="left" w:pos="540"/>
        </w:tabs>
        <w:snapToGrid w:val="0"/>
        <w:spacing w:line="440" w:lineRule="exact"/>
        <w:ind w:firstLine="440" w:firstLineChars="200"/>
        <w:jc w:val="left"/>
        <w:rPr>
          <w:rFonts w:ascii="宋体" w:hAnsi="宋体"/>
          <w:color w:val="000000"/>
          <w:sz w:val="22"/>
          <w:szCs w:val="22"/>
          <w:highlight w:val="none"/>
        </w:rPr>
      </w:pPr>
      <w:r>
        <w:rPr>
          <w:rFonts w:hint="eastAsia" w:ascii="宋体" w:hAnsi="宋体"/>
          <w:color w:val="000000"/>
          <w:sz w:val="22"/>
          <w:szCs w:val="22"/>
          <w:highlight w:val="none"/>
        </w:rPr>
        <w:t>4.招标人</w:t>
      </w:r>
      <w:r>
        <w:rPr>
          <w:rFonts w:hint="eastAsia" w:ascii="宋体" w:hAnsi="宋体"/>
          <w:color w:val="000000" w:themeColor="text1"/>
          <w:sz w:val="22"/>
          <w:szCs w:val="22"/>
          <w:highlight w:val="none"/>
          <w14:textFill>
            <w14:solidFill>
              <w14:schemeClr w14:val="tx1"/>
            </w14:solidFill>
          </w14:textFill>
        </w:rPr>
        <w:t>与</w:t>
      </w:r>
      <w:r>
        <w:rPr>
          <w:rFonts w:ascii="宋体" w:hAnsi="宋体"/>
          <w:color w:val="000000"/>
          <w:sz w:val="22"/>
          <w:szCs w:val="22"/>
          <w:highlight w:val="none"/>
        </w:rPr>
        <w:t>中标人应</w:t>
      </w:r>
      <w:r>
        <w:rPr>
          <w:rFonts w:hint="eastAsia" w:ascii="宋体" w:hAnsi="宋体"/>
          <w:color w:val="000000"/>
          <w:sz w:val="22"/>
          <w:szCs w:val="22"/>
          <w:highlight w:val="none"/>
        </w:rPr>
        <w:t>当在《</w:t>
      </w:r>
      <w:r>
        <w:rPr>
          <w:rFonts w:ascii="宋体" w:hAnsi="宋体"/>
          <w:color w:val="000000"/>
          <w:sz w:val="22"/>
          <w:szCs w:val="22"/>
          <w:highlight w:val="none"/>
        </w:rPr>
        <w:t>中标通知书</w:t>
      </w:r>
      <w:r>
        <w:rPr>
          <w:rFonts w:hint="eastAsia" w:ascii="宋体" w:hAnsi="宋体"/>
          <w:color w:val="000000"/>
          <w:sz w:val="22"/>
          <w:szCs w:val="22"/>
          <w:highlight w:val="none"/>
        </w:rPr>
        <w:t>》发出之日起30日内签订合同。同时，招标人对合同内容进行审查，如发现与采购结果和投标承诺内容不一致的，应予以纠正。</w:t>
      </w:r>
    </w:p>
    <w:p w14:paraId="53B83375">
      <w:pPr>
        <w:pStyle w:val="10"/>
        <w:tabs>
          <w:tab w:val="left" w:pos="540"/>
        </w:tabs>
        <w:spacing w:line="440" w:lineRule="exact"/>
        <w:ind w:firstLine="442" w:firstLineChars="200"/>
        <w:rPr>
          <w:b/>
          <w:sz w:val="22"/>
          <w:szCs w:val="22"/>
          <w:highlight w:val="none"/>
        </w:rPr>
      </w:pPr>
      <w:r>
        <w:rPr>
          <w:rFonts w:hint="eastAsia" w:ascii="宋体" w:hAnsi="宋体"/>
          <w:b/>
          <w:bCs/>
          <w:sz w:val="22"/>
          <w:szCs w:val="22"/>
          <w:highlight w:val="none"/>
        </w:rPr>
        <w:t>（十）履约保证金</w:t>
      </w:r>
    </w:p>
    <w:p w14:paraId="6C005F86">
      <w:pPr>
        <w:tabs>
          <w:tab w:val="left" w:pos="540"/>
        </w:tabs>
        <w:snapToGrid w:val="0"/>
        <w:spacing w:line="440" w:lineRule="exact"/>
        <w:ind w:firstLine="440" w:firstLineChars="200"/>
        <w:jc w:val="left"/>
        <w:rPr>
          <w:rFonts w:ascii="宋体" w:hAnsi="宋体"/>
          <w:color w:val="000000"/>
          <w:sz w:val="22"/>
          <w:szCs w:val="22"/>
          <w:highlight w:val="none"/>
        </w:rPr>
      </w:pPr>
      <w:r>
        <w:rPr>
          <w:rFonts w:hint="eastAsia" w:ascii="宋体" w:hAnsi="宋体"/>
          <w:color w:val="000000"/>
          <w:sz w:val="22"/>
          <w:szCs w:val="22"/>
          <w:highlight w:val="none"/>
        </w:rPr>
        <w:t>1.中标人在收到中标通知书后，中标人在合同签订之前须向招标人提交合同总价5%的履约保证金，并且要保证履约保证金在合同履行期间的有效性。</w:t>
      </w:r>
    </w:p>
    <w:p w14:paraId="42CAA89D">
      <w:pPr>
        <w:tabs>
          <w:tab w:val="left" w:pos="540"/>
        </w:tabs>
        <w:snapToGrid w:val="0"/>
        <w:spacing w:line="440" w:lineRule="exact"/>
        <w:ind w:firstLine="440" w:firstLineChars="200"/>
        <w:jc w:val="left"/>
        <w:rPr>
          <w:rFonts w:ascii="宋体" w:hAnsi="宋体"/>
          <w:color w:val="000000"/>
          <w:sz w:val="22"/>
          <w:szCs w:val="22"/>
          <w:highlight w:val="none"/>
        </w:rPr>
      </w:pPr>
      <w:r>
        <w:rPr>
          <w:rFonts w:hint="eastAsia" w:ascii="宋体" w:hAnsi="宋体"/>
          <w:color w:val="000000"/>
          <w:sz w:val="22"/>
          <w:szCs w:val="22"/>
          <w:highlight w:val="none"/>
        </w:rPr>
        <w:t>2.履约保证金用于补偿招标人因中标人不能完成其合同义务而蒙受的损失。</w:t>
      </w:r>
    </w:p>
    <w:p w14:paraId="0E9E3991">
      <w:pPr>
        <w:tabs>
          <w:tab w:val="left" w:pos="540"/>
        </w:tabs>
        <w:snapToGrid w:val="0"/>
        <w:spacing w:line="440" w:lineRule="exact"/>
        <w:ind w:firstLine="440" w:firstLineChars="200"/>
        <w:jc w:val="left"/>
        <w:rPr>
          <w:rFonts w:ascii="宋体" w:hAnsi="宋体"/>
          <w:color w:val="000000"/>
          <w:sz w:val="22"/>
          <w:szCs w:val="22"/>
          <w:highlight w:val="none"/>
        </w:rPr>
      </w:pPr>
      <w:r>
        <w:rPr>
          <w:rFonts w:hint="eastAsia" w:ascii="宋体" w:hAnsi="宋体"/>
          <w:color w:val="000000"/>
          <w:sz w:val="22"/>
          <w:szCs w:val="22"/>
          <w:highlight w:val="none"/>
        </w:rPr>
        <w:t>3.履约保证金在验收合格后转为质量保证金继续执行，待质保期满后，维修的设备正常运行无质量问题，招标人在30个日历天内无息向中标人退还。</w:t>
      </w:r>
    </w:p>
    <w:p w14:paraId="0CF4B8A6">
      <w:pPr>
        <w:spacing w:line="440" w:lineRule="exact"/>
        <w:ind w:firstLine="440" w:firstLineChars="200"/>
        <w:jc w:val="left"/>
        <w:rPr>
          <w:rFonts w:ascii="宋体" w:hAnsi="宋体" w:cs="宋体"/>
          <w:sz w:val="22"/>
          <w:szCs w:val="22"/>
          <w:highlight w:val="none"/>
        </w:rPr>
      </w:pPr>
    </w:p>
    <w:p w14:paraId="29242A38">
      <w:pPr>
        <w:pStyle w:val="12"/>
        <w:ind w:firstLine="201"/>
        <w:rPr>
          <w:b/>
          <w:highlight w:val="none"/>
        </w:rPr>
      </w:pPr>
      <w:r>
        <w:rPr>
          <w:rFonts w:hint="eastAsia"/>
          <w:b/>
          <w:highlight w:val="none"/>
        </w:rPr>
        <w:br w:type="page"/>
      </w:r>
    </w:p>
    <w:p w14:paraId="2F7DDB28">
      <w:pPr>
        <w:pStyle w:val="23"/>
        <w:rPr>
          <w:highlight w:val="none"/>
        </w:rPr>
      </w:pPr>
      <w:bookmarkStart w:id="87" w:name="_Toc9800"/>
      <w:bookmarkStart w:id="88" w:name="_Toc50128407"/>
      <w:r>
        <w:rPr>
          <w:rFonts w:hint="eastAsia"/>
          <w:highlight w:val="none"/>
        </w:rPr>
        <w:t>第四章  评标办法及评分标准</w:t>
      </w:r>
      <w:bookmarkEnd w:id="87"/>
      <w:bookmarkEnd w:id="88"/>
    </w:p>
    <w:p w14:paraId="73C59EA8">
      <w:pPr>
        <w:pStyle w:val="11"/>
        <w:spacing w:after="0" w:line="440" w:lineRule="exact"/>
        <w:ind w:firstLine="442" w:firstLineChars="200"/>
        <w:jc w:val="left"/>
        <w:rPr>
          <w:rFonts w:ascii="宋体" w:hAnsi="宋体" w:cs="宋体"/>
          <w:b/>
          <w:sz w:val="22"/>
          <w:szCs w:val="22"/>
          <w:highlight w:val="none"/>
        </w:rPr>
      </w:pPr>
      <w:bookmarkStart w:id="89" w:name="_Toc221356961"/>
      <w:bookmarkStart w:id="90" w:name="_Toc221356898"/>
      <w:r>
        <w:rPr>
          <w:rFonts w:hint="eastAsia" w:ascii="宋体" w:hAnsi="宋体" w:cs="宋体"/>
          <w:b/>
          <w:sz w:val="22"/>
          <w:szCs w:val="22"/>
          <w:highlight w:val="none"/>
        </w:rPr>
        <w:t>一、总则</w:t>
      </w:r>
      <w:bookmarkEnd w:id="89"/>
      <w:bookmarkEnd w:id="90"/>
    </w:p>
    <w:p w14:paraId="093C0DEA">
      <w:pPr>
        <w:spacing w:line="440" w:lineRule="exact"/>
        <w:ind w:firstLine="440" w:firstLineChars="200"/>
        <w:jc w:val="left"/>
        <w:rPr>
          <w:rFonts w:ascii="宋体" w:hAnsi="宋体" w:cs="宋体"/>
          <w:sz w:val="22"/>
          <w:szCs w:val="22"/>
          <w:highlight w:val="none"/>
        </w:rPr>
      </w:pPr>
      <w:r>
        <w:rPr>
          <w:rFonts w:hint="eastAsia" w:ascii="宋体" w:hAnsi="宋体" w:cs="宋体"/>
          <w:sz w:val="22"/>
          <w:szCs w:val="22"/>
          <w:highlight w:val="none"/>
        </w:rPr>
        <w:t>评标工作遵循公平、公正、科学、择优原则和诚实、信誉、效率的服务原则。本着科学、严谨的态度，认真进行评标，最大限度的保护当事人权益，严格按照招标文件的商务、技术要求，对投标文件进行综合评定，提出优选方案，编写评标报告。对落标单位，评委会不作任何落标解释。投标人不得以任何方式干扰招投标工作的进行，一经发现其投标文件将被拒绝。</w:t>
      </w:r>
    </w:p>
    <w:p w14:paraId="23EEB780">
      <w:pPr>
        <w:spacing w:line="440" w:lineRule="exact"/>
        <w:ind w:firstLine="442" w:firstLineChars="200"/>
        <w:jc w:val="left"/>
        <w:rPr>
          <w:rFonts w:ascii="宋体" w:hAnsi="宋体" w:cs="宋体"/>
          <w:b/>
          <w:sz w:val="22"/>
          <w:szCs w:val="22"/>
          <w:highlight w:val="none"/>
        </w:rPr>
      </w:pPr>
      <w:r>
        <w:rPr>
          <w:rFonts w:hint="eastAsia" w:ascii="宋体" w:hAnsi="宋体" w:cs="宋体"/>
          <w:b/>
          <w:sz w:val="22"/>
          <w:szCs w:val="22"/>
          <w:highlight w:val="none"/>
        </w:rPr>
        <w:t>二、评标组织</w:t>
      </w:r>
    </w:p>
    <w:p w14:paraId="7B942CBD">
      <w:pPr>
        <w:spacing w:line="440" w:lineRule="exact"/>
        <w:ind w:firstLine="440" w:firstLineChars="200"/>
        <w:jc w:val="left"/>
        <w:rPr>
          <w:rFonts w:ascii="宋体" w:hAnsi="宋体" w:cs="宋体"/>
          <w:sz w:val="22"/>
          <w:szCs w:val="22"/>
          <w:highlight w:val="none"/>
        </w:rPr>
      </w:pPr>
      <w:r>
        <w:rPr>
          <w:rFonts w:hint="eastAsia" w:ascii="宋体" w:hAnsi="宋体" w:cs="宋体"/>
          <w:sz w:val="22"/>
          <w:szCs w:val="22"/>
          <w:highlight w:val="none"/>
        </w:rPr>
        <w:t>评标工作由招标人依法组建5人评标专家成员负责，评标全过程由有关部门指导监督。</w:t>
      </w:r>
    </w:p>
    <w:p w14:paraId="4D264BB2">
      <w:pPr>
        <w:spacing w:line="440" w:lineRule="exact"/>
        <w:ind w:firstLine="442" w:firstLineChars="200"/>
        <w:jc w:val="left"/>
        <w:rPr>
          <w:rFonts w:ascii="宋体" w:hAnsi="宋体" w:cs="宋体"/>
          <w:b/>
          <w:sz w:val="22"/>
          <w:szCs w:val="22"/>
          <w:highlight w:val="none"/>
        </w:rPr>
      </w:pPr>
      <w:r>
        <w:rPr>
          <w:rFonts w:hint="eastAsia" w:ascii="宋体" w:hAnsi="宋体" w:cs="宋体"/>
          <w:b/>
          <w:sz w:val="22"/>
          <w:szCs w:val="22"/>
          <w:highlight w:val="none"/>
        </w:rPr>
        <w:t>三、评标程序</w:t>
      </w:r>
    </w:p>
    <w:p w14:paraId="7EBB044D">
      <w:pPr>
        <w:spacing w:line="440" w:lineRule="exact"/>
        <w:ind w:firstLine="440" w:firstLineChars="200"/>
        <w:jc w:val="left"/>
        <w:rPr>
          <w:rFonts w:ascii="宋体" w:hAnsi="宋体" w:cs="宋体"/>
          <w:sz w:val="22"/>
          <w:szCs w:val="22"/>
          <w:highlight w:val="none"/>
        </w:rPr>
      </w:pPr>
      <w:r>
        <w:rPr>
          <w:rFonts w:hint="eastAsia" w:ascii="宋体" w:hAnsi="宋体" w:cs="宋体"/>
          <w:sz w:val="22"/>
          <w:szCs w:val="22"/>
          <w:highlight w:val="none"/>
        </w:rPr>
        <w:t>由招标人或招标代理机构对各投标人的投标资格进行审查；然后由评委对合格投标人的资格审查文件、商务技术标进行评审,资格审查文件、商务技术标评审结束后进行价格标评审，计算综合得分，提交评审报告。</w:t>
      </w:r>
    </w:p>
    <w:p w14:paraId="5F8F5E02">
      <w:pPr>
        <w:spacing w:line="440" w:lineRule="exact"/>
        <w:ind w:firstLine="442" w:firstLineChars="200"/>
        <w:jc w:val="left"/>
        <w:rPr>
          <w:rFonts w:ascii="宋体" w:hAnsi="宋体" w:cs="宋体"/>
          <w:b/>
          <w:sz w:val="22"/>
          <w:szCs w:val="22"/>
          <w:highlight w:val="none"/>
        </w:rPr>
      </w:pPr>
      <w:r>
        <w:rPr>
          <w:rFonts w:hint="eastAsia" w:ascii="宋体" w:hAnsi="宋体" w:cs="宋体"/>
          <w:b/>
          <w:sz w:val="22"/>
          <w:szCs w:val="22"/>
          <w:highlight w:val="none"/>
        </w:rPr>
        <w:t>四、评标办法</w:t>
      </w:r>
    </w:p>
    <w:p w14:paraId="2F03EF0C">
      <w:pPr>
        <w:spacing w:line="440" w:lineRule="exact"/>
        <w:ind w:firstLine="440" w:firstLineChars="200"/>
        <w:jc w:val="left"/>
        <w:rPr>
          <w:rFonts w:ascii="宋体" w:hAnsi="宋体" w:cs="宋体"/>
          <w:sz w:val="22"/>
          <w:szCs w:val="22"/>
          <w:highlight w:val="none"/>
        </w:rPr>
      </w:pPr>
      <w:bookmarkStart w:id="91" w:name="_Toc221356902"/>
      <w:bookmarkStart w:id="92" w:name="_Toc221356965"/>
      <w:r>
        <w:rPr>
          <w:rFonts w:hint="eastAsia" w:ascii="宋体" w:hAnsi="宋体" w:cs="宋体"/>
          <w:sz w:val="22"/>
          <w:szCs w:val="22"/>
          <w:highlight w:val="none"/>
        </w:rPr>
        <w:t>本次采购采用百分制综合评分法，即投标人最大限度地满足招标文件实质性要求的基础上，按照招标文件的各项因素进行综合评审后，以综合得分高低的顺序推荐中标候选人的评标方法。根据采购要求，</w:t>
      </w:r>
      <w:r>
        <w:rPr>
          <w:rFonts w:hint="eastAsia" w:ascii="宋体" w:hAnsi="宋体" w:cs="宋体"/>
          <w:b/>
          <w:bCs/>
          <w:sz w:val="22"/>
          <w:szCs w:val="22"/>
          <w:highlight w:val="none"/>
        </w:rPr>
        <w:t>总分设定为100分；其中商务技术标30分，价格标70分。</w:t>
      </w:r>
    </w:p>
    <w:p w14:paraId="1F30D780">
      <w:pPr>
        <w:spacing w:line="440" w:lineRule="exact"/>
        <w:ind w:firstLine="442" w:firstLineChars="200"/>
        <w:jc w:val="left"/>
        <w:rPr>
          <w:rFonts w:ascii="宋体" w:hAnsi="宋体"/>
          <w:b/>
          <w:bCs/>
          <w:color w:val="000000"/>
          <w:sz w:val="22"/>
          <w:szCs w:val="22"/>
          <w:highlight w:val="none"/>
        </w:rPr>
      </w:pPr>
      <w:r>
        <w:rPr>
          <w:rFonts w:hint="eastAsia" w:ascii="宋体" w:hAnsi="宋体" w:cs="宋体"/>
          <w:b/>
          <w:sz w:val="22"/>
          <w:szCs w:val="22"/>
          <w:highlight w:val="none"/>
        </w:rPr>
        <w:t>五、</w:t>
      </w:r>
      <w:bookmarkEnd w:id="91"/>
      <w:bookmarkEnd w:id="92"/>
      <w:r>
        <w:rPr>
          <w:rFonts w:hint="eastAsia" w:ascii="宋体" w:hAnsi="宋体"/>
          <w:b/>
          <w:bCs/>
          <w:color w:val="000000"/>
          <w:sz w:val="22"/>
          <w:szCs w:val="22"/>
          <w:highlight w:val="none"/>
        </w:rPr>
        <w:t>评分标准</w:t>
      </w:r>
    </w:p>
    <w:p w14:paraId="1CFB524E">
      <w:pPr>
        <w:spacing w:line="440" w:lineRule="exact"/>
        <w:ind w:firstLine="442" w:firstLineChars="200"/>
        <w:jc w:val="left"/>
        <w:rPr>
          <w:rFonts w:ascii="宋体" w:hAnsi="宋体" w:cs="宋体"/>
          <w:b/>
          <w:sz w:val="22"/>
          <w:szCs w:val="22"/>
          <w:highlight w:val="none"/>
        </w:rPr>
      </w:pPr>
      <w:r>
        <w:rPr>
          <w:rFonts w:hint="eastAsia" w:ascii="宋体" w:hAnsi="宋体" w:cs="宋体"/>
          <w:b/>
          <w:sz w:val="22"/>
          <w:szCs w:val="22"/>
          <w:highlight w:val="none"/>
        </w:rPr>
        <w:t>1、商务技术标综合评分30分</w:t>
      </w:r>
    </w:p>
    <w:p w14:paraId="68920E81">
      <w:pPr>
        <w:spacing w:line="440" w:lineRule="exact"/>
        <w:ind w:firstLine="440" w:firstLineChars="200"/>
        <w:rPr>
          <w:rFonts w:ascii="宋体" w:hAnsi="宋体" w:cs="宋体"/>
          <w:sz w:val="22"/>
          <w:szCs w:val="22"/>
          <w:highlight w:val="none"/>
        </w:rPr>
      </w:pPr>
      <w:bookmarkStart w:id="93" w:name="_Toc221356903"/>
      <w:bookmarkStart w:id="94" w:name="_Toc221356966"/>
      <w:r>
        <w:rPr>
          <w:rFonts w:hint="eastAsia" w:ascii="宋体" w:hAnsi="宋体" w:cs="宋体"/>
          <w:sz w:val="22"/>
          <w:szCs w:val="22"/>
          <w:highlight w:val="none"/>
        </w:rPr>
        <w:t>各评标专家成员按下列评分项目进行评定，每人一张评分计算表，由评标专家成员各自评定打分并记实名。如任何一张表的一项评分内容分值超过规定的范围，则该张表无效。评标专家成员对各投标人的各项评分内容评分合计值的算术平均值为该投标人技术部分的最终得分（四舍五入，保留小数点后二位）。</w:t>
      </w:r>
    </w:p>
    <w:p w14:paraId="59F5423D">
      <w:pPr>
        <w:spacing w:line="440" w:lineRule="exact"/>
        <w:ind w:firstLine="440" w:firstLineChars="200"/>
        <w:rPr>
          <w:rFonts w:ascii="宋体" w:hAnsi="宋体" w:cs="宋体"/>
          <w:sz w:val="22"/>
          <w:szCs w:val="22"/>
          <w:highlight w:val="none"/>
        </w:rPr>
      </w:pPr>
      <w:r>
        <w:rPr>
          <w:rFonts w:hint="eastAsia" w:ascii="宋体" w:hAnsi="宋体" w:cs="宋体"/>
          <w:sz w:val="22"/>
          <w:szCs w:val="22"/>
          <w:highlight w:val="none"/>
        </w:rPr>
        <w:t>评审标准：</w:t>
      </w:r>
    </w:p>
    <w:tbl>
      <w:tblPr>
        <w:tblStyle w:val="30"/>
        <w:tblW w:w="93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0"/>
        <w:gridCol w:w="1112"/>
        <w:gridCol w:w="1113"/>
        <w:gridCol w:w="6413"/>
      </w:tblGrid>
      <w:tr w14:paraId="5FD3A9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00" w:type="dxa"/>
            <w:vAlign w:val="center"/>
          </w:tcPr>
          <w:p w14:paraId="4F4F94F9">
            <w:pPr>
              <w:spacing w:line="360" w:lineRule="auto"/>
              <w:jc w:val="center"/>
              <w:rPr>
                <w:rFonts w:ascii="宋体" w:hAnsi="宋体" w:cs="宋体"/>
                <w:sz w:val="22"/>
                <w:szCs w:val="22"/>
                <w:highlight w:val="none"/>
              </w:rPr>
            </w:pPr>
            <w:r>
              <w:rPr>
                <w:rFonts w:hint="eastAsia" w:ascii="宋体" w:hAnsi="宋体" w:cs="宋体"/>
                <w:sz w:val="22"/>
                <w:szCs w:val="22"/>
                <w:highlight w:val="none"/>
              </w:rPr>
              <w:t>序号</w:t>
            </w:r>
          </w:p>
        </w:tc>
        <w:tc>
          <w:tcPr>
            <w:tcW w:w="2225" w:type="dxa"/>
            <w:gridSpan w:val="2"/>
            <w:vAlign w:val="center"/>
          </w:tcPr>
          <w:p w14:paraId="375E9A7B">
            <w:pPr>
              <w:spacing w:line="360" w:lineRule="auto"/>
              <w:jc w:val="center"/>
              <w:rPr>
                <w:rFonts w:ascii="宋体" w:hAnsi="宋体" w:cs="宋体"/>
                <w:sz w:val="22"/>
                <w:szCs w:val="22"/>
                <w:highlight w:val="none"/>
              </w:rPr>
            </w:pPr>
            <w:r>
              <w:rPr>
                <w:rFonts w:hint="eastAsia" w:ascii="宋体" w:hAnsi="宋体" w:cs="宋体"/>
                <w:sz w:val="22"/>
                <w:szCs w:val="22"/>
                <w:highlight w:val="none"/>
              </w:rPr>
              <w:t>评审内容</w:t>
            </w:r>
          </w:p>
        </w:tc>
        <w:tc>
          <w:tcPr>
            <w:tcW w:w="6413" w:type="dxa"/>
            <w:vAlign w:val="center"/>
          </w:tcPr>
          <w:p w14:paraId="43902602">
            <w:pPr>
              <w:spacing w:line="360" w:lineRule="auto"/>
              <w:jc w:val="center"/>
              <w:rPr>
                <w:rFonts w:ascii="宋体" w:hAnsi="宋体" w:cs="宋体"/>
                <w:sz w:val="22"/>
                <w:szCs w:val="22"/>
                <w:highlight w:val="none"/>
              </w:rPr>
            </w:pPr>
            <w:r>
              <w:rPr>
                <w:rFonts w:hint="eastAsia" w:ascii="宋体" w:hAnsi="宋体" w:cs="宋体"/>
                <w:sz w:val="22"/>
                <w:szCs w:val="22"/>
                <w:highlight w:val="none"/>
              </w:rPr>
              <w:t>评审标准</w:t>
            </w:r>
          </w:p>
        </w:tc>
      </w:tr>
      <w:tr w14:paraId="4B86DA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0" w:type="dxa"/>
            <w:vAlign w:val="center"/>
          </w:tcPr>
          <w:p w14:paraId="464B0003">
            <w:pPr>
              <w:spacing w:line="360" w:lineRule="auto"/>
              <w:jc w:val="center"/>
              <w:rPr>
                <w:rFonts w:ascii="宋体" w:hAnsi="宋体" w:cs="宋体"/>
                <w:sz w:val="22"/>
                <w:szCs w:val="22"/>
                <w:highlight w:val="none"/>
              </w:rPr>
            </w:pPr>
            <w:r>
              <w:rPr>
                <w:rFonts w:hint="eastAsia" w:ascii="宋体" w:hAnsi="宋体" w:cs="宋体"/>
                <w:sz w:val="22"/>
                <w:szCs w:val="22"/>
                <w:highlight w:val="none"/>
              </w:rPr>
              <w:t>1</w:t>
            </w:r>
          </w:p>
        </w:tc>
        <w:tc>
          <w:tcPr>
            <w:tcW w:w="2225" w:type="dxa"/>
            <w:gridSpan w:val="2"/>
            <w:vAlign w:val="center"/>
          </w:tcPr>
          <w:p w14:paraId="299C573C">
            <w:pPr>
              <w:spacing w:line="360" w:lineRule="auto"/>
              <w:jc w:val="center"/>
              <w:rPr>
                <w:rFonts w:ascii="宋体" w:hAnsi="宋体" w:cs="宋体"/>
                <w:sz w:val="22"/>
                <w:szCs w:val="22"/>
                <w:highlight w:val="none"/>
              </w:rPr>
            </w:pPr>
            <w:r>
              <w:rPr>
                <w:rFonts w:hint="eastAsia" w:ascii="宋体" w:hAnsi="宋体" w:cs="宋体"/>
                <w:sz w:val="22"/>
                <w:szCs w:val="22"/>
                <w:highlight w:val="none"/>
              </w:rPr>
              <w:t>投标人综合实力（4分）</w:t>
            </w:r>
          </w:p>
        </w:tc>
        <w:tc>
          <w:tcPr>
            <w:tcW w:w="6413" w:type="dxa"/>
            <w:vAlign w:val="center"/>
          </w:tcPr>
          <w:p w14:paraId="29BD4500">
            <w:pPr>
              <w:spacing w:line="360" w:lineRule="auto"/>
              <w:jc w:val="left"/>
              <w:rPr>
                <w:highlight w:val="none"/>
              </w:rPr>
            </w:pPr>
            <w:r>
              <w:rPr>
                <w:rFonts w:hint="eastAsia" w:ascii="宋体" w:hAnsi="宋体" w:cs="宋体"/>
                <w:sz w:val="22"/>
                <w:szCs w:val="22"/>
                <w:highlight w:val="none"/>
              </w:rPr>
              <w:t>评标委员会根据投标人企业履约能力、财务状况、信用等级、获得荣誉等综合评分，评分：优（2.6-4]；良（1.3-2.6]；一般[0-1.3]。</w:t>
            </w:r>
          </w:p>
        </w:tc>
      </w:tr>
      <w:tr w14:paraId="3AB919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0" w:type="dxa"/>
            <w:vAlign w:val="center"/>
          </w:tcPr>
          <w:p w14:paraId="5D474AEE">
            <w:pPr>
              <w:spacing w:line="360" w:lineRule="auto"/>
              <w:jc w:val="center"/>
              <w:rPr>
                <w:rFonts w:ascii="宋体" w:hAnsi="宋体" w:cs="宋体"/>
                <w:sz w:val="22"/>
                <w:szCs w:val="22"/>
                <w:highlight w:val="none"/>
              </w:rPr>
            </w:pPr>
            <w:r>
              <w:rPr>
                <w:rFonts w:hint="eastAsia" w:ascii="宋体" w:hAnsi="宋体" w:cs="宋体"/>
                <w:sz w:val="22"/>
                <w:szCs w:val="22"/>
                <w:highlight w:val="none"/>
              </w:rPr>
              <w:t>2</w:t>
            </w:r>
          </w:p>
        </w:tc>
        <w:tc>
          <w:tcPr>
            <w:tcW w:w="2225" w:type="dxa"/>
            <w:gridSpan w:val="2"/>
            <w:vAlign w:val="center"/>
          </w:tcPr>
          <w:p w14:paraId="5DF1368D">
            <w:pPr>
              <w:spacing w:line="360" w:lineRule="auto"/>
              <w:jc w:val="center"/>
              <w:rPr>
                <w:rFonts w:ascii="宋体" w:hAnsi="宋体" w:cs="宋体"/>
                <w:sz w:val="22"/>
                <w:szCs w:val="22"/>
                <w:highlight w:val="none"/>
              </w:rPr>
            </w:pPr>
            <w:r>
              <w:rPr>
                <w:rFonts w:hint="eastAsia" w:ascii="宋体" w:hAnsi="宋体" w:cs="宋体"/>
                <w:sz w:val="22"/>
                <w:szCs w:val="22"/>
                <w:highlight w:val="none"/>
              </w:rPr>
              <w:t>项目负责人业绩（3分）</w:t>
            </w:r>
          </w:p>
        </w:tc>
        <w:tc>
          <w:tcPr>
            <w:tcW w:w="6413" w:type="dxa"/>
            <w:vAlign w:val="center"/>
          </w:tcPr>
          <w:p w14:paraId="49238FFE">
            <w:pPr>
              <w:spacing w:line="360" w:lineRule="auto"/>
              <w:jc w:val="left"/>
              <w:rPr>
                <w:rFonts w:ascii="宋体" w:hAnsi="宋体" w:cs="宋体"/>
                <w:sz w:val="22"/>
                <w:szCs w:val="22"/>
                <w:highlight w:val="none"/>
              </w:rPr>
            </w:pPr>
            <w:r>
              <w:rPr>
                <w:rFonts w:hint="eastAsia" w:ascii="宋体" w:hAnsi="宋体" w:cs="宋体"/>
                <w:sz w:val="22"/>
                <w:szCs w:val="22"/>
                <w:highlight w:val="none"/>
              </w:rPr>
              <w:t>项目负责人近三年（即合同签订时间自2023年4月1日以来）具有“</w:t>
            </w:r>
            <w:r>
              <w:rPr>
                <w:rFonts w:hint="eastAsia" w:ascii="宋体" w:hAnsi="宋体" w:cs="宋体"/>
                <w:sz w:val="22"/>
                <w:szCs w:val="22"/>
                <w:highlight w:val="none"/>
                <w:u w:val="single"/>
              </w:rPr>
              <w:t>门座式起重机回转支承更换或维修”</w:t>
            </w:r>
            <w:r>
              <w:rPr>
                <w:rFonts w:hint="eastAsia" w:ascii="宋体" w:hAnsi="宋体" w:cs="宋体"/>
                <w:sz w:val="22"/>
                <w:szCs w:val="22"/>
                <w:highlight w:val="none"/>
              </w:rPr>
              <w:t>业绩，每提供一个有效业绩得1分，最高得3分。证明材料须提供合同复印件（如合同不能体现项目负责人姓名，须同时提供业主证明或验收报告等能证明其为该项目负责人的材料）并加盖单位公章。</w:t>
            </w:r>
          </w:p>
        </w:tc>
      </w:tr>
      <w:tr w14:paraId="23E3E9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0" w:hRule="atLeast"/>
          <w:jc w:val="center"/>
        </w:trPr>
        <w:tc>
          <w:tcPr>
            <w:tcW w:w="700" w:type="dxa"/>
            <w:vMerge w:val="restart"/>
            <w:vAlign w:val="center"/>
          </w:tcPr>
          <w:p w14:paraId="19E9EC44">
            <w:pPr>
              <w:spacing w:line="360" w:lineRule="auto"/>
              <w:jc w:val="center"/>
              <w:rPr>
                <w:rFonts w:ascii="宋体" w:hAnsi="宋体" w:cs="宋体"/>
                <w:sz w:val="22"/>
                <w:szCs w:val="22"/>
                <w:highlight w:val="none"/>
              </w:rPr>
            </w:pPr>
            <w:r>
              <w:rPr>
                <w:rFonts w:hint="eastAsia" w:ascii="宋体" w:hAnsi="宋体" w:cs="宋体"/>
                <w:sz w:val="22"/>
                <w:szCs w:val="22"/>
                <w:highlight w:val="none"/>
              </w:rPr>
              <w:t>3</w:t>
            </w:r>
          </w:p>
        </w:tc>
        <w:tc>
          <w:tcPr>
            <w:tcW w:w="1112" w:type="dxa"/>
            <w:vMerge w:val="restart"/>
            <w:vAlign w:val="center"/>
          </w:tcPr>
          <w:p w14:paraId="241CAB02">
            <w:pPr>
              <w:spacing w:line="360" w:lineRule="auto"/>
              <w:jc w:val="center"/>
              <w:rPr>
                <w:rFonts w:ascii="宋体" w:hAnsi="宋体" w:cs="宋体"/>
                <w:sz w:val="22"/>
                <w:szCs w:val="22"/>
                <w:highlight w:val="none"/>
              </w:rPr>
            </w:pPr>
            <w:r>
              <w:rPr>
                <w:rFonts w:hint="eastAsia" w:ascii="宋体" w:hAnsi="宋体" w:cs="宋体"/>
                <w:sz w:val="22"/>
                <w:szCs w:val="22"/>
                <w:highlight w:val="none"/>
              </w:rPr>
              <w:t>技术方案(6分）</w:t>
            </w:r>
          </w:p>
        </w:tc>
        <w:tc>
          <w:tcPr>
            <w:tcW w:w="1113" w:type="dxa"/>
            <w:vAlign w:val="center"/>
          </w:tcPr>
          <w:p w14:paraId="713F81BB">
            <w:pPr>
              <w:spacing w:line="360" w:lineRule="auto"/>
              <w:jc w:val="center"/>
              <w:rPr>
                <w:rFonts w:ascii="宋体" w:hAnsi="宋体" w:cs="宋体"/>
                <w:sz w:val="22"/>
                <w:szCs w:val="22"/>
                <w:highlight w:val="none"/>
              </w:rPr>
            </w:pPr>
            <w:r>
              <w:rPr>
                <w:rFonts w:hint="eastAsia"/>
                <w:sz w:val="22"/>
                <w:szCs w:val="22"/>
                <w:highlight w:val="none"/>
              </w:rPr>
              <w:t>施工工艺流程与关键工序控制（3分）</w:t>
            </w:r>
          </w:p>
        </w:tc>
        <w:tc>
          <w:tcPr>
            <w:tcW w:w="6413" w:type="dxa"/>
            <w:vAlign w:val="center"/>
          </w:tcPr>
          <w:p w14:paraId="60B9BF83">
            <w:pPr>
              <w:spacing w:line="360" w:lineRule="auto"/>
              <w:jc w:val="left"/>
              <w:rPr>
                <w:rFonts w:ascii="宋体" w:hAnsi="宋体" w:cs="宋体"/>
                <w:sz w:val="22"/>
                <w:szCs w:val="22"/>
                <w:highlight w:val="none"/>
              </w:rPr>
            </w:pPr>
            <w:r>
              <w:rPr>
                <w:rFonts w:hint="eastAsia" w:ascii="宋体" w:hAnsi="宋体" w:cs="宋体"/>
                <w:sz w:val="22"/>
                <w:szCs w:val="22"/>
                <w:highlight w:val="none"/>
              </w:rPr>
              <w:t>评标委员会根据投标人提供的施工工艺流程与关键工序控制进行横向比较：</w:t>
            </w:r>
          </w:p>
          <w:p w14:paraId="23D8A7CD">
            <w:pPr>
              <w:spacing w:line="360" w:lineRule="auto"/>
              <w:jc w:val="left"/>
              <w:rPr>
                <w:rFonts w:ascii="宋体" w:hAnsi="宋体" w:cs="宋体"/>
                <w:sz w:val="22"/>
                <w:szCs w:val="22"/>
                <w:highlight w:val="none"/>
              </w:rPr>
            </w:pPr>
            <w:r>
              <w:rPr>
                <w:rFonts w:hint="eastAsia" w:ascii="宋体" w:hAnsi="宋体" w:cs="宋体"/>
                <w:sz w:val="22"/>
                <w:szCs w:val="22"/>
                <w:highlight w:val="none"/>
              </w:rPr>
              <w:t>优（2-3]分；良（1-2]分；一般（0-1]分。</w:t>
            </w:r>
          </w:p>
        </w:tc>
      </w:tr>
      <w:tr w14:paraId="09675B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8" w:hRule="atLeast"/>
          <w:jc w:val="center"/>
        </w:trPr>
        <w:tc>
          <w:tcPr>
            <w:tcW w:w="700" w:type="dxa"/>
            <w:vMerge w:val="continue"/>
            <w:vAlign w:val="center"/>
          </w:tcPr>
          <w:p w14:paraId="15E30208">
            <w:pPr>
              <w:spacing w:line="360" w:lineRule="auto"/>
              <w:jc w:val="center"/>
              <w:rPr>
                <w:rFonts w:ascii="宋体" w:hAnsi="宋体" w:cs="宋体"/>
                <w:sz w:val="22"/>
                <w:szCs w:val="22"/>
                <w:highlight w:val="none"/>
              </w:rPr>
            </w:pPr>
          </w:p>
        </w:tc>
        <w:tc>
          <w:tcPr>
            <w:tcW w:w="1112" w:type="dxa"/>
            <w:vMerge w:val="continue"/>
            <w:vAlign w:val="center"/>
          </w:tcPr>
          <w:p w14:paraId="0C94982C">
            <w:pPr>
              <w:spacing w:line="360" w:lineRule="auto"/>
              <w:jc w:val="center"/>
              <w:rPr>
                <w:rFonts w:ascii="宋体" w:hAnsi="宋体" w:cs="宋体"/>
                <w:sz w:val="22"/>
                <w:szCs w:val="22"/>
                <w:highlight w:val="none"/>
              </w:rPr>
            </w:pPr>
          </w:p>
        </w:tc>
        <w:tc>
          <w:tcPr>
            <w:tcW w:w="1113" w:type="dxa"/>
            <w:vAlign w:val="center"/>
          </w:tcPr>
          <w:p w14:paraId="5EF14D04">
            <w:pPr>
              <w:spacing w:line="360" w:lineRule="auto"/>
              <w:rPr>
                <w:rFonts w:ascii="宋体" w:hAnsi="宋体" w:cs="宋体"/>
                <w:sz w:val="22"/>
                <w:szCs w:val="22"/>
                <w:highlight w:val="none"/>
              </w:rPr>
            </w:pPr>
            <w:r>
              <w:rPr>
                <w:rFonts w:hint="eastAsia"/>
                <w:sz w:val="22"/>
                <w:szCs w:val="22"/>
                <w:highlight w:val="none"/>
              </w:rPr>
              <w:t>关键部件技术参数响应与证明文件（3分）</w:t>
            </w:r>
          </w:p>
        </w:tc>
        <w:tc>
          <w:tcPr>
            <w:tcW w:w="6413" w:type="dxa"/>
            <w:vAlign w:val="center"/>
          </w:tcPr>
          <w:p w14:paraId="7F81CF66">
            <w:pPr>
              <w:jc w:val="left"/>
              <w:rPr>
                <w:rFonts w:ascii="宋体" w:hAnsi="宋体" w:cs="宋体"/>
                <w:sz w:val="22"/>
                <w:szCs w:val="22"/>
                <w:highlight w:val="none"/>
              </w:rPr>
            </w:pPr>
            <w:r>
              <w:rPr>
                <w:rFonts w:hint="eastAsia" w:ascii="宋体" w:hAnsi="宋体" w:cs="宋体"/>
                <w:sz w:val="22"/>
                <w:szCs w:val="22"/>
                <w:highlight w:val="none"/>
              </w:rPr>
              <w:t>评标委员会根据投标人提供的</w:t>
            </w:r>
            <w:r>
              <w:rPr>
                <w:rFonts w:hint="eastAsia"/>
                <w:sz w:val="22"/>
                <w:szCs w:val="22"/>
                <w:highlight w:val="none"/>
              </w:rPr>
              <w:t>关键部件技术参数响应与证明文件</w:t>
            </w:r>
            <w:r>
              <w:rPr>
                <w:rFonts w:hint="eastAsia" w:ascii="宋体" w:hAnsi="宋体" w:cs="宋体"/>
                <w:sz w:val="22"/>
                <w:szCs w:val="22"/>
                <w:highlight w:val="none"/>
              </w:rPr>
              <w:t>进行横向比较：</w:t>
            </w:r>
          </w:p>
          <w:p w14:paraId="5504C93C">
            <w:pPr>
              <w:jc w:val="left"/>
              <w:rPr>
                <w:rFonts w:ascii="宋体" w:hAnsi="宋体" w:cs="宋体"/>
                <w:sz w:val="22"/>
                <w:szCs w:val="22"/>
                <w:highlight w:val="none"/>
              </w:rPr>
            </w:pPr>
            <w:r>
              <w:rPr>
                <w:rFonts w:hint="eastAsia" w:ascii="宋体" w:hAnsi="宋体" w:cs="宋体"/>
                <w:sz w:val="22"/>
                <w:szCs w:val="22"/>
                <w:highlight w:val="none"/>
              </w:rPr>
              <w:t>优（2-3]分；良（1-2]分；一般（0-1]分。</w:t>
            </w:r>
          </w:p>
        </w:tc>
      </w:tr>
      <w:tr w14:paraId="6247FA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0" w:type="dxa"/>
            <w:vAlign w:val="center"/>
          </w:tcPr>
          <w:p w14:paraId="78965DEB">
            <w:pPr>
              <w:spacing w:line="360" w:lineRule="auto"/>
              <w:jc w:val="center"/>
              <w:rPr>
                <w:rFonts w:ascii="宋体" w:hAnsi="宋体" w:cs="宋体"/>
                <w:sz w:val="22"/>
                <w:szCs w:val="22"/>
                <w:highlight w:val="none"/>
              </w:rPr>
            </w:pPr>
            <w:r>
              <w:rPr>
                <w:rFonts w:hint="eastAsia" w:ascii="宋体" w:hAnsi="宋体" w:cs="宋体"/>
                <w:sz w:val="22"/>
                <w:szCs w:val="22"/>
                <w:highlight w:val="none"/>
              </w:rPr>
              <w:t>4</w:t>
            </w:r>
          </w:p>
        </w:tc>
        <w:tc>
          <w:tcPr>
            <w:tcW w:w="2225" w:type="dxa"/>
            <w:gridSpan w:val="2"/>
            <w:vAlign w:val="center"/>
          </w:tcPr>
          <w:p w14:paraId="3845EC87">
            <w:pPr>
              <w:spacing w:line="360" w:lineRule="auto"/>
              <w:jc w:val="center"/>
              <w:rPr>
                <w:rFonts w:ascii="宋体" w:hAnsi="宋体" w:cs="宋体"/>
                <w:sz w:val="22"/>
                <w:szCs w:val="22"/>
                <w:highlight w:val="none"/>
              </w:rPr>
            </w:pPr>
            <w:r>
              <w:rPr>
                <w:rFonts w:hint="eastAsia" w:ascii="宋体" w:hAnsi="宋体" w:cs="宋体"/>
                <w:sz w:val="22"/>
                <w:szCs w:val="22"/>
                <w:highlight w:val="none"/>
              </w:rPr>
              <w:t>质保期（4分）</w:t>
            </w:r>
          </w:p>
        </w:tc>
        <w:tc>
          <w:tcPr>
            <w:tcW w:w="6413" w:type="dxa"/>
            <w:vAlign w:val="center"/>
          </w:tcPr>
          <w:p w14:paraId="735AA092">
            <w:pPr>
              <w:spacing w:line="360" w:lineRule="auto"/>
              <w:jc w:val="left"/>
              <w:rPr>
                <w:rFonts w:ascii="宋体" w:hAnsi="宋体" w:cs="宋体"/>
                <w:sz w:val="22"/>
                <w:szCs w:val="22"/>
                <w:highlight w:val="none"/>
              </w:rPr>
            </w:pPr>
            <w:r>
              <w:rPr>
                <w:rFonts w:hint="eastAsia" w:ascii="宋体" w:hAnsi="宋体" w:cs="宋体"/>
                <w:sz w:val="22"/>
                <w:szCs w:val="22"/>
                <w:highlight w:val="none"/>
              </w:rPr>
              <w:t>投标人满足投标文件12个月质保不得分，每延长3个月质保期得1分，最高4分。</w:t>
            </w:r>
          </w:p>
        </w:tc>
      </w:tr>
      <w:tr w14:paraId="5B6C83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0" w:type="dxa"/>
            <w:vAlign w:val="center"/>
          </w:tcPr>
          <w:p w14:paraId="719E1C2E">
            <w:pPr>
              <w:spacing w:line="360" w:lineRule="auto"/>
              <w:jc w:val="center"/>
              <w:rPr>
                <w:rFonts w:ascii="宋体" w:hAnsi="宋体" w:cs="宋体"/>
                <w:sz w:val="22"/>
                <w:szCs w:val="22"/>
                <w:highlight w:val="none"/>
              </w:rPr>
            </w:pPr>
            <w:r>
              <w:rPr>
                <w:rFonts w:hint="eastAsia" w:ascii="宋体" w:hAnsi="宋体" w:cs="宋体"/>
                <w:sz w:val="22"/>
                <w:szCs w:val="22"/>
                <w:highlight w:val="none"/>
              </w:rPr>
              <w:t>5</w:t>
            </w:r>
          </w:p>
        </w:tc>
        <w:tc>
          <w:tcPr>
            <w:tcW w:w="2225" w:type="dxa"/>
            <w:gridSpan w:val="2"/>
            <w:vAlign w:val="center"/>
          </w:tcPr>
          <w:p w14:paraId="517077DC">
            <w:pPr>
              <w:spacing w:line="360" w:lineRule="auto"/>
              <w:jc w:val="center"/>
              <w:rPr>
                <w:rFonts w:ascii="宋体" w:hAnsi="宋体" w:cs="宋体"/>
                <w:sz w:val="22"/>
                <w:szCs w:val="22"/>
                <w:highlight w:val="none"/>
              </w:rPr>
            </w:pPr>
            <w:r>
              <w:rPr>
                <w:rFonts w:hint="eastAsia" w:ascii="宋体" w:hAnsi="宋体" w:cs="宋体"/>
                <w:sz w:val="22"/>
                <w:szCs w:val="22"/>
                <w:highlight w:val="none"/>
              </w:rPr>
              <w:t>施工安全专项方案（6分）</w:t>
            </w:r>
          </w:p>
        </w:tc>
        <w:tc>
          <w:tcPr>
            <w:tcW w:w="6413" w:type="dxa"/>
            <w:vAlign w:val="center"/>
          </w:tcPr>
          <w:p w14:paraId="6FBEDC78">
            <w:pPr>
              <w:spacing w:line="360" w:lineRule="auto"/>
              <w:jc w:val="left"/>
              <w:rPr>
                <w:rFonts w:ascii="宋体" w:hAnsi="宋体" w:cs="宋体"/>
                <w:sz w:val="22"/>
                <w:szCs w:val="22"/>
                <w:highlight w:val="none"/>
              </w:rPr>
            </w:pPr>
            <w:r>
              <w:rPr>
                <w:rFonts w:hint="eastAsia" w:ascii="宋体" w:hAnsi="宋体" w:cs="宋体"/>
                <w:sz w:val="22"/>
                <w:szCs w:val="22"/>
                <w:highlight w:val="none"/>
              </w:rPr>
              <w:t>评标委员会根据投标人提供的针对本项目的专项施工安全方案（含风险辨识、安全措施、应急预案、安全管理人员配备、危大工程管控措施等）进行横向比较：</w:t>
            </w:r>
          </w:p>
          <w:p w14:paraId="4B757E82">
            <w:pPr>
              <w:spacing w:line="360" w:lineRule="auto"/>
              <w:jc w:val="left"/>
              <w:rPr>
                <w:rFonts w:ascii="宋体" w:hAnsi="宋体" w:cs="宋体"/>
                <w:sz w:val="22"/>
                <w:szCs w:val="22"/>
                <w:highlight w:val="none"/>
              </w:rPr>
            </w:pPr>
            <w:r>
              <w:rPr>
                <w:rFonts w:hint="eastAsia" w:ascii="宋体" w:hAnsi="宋体" w:cs="宋体"/>
                <w:sz w:val="22"/>
                <w:szCs w:val="22"/>
                <w:highlight w:val="none"/>
              </w:rPr>
              <w:t>优（4-6]分：方案内容全面、针对性强、安全措施具体可行；</w:t>
            </w:r>
          </w:p>
          <w:p w14:paraId="32501B7C">
            <w:pPr>
              <w:spacing w:line="360" w:lineRule="auto"/>
              <w:jc w:val="left"/>
              <w:rPr>
                <w:rFonts w:ascii="宋体" w:hAnsi="宋体" w:cs="宋体"/>
                <w:sz w:val="22"/>
                <w:szCs w:val="22"/>
                <w:highlight w:val="none"/>
              </w:rPr>
            </w:pPr>
            <w:r>
              <w:rPr>
                <w:rFonts w:hint="eastAsia" w:ascii="宋体" w:hAnsi="宋体" w:cs="宋体"/>
                <w:sz w:val="22"/>
                <w:szCs w:val="22"/>
                <w:highlight w:val="none"/>
              </w:rPr>
              <w:t>良（2-4]分：方案较完整、措施基本可行；</w:t>
            </w:r>
          </w:p>
          <w:p w14:paraId="65E8A929">
            <w:pPr>
              <w:spacing w:line="360" w:lineRule="auto"/>
              <w:jc w:val="left"/>
              <w:rPr>
                <w:rFonts w:ascii="宋体" w:hAnsi="宋体" w:cs="宋体"/>
                <w:sz w:val="22"/>
                <w:szCs w:val="22"/>
                <w:highlight w:val="none"/>
              </w:rPr>
            </w:pPr>
            <w:r>
              <w:rPr>
                <w:rFonts w:hint="eastAsia" w:ascii="宋体" w:hAnsi="宋体" w:cs="宋体"/>
                <w:sz w:val="22"/>
                <w:szCs w:val="22"/>
                <w:highlight w:val="none"/>
              </w:rPr>
              <w:t>一般（0-2]分：方案简单、针对性一般。</w:t>
            </w:r>
          </w:p>
        </w:tc>
      </w:tr>
      <w:tr w14:paraId="4ADF3F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0" w:type="dxa"/>
            <w:vAlign w:val="center"/>
          </w:tcPr>
          <w:p w14:paraId="4655BA63">
            <w:pPr>
              <w:spacing w:line="360" w:lineRule="auto"/>
              <w:jc w:val="center"/>
              <w:rPr>
                <w:rFonts w:ascii="宋体" w:hAnsi="宋体" w:cs="宋体"/>
                <w:sz w:val="22"/>
                <w:szCs w:val="22"/>
                <w:highlight w:val="none"/>
              </w:rPr>
            </w:pPr>
            <w:r>
              <w:rPr>
                <w:rFonts w:hint="eastAsia" w:ascii="宋体" w:hAnsi="宋体" w:cs="宋体"/>
                <w:sz w:val="22"/>
                <w:szCs w:val="22"/>
                <w:highlight w:val="none"/>
              </w:rPr>
              <w:t>6</w:t>
            </w:r>
          </w:p>
        </w:tc>
        <w:tc>
          <w:tcPr>
            <w:tcW w:w="2225" w:type="dxa"/>
            <w:gridSpan w:val="2"/>
            <w:vAlign w:val="center"/>
          </w:tcPr>
          <w:p w14:paraId="340B3B84">
            <w:pPr>
              <w:spacing w:line="360" w:lineRule="auto"/>
              <w:jc w:val="center"/>
              <w:rPr>
                <w:rFonts w:ascii="宋体" w:hAnsi="宋体" w:cs="宋体"/>
                <w:sz w:val="22"/>
                <w:szCs w:val="22"/>
                <w:highlight w:val="none"/>
              </w:rPr>
            </w:pPr>
            <w:r>
              <w:rPr>
                <w:rFonts w:hint="eastAsia" w:ascii="宋体" w:hAnsi="宋体" w:cs="宋体"/>
                <w:sz w:val="22"/>
                <w:szCs w:val="22"/>
                <w:highlight w:val="none"/>
              </w:rPr>
              <w:t>项目工期（5分）</w:t>
            </w:r>
          </w:p>
        </w:tc>
        <w:tc>
          <w:tcPr>
            <w:tcW w:w="6413" w:type="dxa"/>
            <w:vAlign w:val="center"/>
          </w:tcPr>
          <w:p w14:paraId="03AE3304">
            <w:pPr>
              <w:spacing w:line="360" w:lineRule="auto"/>
              <w:jc w:val="left"/>
              <w:rPr>
                <w:rFonts w:ascii="宋体" w:hAnsi="宋体" w:cs="宋体"/>
                <w:sz w:val="22"/>
                <w:szCs w:val="22"/>
                <w:highlight w:val="none"/>
              </w:rPr>
            </w:pPr>
            <w:r>
              <w:rPr>
                <w:rFonts w:hint="eastAsia" w:ascii="宋体" w:hAnsi="宋体" w:cs="宋体"/>
                <w:sz w:val="22"/>
                <w:szCs w:val="22"/>
                <w:highlight w:val="none"/>
              </w:rPr>
              <w:t>1、投标人满足投标文件项目工期不得分。35吨门机回转支承每提前1个日历天完成到港并验收通过，得0.5分，最高得2.5分。</w:t>
            </w:r>
          </w:p>
          <w:p w14:paraId="60D187AB">
            <w:pPr>
              <w:spacing w:line="360" w:lineRule="auto"/>
              <w:jc w:val="left"/>
              <w:rPr>
                <w:rFonts w:ascii="宋体" w:hAnsi="宋体" w:cs="宋体"/>
                <w:sz w:val="22"/>
                <w:szCs w:val="22"/>
                <w:highlight w:val="none"/>
              </w:rPr>
            </w:pPr>
            <w:r>
              <w:rPr>
                <w:rFonts w:hint="eastAsia" w:ascii="宋体" w:hAnsi="宋体" w:cs="宋体"/>
                <w:sz w:val="22"/>
                <w:szCs w:val="22"/>
                <w:highlight w:val="none"/>
              </w:rPr>
              <w:t>2、投标人满足投标文件项目工期不得分。两台设备现场维修工期每提前1个日历天，得0.5分，最高得2.5分。</w:t>
            </w:r>
          </w:p>
        </w:tc>
      </w:tr>
      <w:tr w14:paraId="15E0F8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0" w:type="dxa"/>
            <w:vAlign w:val="center"/>
          </w:tcPr>
          <w:p w14:paraId="03135B93">
            <w:pPr>
              <w:spacing w:line="360" w:lineRule="auto"/>
              <w:jc w:val="center"/>
              <w:rPr>
                <w:rFonts w:ascii="宋体" w:hAnsi="宋体" w:cs="宋体"/>
                <w:sz w:val="22"/>
                <w:szCs w:val="22"/>
                <w:highlight w:val="none"/>
              </w:rPr>
            </w:pPr>
            <w:r>
              <w:rPr>
                <w:rFonts w:hint="eastAsia" w:ascii="宋体" w:hAnsi="宋体" w:cs="宋体"/>
                <w:sz w:val="22"/>
                <w:szCs w:val="22"/>
                <w:highlight w:val="none"/>
              </w:rPr>
              <w:t>7</w:t>
            </w:r>
          </w:p>
        </w:tc>
        <w:tc>
          <w:tcPr>
            <w:tcW w:w="2225" w:type="dxa"/>
            <w:gridSpan w:val="2"/>
            <w:vAlign w:val="center"/>
          </w:tcPr>
          <w:p w14:paraId="129C3FE1">
            <w:pPr>
              <w:spacing w:line="360" w:lineRule="auto"/>
              <w:jc w:val="center"/>
              <w:rPr>
                <w:rFonts w:ascii="宋体" w:hAnsi="宋体" w:cs="宋体"/>
                <w:sz w:val="22"/>
                <w:szCs w:val="22"/>
                <w:highlight w:val="none"/>
              </w:rPr>
            </w:pPr>
            <w:r>
              <w:rPr>
                <w:rFonts w:hint="eastAsia" w:ascii="宋体" w:hAnsi="宋体" w:cs="宋体"/>
                <w:sz w:val="22"/>
                <w:szCs w:val="22"/>
                <w:highlight w:val="none"/>
              </w:rPr>
              <w:t>售后服务（2分）</w:t>
            </w:r>
          </w:p>
        </w:tc>
        <w:tc>
          <w:tcPr>
            <w:tcW w:w="6413" w:type="dxa"/>
            <w:vAlign w:val="center"/>
          </w:tcPr>
          <w:p w14:paraId="2A74177E">
            <w:pPr>
              <w:spacing w:line="360" w:lineRule="auto"/>
              <w:jc w:val="left"/>
              <w:rPr>
                <w:rFonts w:ascii="宋体" w:hAnsi="宋体" w:cs="宋体"/>
                <w:sz w:val="22"/>
                <w:szCs w:val="22"/>
                <w:highlight w:val="none"/>
              </w:rPr>
            </w:pPr>
            <w:r>
              <w:rPr>
                <w:rFonts w:hint="eastAsia" w:ascii="宋体" w:hAnsi="宋体" w:cs="宋体"/>
                <w:sz w:val="22"/>
                <w:szCs w:val="22"/>
                <w:highlight w:val="none"/>
              </w:rPr>
              <w:t>评标委员会根据投标人提供的售后服务方案，售后服务体系，售后人员配备，响应时间等方面进行横向比较，评分：</w:t>
            </w:r>
          </w:p>
          <w:p w14:paraId="28F40982">
            <w:pPr>
              <w:spacing w:line="360" w:lineRule="auto"/>
              <w:jc w:val="left"/>
              <w:rPr>
                <w:rFonts w:ascii="宋体" w:hAnsi="宋体" w:cs="宋体"/>
                <w:sz w:val="22"/>
                <w:szCs w:val="22"/>
                <w:highlight w:val="none"/>
              </w:rPr>
            </w:pPr>
            <w:r>
              <w:rPr>
                <w:rFonts w:hint="eastAsia" w:ascii="宋体" w:hAnsi="宋体" w:cs="宋体"/>
                <w:sz w:val="22"/>
                <w:szCs w:val="22"/>
                <w:highlight w:val="none"/>
              </w:rPr>
              <w:t>优（1.4-2]分；良（0.7-1.4]分；一般（0-0.7]分。</w:t>
            </w:r>
          </w:p>
        </w:tc>
      </w:tr>
    </w:tbl>
    <w:p w14:paraId="64A7A4FA">
      <w:pPr>
        <w:spacing w:line="440" w:lineRule="exact"/>
        <w:ind w:firstLine="440" w:firstLineChars="200"/>
        <w:rPr>
          <w:rFonts w:ascii="宋体" w:hAnsi="宋体" w:cs="宋体"/>
          <w:sz w:val="22"/>
          <w:szCs w:val="22"/>
          <w:highlight w:val="none"/>
        </w:rPr>
      </w:pPr>
    </w:p>
    <w:p w14:paraId="7EC1731A">
      <w:pPr>
        <w:spacing w:line="440" w:lineRule="exact"/>
        <w:ind w:firstLine="442" w:firstLineChars="200"/>
        <w:rPr>
          <w:rFonts w:ascii="宋体" w:hAnsi="宋体" w:cs="宋体"/>
          <w:b/>
          <w:sz w:val="22"/>
          <w:szCs w:val="22"/>
          <w:highlight w:val="none"/>
        </w:rPr>
      </w:pPr>
      <w:r>
        <w:rPr>
          <w:rFonts w:hint="eastAsia" w:ascii="宋体" w:hAnsi="宋体" w:cs="宋体"/>
          <w:b/>
          <w:sz w:val="22"/>
          <w:szCs w:val="22"/>
          <w:highlight w:val="none"/>
        </w:rPr>
        <w:t>2、价格标评分70分</w:t>
      </w:r>
    </w:p>
    <w:p w14:paraId="70B93749">
      <w:pPr>
        <w:spacing w:line="440" w:lineRule="exact"/>
        <w:ind w:firstLine="440" w:firstLineChars="200"/>
        <w:rPr>
          <w:rFonts w:ascii="宋体" w:hAnsi="宋体" w:cs="宋体"/>
          <w:sz w:val="22"/>
          <w:szCs w:val="22"/>
          <w:highlight w:val="none"/>
        </w:rPr>
      </w:pPr>
      <w:r>
        <w:rPr>
          <w:rFonts w:hint="eastAsia" w:ascii="宋体" w:hAnsi="宋体" w:cs="宋体"/>
          <w:sz w:val="22"/>
          <w:szCs w:val="22"/>
          <w:highlight w:val="none"/>
        </w:rPr>
        <w:t>（一）评标基准价计算方法：</w:t>
      </w:r>
    </w:p>
    <w:p w14:paraId="495F08B8">
      <w:pPr>
        <w:spacing w:line="440" w:lineRule="exact"/>
        <w:ind w:firstLine="442" w:firstLineChars="200"/>
        <w:rPr>
          <w:rFonts w:ascii="宋体" w:hAnsi="宋体" w:cs="宋体"/>
          <w:sz w:val="22"/>
          <w:szCs w:val="22"/>
          <w:highlight w:val="none"/>
        </w:rPr>
      </w:pPr>
      <w:r>
        <w:rPr>
          <w:rFonts w:hint="eastAsia" w:ascii="宋体" w:hAnsi="宋体" w:cs="宋体"/>
          <w:b/>
          <w:bCs/>
          <w:sz w:val="22"/>
          <w:szCs w:val="22"/>
          <w:highlight w:val="none"/>
        </w:rPr>
        <w:t>满足招标文件要求且最低报价为评标基准值，其余投标人报价与该基准值对比，计算出价格评分值（保留小数2位）：</w:t>
      </w:r>
    </w:p>
    <w:p w14:paraId="436A33EE">
      <w:pPr>
        <w:spacing w:line="440" w:lineRule="exact"/>
        <w:ind w:firstLine="440" w:firstLineChars="200"/>
        <w:rPr>
          <w:rFonts w:ascii="宋体" w:hAnsi="宋体" w:cs="宋体"/>
          <w:sz w:val="22"/>
          <w:szCs w:val="22"/>
          <w:highlight w:val="none"/>
        </w:rPr>
      </w:pPr>
      <w:r>
        <w:rPr>
          <w:rFonts w:hint="eastAsia" w:ascii="宋体" w:hAnsi="宋体" w:cs="宋体"/>
          <w:sz w:val="22"/>
          <w:szCs w:val="22"/>
          <w:highlight w:val="none"/>
        </w:rPr>
        <w:t>①有效投标人的投标报价等于评标基准值时其报价分为满分；</w:t>
      </w:r>
    </w:p>
    <w:p w14:paraId="742F139E">
      <w:pPr>
        <w:spacing w:line="440" w:lineRule="exact"/>
        <w:ind w:firstLine="440" w:firstLineChars="200"/>
        <w:rPr>
          <w:rFonts w:ascii="宋体" w:hAnsi="宋体" w:cs="宋体"/>
          <w:sz w:val="22"/>
          <w:szCs w:val="22"/>
          <w:highlight w:val="none"/>
        </w:rPr>
      </w:pPr>
      <w:r>
        <w:rPr>
          <w:rFonts w:hint="eastAsia" w:ascii="宋体" w:hAnsi="宋体" w:cs="宋体"/>
          <w:sz w:val="22"/>
          <w:szCs w:val="22"/>
          <w:highlight w:val="none"/>
        </w:rPr>
        <w:t>②其他投标人的价格分按以下公式计算：</w:t>
      </w:r>
    </w:p>
    <w:p w14:paraId="6F44F837">
      <w:pPr>
        <w:spacing w:line="440" w:lineRule="exact"/>
        <w:ind w:firstLine="440" w:firstLineChars="200"/>
        <w:rPr>
          <w:rFonts w:ascii="宋体" w:hAnsi="宋体" w:cs="宋体"/>
          <w:sz w:val="22"/>
          <w:szCs w:val="22"/>
          <w:highlight w:val="none"/>
        </w:rPr>
      </w:pPr>
      <w:r>
        <w:rPr>
          <w:rFonts w:hint="eastAsia" w:ascii="宋体" w:hAnsi="宋体" w:cs="宋体"/>
          <w:sz w:val="22"/>
          <w:szCs w:val="22"/>
          <w:highlight w:val="none"/>
        </w:rPr>
        <w:t>投标报价得分=（评标基准值/投标人报价）×价格权值（70%）×100（四舍五入后保留小数2位）</w:t>
      </w:r>
    </w:p>
    <w:p w14:paraId="42C83457">
      <w:pPr>
        <w:spacing w:line="440" w:lineRule="exact"/>
        <w:ind w:firstLine="440" w:firstLineChars="200"/>
        <w:rPr>
          <w:rFonts w:ascii="宋体" w:hAnsi="宋体" w:cs="宋体"/>
          <w:sz w:val="22"/>
          <w:szCs w:val="22"/>
          <w:highlight w:val="none"/>
        </w:rPr>
      </w:pPr>
      <w:r>
        <w:rPr>
          <w:rFonts w:hint="eastAsia" w:ascii="宋体" w:hAnsi="宋体" w:cs="宋体"/>
          <w:sz w:val="22"/>
          <w:szCs w:val="22"/>
          <w:highlight w:val="none"/>
        </w:rPr>
        <w:t>（二）</w:t>
      </w:r>
      <w:r>
        <w:rPr>
          <w:rFonts w:hint="eastAsia" w:ascii="宋体" w:hAnsi="宋体" w:cs="宋体"/>
          <w:b/>
          <w:bCs/>
          <w:sz w:val="22"/>
          <w:szCs w:val="22"/>
          <w:highlight w:val="none"/>
        </w:rPr>
        <w:t>★本项目最高限价55万元（人民币）。</w:t>
      </w:r>
    </w:p>
    <w:p w14:paraId="32B1EFC9">
      <w:pPr>
        <w:spacing w:line="440" w:lineRule="exact"/>
        <w:ind w:firstLine="440" w:firstLineChars="200"/>
        <w:rPr>
          <w:rFonts w:ascii="宋体" w:hAnsi="宋体" w:cs="宋体"/>
          <w:sz w:val="22"/>
          <w:szCs w:val="22"/>
          <w:highlight w:val="none"/>
        </w:rPr>
      </w:pPr>
      <w:r>
        <w:rPr>
          <w:rFonts w:hint="eastAsia" w:ascii="宋体" w:hAnsi="宋体" w:cs="宋体"/>
          <w:sz w:val="22"/>
          <w:szCs w:val="22"/>
          <w:highlight w:val="none"/>
        </w:rPr>
        <w:t>（三）</w:t>
      </w:r>
      <w:r>
        <w:rPr>
          <w:rFonts w:hint="eastAsia" w:ascii="宋体" w:hAnsi="宋体" w:cs="宋体"/>
          <w:b/>
          <w:bCs/>
          <w:sz w:val="22"/>
          <w:szCs w:val="22"/>
          <w:highlight w:val="none"/>
        </w:rPr>
        <w:t>★投标人报价超项目最高限价，其投标文件作废标处理。</w:t>
      </w:r>
    </w:p>
    <w:p w14:paraId="61A362AC">
      <w:pPr>
        <w:spacing w:line="440" w:lineRule="exact"/>
        <w:ind w:firstLine="440" w:firstLineChars="200"/>
        <w:rPr>
          <w:rFonts w:ascii="宋体" w:hAnsi="宋体" w:cs="宋体"/>
          <w:sz w:val="22"/>
          <w:szCs w:val="22"/>
          <w:highlight w:val="none"/>
        </w:rPr>
      </w:pPr>
      <w:r>
        <w:rPr>
          <w:rFonts w:hint="eastAsia" w:ascii="宋体" w:hAnsi="宋体" w:cs="宋体"/>
          <w:sz w:val="22"/>
          <w:szCs w:val="22"/>
          <w:highlight w:val="none"/>
        </w:rPr>
        <w:t>（四）所有投标人商务报价均超项目最高限价，重新组织招标。</w:t>
      </w:r>
    </w:p>
    <w:p w14:paraId="604F5AE4">
      <w:pPr>
        <w:spacing w:line="440" w:lineRule="exact"/>
        <w:ind w:firstLine="442" w:firstLineChars="200"/>
        <w:rPr>
          <w:rFonts w:ascii="宋体" w:hAnsi="宋体" w:cs="宋体"/>
          <w:b/>
          <w:sz w:val="22"/>
          <w:szCs w:val="22"/>
          <w:highlight w:val="none"/>
        </w:rPr>
      </w:pPr>
      <w:r>
        <w:rPr>
          <w:rFonts w:hint="eastAsia" w:ascii="宋体" w:hAnsi="宋体" w:cs="宋体"/>
          <w:b/>
          <w:sz w:val="22"/>
          <w:szCs w:val="22"/>
          <w:highlight w:val="none"/>
        </w:rPr>
        <w:t>3、说明</w:t>
      </w:r>
    </w:p>
    <w:p w14:paraId="461509BB">
      <w:pPr>
        <w:spacing w:line="440" w:lineRule="exact"/>
        <w:ind w:firstLine="440" w:firstLineChars="200"/>
        <w:rPr>
          <w:rFonts w:ascii="宋体" w:hAnsi="宋体" w:cs="宋体"/>
          <w:sz w:val="22"/>
          <w:szCs w:val="22"/>
          <w:highlight w:val="none"/>
        </w:rPr>
      </w:pPr>
      <w:r>
        <w:rPr>
          <w:rFonts w:hint="eastAsia" w:ascii="宋体" w:hAnsi="宋体" w:cs="宋体"/>
          <w:sz w:val="22"/>
          <w:szCs w:val="22"/>
          <w:highlight w:val="none"/>
        </w:rPr>
        <w:t>3.1有效投标人的综合得分为商务技术标得分和价格标得分的总和，计算公式为：综合得分=商务技术标得分+价格标得分。</w:t>
      </w:r>
    </w:p>
    <w:p w14:paraId="3752ED9D">
      <w:pPr>
        <w:spacing w:line="440" w:lineRule="exact"/>
        <w:ind w:firstLine="440" w:firstLineChars="200"/>
        <w:rPr>
          <w:rFonts w:ascii="宋体" w:hAnsi="宋体" w:cs="宋体"/>
          <w:color w:val="FF0000"/>
          <w:sz w:val="22"/>
          <w:szCs w:val="22"/>
          <w:highlight w:val="none"/>
        </w:rPr>
      </w:pPr>
      <w:r>
        <w:rPr>
          <w:rFonts w:hint="eastAsia" w:ascii="宋体" w:hAnsi="宋体" w:cs="宋体"/>
          <w:sz w:val="22"/>
          <w:szCs w:val="22"/>
          <w:highlight w:val="none"/>
        </w:rPr>
        <w:t>3.2本次招标由评标委员会推荐中标候选人，招标人根据评标委员会的推荐结果进行最终确认。</w:t>
      </w:r>
    </w:p>
    <w:bookmarkEnd w:id="93"/>
    <w:bookmarkEnd w:id="94"/>
    <w:p w14:paraId="663BA85B">
      <w:pPr>
        <w:spacing w:line="440" w:lineRule="exact"/>
        <w:ind w:firstLine="440" w:firstLineChars="200"/>
        <w:rPr>
          <w:rFonts w:ascii="宋体" w:hAnsi="宋体" w:cs="宋体"/>
          <w:sz w:val="22"/>
          <w:szCs w:val="22"/>
          <w:highlight w:val="none"/>
        </w:rPr>
      </w:pPr>
      <w:bookmarkStart w:id="95" w:name="_Toc221356904"/>
      <w:bookmarkStart w:id="96" w:name="_Toc221356967"/>
      <w:r>
        <w:rPr>
          <w:rFonts w:hint="eastAsia" w:ascii="宋体" w:hAnsi="宋体" w:cs="宋体"/>
          <w:sz w:val="22"/>
          <w:szCs w:val="22"/>
          <w:highlight w:val="none"/>
        </w:rPr>
        <w:t>3.3评标专家按综合得分由高到低顺序排列，</w:t>
      </w:r>
      <w:r>
        <w:rPr>
          <w:rFonts w:hint="eastAsia" w:ascii="宋体" w:hAnsi="宋体" w:cs="宋体"/>
          <w:b/>
          <w:bCs/>
          <w:sz w:val="22"/>
          <w:szCs w:val="22"/>
          <w:highlight w:val="none"/>
        </w:rPr>
        <w:t>综合得分第一名的投标人</w:t>
      </w:r>
      <w:r>
        <w:rPr>
          <w:rFonts w:hint="eastAsia" w:ascii="宋体" w:hAnsi="宋体" w:cs="宋体"/>
          <w:sz w:val="22"/>
          <w:szCs w:val="22"/>
          <w:highlight w:val="none"/>
        </w:rPr>
        <w:t>作为该项目</w:t>
      </w:r>
      <w:r>
        <w:rPr>
          <w:rFonts w:hint="eastAsia" w:ascii="宋体" w:hAnsi="宋体" w:cs="宋体"/>
          <w:b/>
          <w:bCs/>
          <w:sz w:val="22"/>
          <w:szCs w:val="22"/>
          <w:highlight w:val="none"/>
        </w:rPr>
        <w:t>第一中标候选人</w:t>
      </w:r>
      <w:r>
        <w:rPr>
          <w:rFonts w:hint="eastAsia" w:ascii="宋体" w:hAnsi="宋体" w:cs="宋体"/>
          <w:sz w:val="22"/>
          <w:szCs w:val="22"/>
          <w:highlight w:val="none"/>
        </w:rPr>
        <w:t>，</w:t>
      </w:r>
      <w:r>
        <w:rPr>
          <w:rFonts w:hint="eastAsia" w:ascii="宋体" w:hAnsi="宋体" w:cs="宋体"/>
          <w:b/>
          <w:sz w:val="22"/>
          <w:szCs w:val="22"/>
          <w:highlight w:val="none"/>
        </w:rPr>
        <w:t>综合得分第二的投标人</w:t>
      </w:r>
      <w:r>
        <w:rPr>
          <w:rFonts w:hint="eastAsia" w:ascii="宋体" w:hAnsi="宋体" w:cs="宋体"/>
          <w:sz w:val="22"/>
          <w:szCs w:val="22"/>
          <w:highlight w:val="none"/>
        </w:rPr>
        <w:t>作为该项目</w:t>
      </w:r>
      <w:r>
        <w:rPr>
          <w:rFonts w:hint="eastAsia" w:ascii="宋体" w:hAnsi="宋体" w:cs="宋体"/>
          <w:b/>
          <w:sz w:val="22"/>
          <w:szCs w:val="22"/>
          <w:highlight w:val="none"/>
        </w:rPr>
        <w:t>第二中标候选人，</w:t>
      </w:r>
      <w:r>
        <w:rPr>
          <w:rFonts w:hint="eastAsia" w:ascii="宋体" w:hAnsi="宋体" w:cs="宋体"/>
          <w:sz w:val="22"/>
          <w:szCs w:val="22"/>
          <w:highlight w:val="none"/>
        </w:rPr>
        <w:t>向招标人推荐，并提交评标报告（得分相同投标报价低的排序第一；如果均相同，则抽签决定）。</w:t>
      </w:r>
    </w:p>
    <w:bookmarkEnd w:id="95"/>
    <w:bookmarkEnd w:id="96"/>
    <w:p w14:paraId="3EDCC8A1">
      <w:pPr>
        <w:spacing w:line="440" w:lineRule="exact"/>
        <w:ind w:firstLine="442" w:firstLineChars="200"/>
        <w:rPr>
          <w:rFonts w:ascii="宋体" w:hAnsi="宋体" w:cs="宋体"/>
          <w:b/>
          <w:sz w:val="22"/>
          <w:szCs w:val="22"/>
          <w:highlight w:val="none"/>
        </w:rPr>
      </w:pPr>
      <w:bookmarkStart w:id="97" w:name="_Toc50128408"/>
      <w:r>
        <w:rPr>
          <w:rFonts w:hint="eastAsia" w:ascii="宋体" w:hAnsi="宋体" w:cs="宋体"/>
          <w:b/>
          <w:sz w:val="22"/>
          <w:szCs w:val="22"/>
          <w:highlight w:val="none"/>
        </w:rPr>
        <w:t>六、确定中标人</w:t>
      </w:r>
    </w:p>
    <w:p w14:paraId="3229D9F2">
      <w:pPr>
        <w:wordWrap w:val="0"/>
        <w:spacing w:line="440" w:lineRule="exact"/>
        <w:ind w:firstLine="440" w:firstLineChars="200"/>
        <w:rPr>
          <w:rFonts w:ascii="宋体" w:hAnsi="宋体" w:cs="宋体"/>
          <w:color w:val="000000"/>
          <w:sz w:val="22"/>
          <w:szCs w:val="22"/>
          <w:highlight w:val="none"/>
        </w:rPr>
      </w:pPr>
      <w:r>
        <w:rPr>
          <w:rFonts w:hint="eastAsia" w:ascii="宋体" w:hAnsi="宋体" w:cs="宋体"/>
          <w:color w:val="000000"/>
          <w:sz w:val="22"/>
          <w:szCs w:val="22"/>
          <w:highlight w:val="none"/>
        </w:rPr>
        <w:t>评标结束后，招标人将在采购指定信息媒体“浙江海港电子招标采购平台（http://hgdzzb.nbport.com.cn/）、温州港集团有限公司网站（https://www.wzport.com/wzport/wzgzz/sy/index.html）”等网站上发布，公示中标结果。公示期结束，在规定期限内无异议则招标机构将向中标人发出中标通知书。</w:t>
      </w:r>
    </w:p>
    <w:p w14:paraId="0AA107C7">
      <w:pPr>
        <w:spacing w:line="440" w:lineRule="exact"/>
        <w:ind w:firstLine="442" w:firstLineChars="200"/>
        <w:rPr>
          <w:rFonts w:ascii="宋体" w:hAnsi="宋体" w:cs="宋体"/>
          <w:b/>
          <w:sz w:val="22"/>
          <w:szCs w:val="22"/>
          <w:highlight w:val="none"/>
        </w:rPr>
      </w:pPr>
      <w:bookmarkStart w:id="98" w:name="_Toc221356905"/>
      <w:bookmarkStart w:id="99" w:name="_Toc221356968"/>
      <w:r>
        <w:rPr>
          <w:rFonts w:hint="eastAsia" w:ascii="宋体" w:hAnsi="宋体" w:cs="宋体"/>
          <w:b/>
          <w:sz w:val="22"/>
          <w:szCs w:val="22"/>
          <w:highlight w:val="none"/>
        </w:rPr>
        <w:t>七、投标人义务</w:t>
      </w:r>
      <w:bookmarkEnd w:id="98"/>
      <w:bookmarkEnd w:id="99"/>
    </w:p>
    <w:p w14:paraId="54CE7CE3">
      <w:pPr>
        <w:spacing w:line="440" w:lineRule="exact"/>
        <w:ind w:firstLine="440" w:firstLineChars="200"/>
        <w:rPr>
          <w:rFonts w:ascii="宋体" w:hAnsi="宋体" w:cs="宋体"/>
          <w:sz w:val="22"/>
          <w:szCs w:val="22"/>
          <w:highlight w:val="none"/>
        </w:rPr>
      </w:pPr>
      <w:r>
        <w:rPr>
          <w:rFonts w:hint="eastAsia" w:ascii="宋体" w:hAnsi="宋体" w:cs="宋体"/>
          <w:sz w:val="22"/>
          <w:szCs w:val="22"/>
          <w:highlight w:val="none"/>
        </w:rPr>
        <w:t>投标人应随时接受评标专家的询标，解答包括有关的商务、技术问题等。评标结束，所有评标资料存招标机构备查。</w:t>
      </w:r>
    </w:p>
    <w:p w14:paraId="18BF41FC">
      <w:pPr>
        <w:rPr>
          <w:highlight w:val="none"/>
        </w:rPr>
      </w:pPr>
    </w:p>
    <w:p w14:paraId="1DE7D338">
      <w:pPr>
        <w:pStyle w:val="23"/>
        <w:rPr>
          <w:highlight w:val="none"/>
        </w:rPr>
      </w:pPr>
      <w:bookmarkStart w:id="100" w:name="_Toc7832"/>
      <w:r>
        <w:rPr>
          <w:rFonts w:hint="eastAsia"/>
          <w:highlight w:val="none"/>
        </w:rPr>
        <w:br w:type="column"/>
      </w:r>
      <w:r>
        <w:rPr>
          <w:rFonts w:hint="eastAsia"/>
          <w:highlight w:val="none"/>
        </w:rPr>
        <w:t>第五章  合同主要条款</w:t>
      </w:r>
      <w:bookmarkEnd w:id="100"/>
    </w:p>
    <w:p w14:paraId="4C40FB68">
      <w:pPr>
        <w:wordWrap w:val="0"/>
        <w:snapToGrid w:val="0"/>
        <w:jc w:val="center"/>
        <w:rPr>
          <w:rFonts w:ascii="宋体"/>
          <w:szCs w:val="21"/>
          <w:highlight w:val="none"/>
        </w:rPr>
      </w:pPr>
      <w:r>
        <w:rPr>
          <w:rFonts w:hint="eastAsia" w:ascii="宋体"/>
          <w:szCs w:val="21"/>
          <w:highlight w:val="none"/>
        </w:rPr>
        <w:t xml:space="preserve">                                </w:t>
      </w:r>
    </w:p>
    <w:p w14:paraId="701172B9">
      <w:pPr>
        <w:snapToGrid w:val="0"/>
        <w:jc w:val="center"/>
        <w:outlineLvl w:val="2"/>
        <w:rPr>
          <w:rFonts w:ascii="方正小标宋简体" w:eastAsia="方正小标宋简体"/>
          <w:b/>
          <w:sz w:val="32"/>
          <w:szCs w:val="32"/>
          <w:highlight w:val="none"/>
        </w:rPr>
      </w:pPr>
      <w:bookmarkStart w:id="101" w:name="_Toc23481"/>
      <w:r>
        <w:rPr>
          <w:rFonts w:hint="eastAsia" w:ascii="方正小标宋简体" w:hAnsi="宋体" w:eastAsia="方正小标宋简体"/>
          <w:b/>
          <w:sz w:val="32"/>
          <w:szCs w:val="32"/>
          <w:highlight w:val="none"/>
        </w:rPr>
        <w:t>35吨门机回转支承更换及16吨门机臂架头部铰点维修合同</w:t>
      </w:r>
      <w:bookmarkEnd w:id="101"/>
    </w:p>
    <w:p w14:paraId="13F70DE5">
      <w:pPr>
        <w:wordWrap w:val="0"/>
        <w:snapToGrid w:val="0"/>
        <w:jc w:val="center"/>
        <w:rPr>
          <w:rFonts w:ascii="宋体"/>
          <w:sz w:val="24"/>
          <w:highlight w:val="none"/>
        </w:rPr>
      </w:pPr>
      <w:r>
        <w:rPr>
          <w:rFonts w:hint="eastAsia" w:ascii="宋体"/>
          <w:sz w:val="24"/>
          <w:highlight w:val="none"/>
        </w:rPr>
        <w:t xml:space="preserve">                                    </w:t>
      </w:r>
    </w:p>
    <w:p w14:paraId="7A454DF1">
      <w:pPr>
        <w:adjustRightInd w:val="0"/>
        <w:snapToGrid w:val="0"/>
        <w:spacing w:line="360" w:lineRule="auto"/>
        <w:rPr>
          <w:rFonts w:ascii="宋体"/>
          <w:sz w:val="22"/>
          <w:szCs w:val="22"/>
          <w:highlight w:val="none"/>
        </w:rPr>
      </w:pPr>
      <w:r>
        <w:rPr>
          <w:rFonts w:hint="eastAsia" w:ascii="宋体" w:hAnsi="宋体"/>
          <w:sz w:val="22"/>
          <w:szCs w:val="22"/>
          <w:highlight w:val="none"/>
        </w:rPr>
        <w:t>甲方（发包方）：温州港集团有限公司龙湾港务分公司</w:t>
      </w:r>
    </w:p>
    <w:p w14:paraId="7ED62926">
      <w:pPr>
        <w:adjustRightInd w:val="0"/>
        <w:snapToGrid w:val="0"/>
        <w:spacing w:line="360" w:lineRule="auto"/>
        <w:rPr>
          <w:rFonts w:ascii="宋体"/>
          <w:sz w:val="22"/>
          <w:szCs w:val="22"/>
          <w:highlight w:val="none"/>
        </w:rPr>
      </w:pPr>
      <w:r>
        <w:rPr>
          <w:rFonts w:hint="eastAsia" w:ascii="宋体" w:hAnsi="宋体"/>
          <w:sz w:val="22"/>
          <w:szCs w:val="22"/>
          <w:highlight w:val="none"/>
        </w:rPr>
        <w:t>住所地：浙江省温州市龙湾区机场大道万吨码头</w:t>
      </w:r>
    </w:p>
    <w:p w14:paraId="11C2A785">
      <w:pPr>
        <w:adjustRightInd w:val="0"/>
        <w:snapToGrid w:val="0"/>
        <w:spacing w:line="360" w:lineRule="auto"/>
        <w:rPr>
          <w:rFonts w:ascii="宋体"/>
          <w:sz w:val="22"/>
          <w:szCs w:val="22"/>
          <w:highlight w:val="none"/>
        </w:rPr>
      </w:pPr>
      <w:r>
        <w:rPr>
          <w:rFonts w:hint="eastAsia" w:ascii="宋体" w:hAnsi="宋体"/>
          <w:sz w:val="22"/>
          <w:szCs w:val="22"/>
          <w:highlight w:val="none"/>
        </w:rPr>
        <w:t>联系人：</w:t>
      </w:r>
      <w:r>
        <w:rPr>
          <w:rFonts w:ascii="宋体" w:hAnsi="宋体"/>
          <w:sz w:val="22"/>
          <w:szCs w:val="22"/>
          <w:highlight w:val="none"/>
        </w:rPr>
        <w:t xml:space="preserve">      </w:t>
      </w:r>
      <w:r>
        <w:rPr>
          <w:rFonts w:hint="eastAsia" w:ascii="宋体" w:hAnsi="宋体"/>
          <w:sz w:val="22"/>
          <w:szCs w:val="22"/>
          <w:highlight w:val="none"/>
        </w:rPr>
        <w:t xml:space="preserve"> </w:t>
      </w:r>
      <w:r>
        <w:rPr>
          <w:rFonts w:ascii="宋体" w:hAnsi="宋体"/>
          <w:sz w:val="22"/>
          <w:szCs w:val="22"/>
          <w:highlight w:val="none"/>
        </w:rPr>
        <w:t xml:space="preserve">  </w:t>
      </w:r>
      <w:r>
        <w:rPr>
          <w:rFonts w:hint="eastAsia" w:ascii="宋体" w:hAnsi="宋体"/>
          <w:sz w:val="22"/>
          <w:szCs w:val="22"/>
          <w:highlight w:val="none"/>
        </w:rPr>
        <w:t xml:space="preserve"> </w:t>
      </w:r>
      <w:r>
        <w:rPr>
          <w:rFonts w:ascii="宋体" w:hAnsi="宋体"/>
          <w:sz w:val="22"/>
          <w:szCs w:val="22"/>
          <w:highlight w:val="none"/>
        </w:rPr>
        <w:t xml:space="preserve">   </w:t>
      </w:r>
      <w:r>
        <w:rPr>
          <w:rFonts w:hint="eastAsia" w:ascii="宋体" w:hAnsi="宋体"/>
          <w:sz w:val="22"/>
          <w:szCs w:val="22"/>
          <w:highlight w:val="none"/>
        </w:rPr>
        <w:t>电话：</w:t>
      </w:r>
      <w:r>
        <w:rPr>
          <w:rFonts w:ascii="宋体" w:hAnsi="宋体"/>
          <w:sz w:val="22"/>
          <w:szCs w:val="22"/>
          <w:highlight w:val="none"/>
        </w:rPr>
        <w:t xml:space="preserve">   </w:t>
      </w:r>
      <w:r>
        <w:rPr>
          <w:rFonts w:hint="eastAsia" w:ascii="宋体" w:hAnsi="宋体"/>
          <w:sz w:val="22"/>
          <w:szCs w:val="22"/>
          <w:highlight w:val="none"/>
        </w:rPr>
        <w:t xml:space="preserve"> </w:t>
      </w:r>
      <w:r>
        <w:rPr>
          <w:rFonts w:ascii="宋体" w:hAnsi="宋体"/>
          <w:sz w:val="22"/>
          <w:szCs w:val="22"/>
          <w:highlight w:val="none"/>
        </w:rPr>
        <w:t xml:space="preserve"> </w:t>
      </w:r>
      <w:r>
        <w:rPr>
          <w:rFonts w:hint="eastAsia" w:ascii="宋体" w:hAnsi="宋体"/>
          <w:sz w:val="22"/>
          <w:szCs w:val="22"/>
          <w:highlight w:val="none"/>
        </w:rPr>
        <w:t xml:space="preserve"> </w:t>
      </w:r>
      <w:r>
        <w:rPr>
          <w:rFonts w:ascii="宋体" w:hAnsi="宋体"/>
          <w:sz w:val="22"/>
          <w:szCs w:val="22"/>
          <w:highlight w:val="none"/>
        </w:rPr>
        <w:t xml:space="preserve">     </w:t>
      </w:r>
      <w:r>
        <w:rPr>
          <w:rFonts w:hint="eastAsia" w:ascii="宋体" w:hAnsi="宋体"/>
          <w:sz w:val="22"/>
          <w:szCs w:val="22"/>
          <w:highlight w:val="none"/>
        </w:rPr>
        <w:t>传真：</w:t>
      </w:r>
      <w:r>
        <w:rPr>
          <w:rFonts w:ascii="宋体" w:hAnsi="宋体"/>
          <w:sz w:val="22"/>
          <w:szCs w:val="22"/>
          <w:highlight w:val="none"/>
        </w:rPr>
        <w:t xml:space="preserve"> </w:t>
      </w:r>
    </w:p>
    <w:p w14:paraId="06E1DF3B">
      <w:pPr>
        <w:adjustRightInd w:val="0"/>
        <w:snapToGrid w:val="0"/>
        <w:spacing w:line="360" w:lineRule="auto"/>
        <w:rPr>
          <w:rFonts w:ascii="宋体"/>
          <w:sz w:val="22"/>
          <w:szCs w:val="22"/>
          <w:highlight w:val="none"/>
        </w:rPr>
      </w:pPr>
      <w:r>
        <w:rPr>
          <w:rFonts w:hint="eastAsia" w:ascii="宋体" w:hAnsi="宋体"/>
          <w:sz w:val="22"/>
          <w:szCs w:val="22"/>
          <w:highlight w:val="none"/>
        </w:rPr>
        <w:t>乙方（承包方）：</w:t>
      </w:r>
      <w:r>
        <w:rPr>
          <w:rFonts w:ascii="宋体" w:hAnsi="宋体"/>
          <w:sz w:val="22"/>
          <w:szCs w:val="22"/>
          <w:highlight w:val="none"/>
        </w:rPr>
        <w:t xml:space="preserve"> </w:t>
      </w:r>
    </w:p>
    <w:p w14:paraId="154E40FB">
      <w:pPr>
        <w:adjustRightInd w:val="0"/>
        <w:snapToGrid w:val="0"/>
        <w:spacing w:line="360" w:lineRule="auto"/>
        <w:rPr>
          <w:rFonts w:ascii="宋体"/>
          <w:sz w:val="22"/>
          <w:szCs w:val="22"/>
          <w:highlight w:val="none"/>
        </w:rPr>
      </w:pPr>
      <w:r>
        <w:rPr>
          <w:rFonts w:hint="eastAsia" w:ascii="宋体" w:hAnsi="宋体"/>
          <w:sz w:val="22"/>
          <w:szCs w:val="22"/>
          <w:highlight w:val="none"/>
        </w:rPr>
        <w:t>住所地：</w:t>
      </w:r>
      <w:r>
        <w:rPr>
          <w:rFonts w:ascii="宋体" w:hAnsi="宋体"/>
          <w:sz w:val="22"/>
          <w:szCs w:val="22"/>
          <w:highlight w:val="none"/>
        </w:rPr>
        <w:t xml:space="preserve"> </w:t>
      </w:r>
    </w:p>
    <w:p w14:paraId="2BC4CE2D">
      <w:pPr>
        <w:adjustRightInd w:val="0"/>
        <w:snapToGrid w:val="0"/>
        <w:spacing w:line="360" w:lineRule="auto"/>
        <w:rPr>
          <w:rFonts w:ascii="宋体" w:hAnsi="宋体"/>
          <w:sz w:val="22"/>
          <w:szCs w:val="22"/>
          <w:highlight w:val="none"/>
        </w:rPr>
      </w:pPr>
      <w:r>
        <w:rPr>
          <w:rFonts w:hint="eastAsia" w:ascii="宋体" w:hAnsi="宋体"/>
          <w:sz w:val="22"/>
          <w:szCs w:val="22"/>
          <w:highlight w:val="none"/>
        </w:rPr>
        <w:t xml:space="preserve">联系人：             电话：           传真： </w:t>
      </w:r>
    </w:p>
    <w:p w14:paraId="0DD3681D">
      <w:pPr>
        <w:spacing w:line="440" w:lineRule="exact"/>
        <w:ind w:firstLine="440" w:firstLineChars="200"/>
        <w:rPr>
          <w:rFonts w:ascii="宋体" w:hAnsi="宋体" w:cs="宋体"/>
          <w:sz w:val="22"/>
          <w:szCs w:val="22"/>
          <w:highlight w:val="none"/>
        </w:rPr>
      </w:pPr>
    </w:p>
    <w:p w14:paraId="72E818C0">
      <w:pPr>
        <w:spacing w:line="440" w:lineRule="exact"/>
        <w:ind w:firstLine="440" w:firstLineChars="200"/>
        <w:rPr>
          <w:rFonts w:ascii="宋体" w:hAnsi="宋体" w:cs="宋体"/>
          <w:sz w:val="22"/>
          <w:szCs w:val="22"/>
          <w:highlight w:val="none"/>
        </w:rPr>
      </w:pPr>
      <w:r>
        <w:rPr>
          <w:rFonts w:hint="eastAsia" w:ascii="宋体" w:hAnsi="宋体" w:cs="宋体"/>
          <w:sz w:val="22"/>
          <w:szCs w:val="22"/>
          <w:highlight w:val="none"/>
        </w:rPr>
        <w:t>根据招投标结果，甲方将</w:t>
      </w:r>
      <w:r>
        <w:rPr>
          <w:rFonts w:hint="eastAsia" w:ascii="宋体" w:hAnsi="宋体" w:cs="宋体"/>
          <w:sz w:val="22"/>
          <w:szCs w:val="22"/>
          <w:highlight w:val="none"/>
          <w:u w:val="single"/>
        </w:rPr>
        <w:t>温州港集团有限公司龙湾港务分公司35吨门机回转支承更换及16吨门机臂架头部铰点维修</w:t>
      </w:r>
      <w:r>
        <w:rPr>
          <w:rFonts w:hint="eastAsia" w:ascii="宋体" w:hAnsi="宋体" w:cs="宋体"/>
          <w:sz w:val="22"/>
          <w:szCs w:val="22"/>
          <w:highlight w:val="none"/>
        </w:rPr>
        <w:t>业务发包给乙方，为了明确双方的权利义务关系，特订立本合同。</w:t>
      </w:r>
    </w:p>
    <w:p w14:paraId="77228BB8">
      <w:pPr>
        <w:spacing w:line="440" w:lineRule="exact"/>
        <w:ind w:firstLine="442" w:firstLineChars="200"/>
        <w:rPr>
          <w:rFonts w:ascii="宋体" w:hAnsi="宋体" w:cs="宋体"/>
          <w:b/>
          <w:bCs/>
          <w:sz w:val="22"/>
          <w:szCs w:val="22"/>
          <w:highlight w:val="none"/>
        </w:rPr>
      </w:pPr>
      <w:r>
        <w:rPr>
          <w:rFonts w:hint="eastAsia" w:ascii="宋体" w:hAnsi="宋体" w:cs="宋体"/>
          <w:b/>
          <w:bCs/>
          <w:sz w:val="22"/>
          <w:szCs w:val="22"/>
          <w:highlight w:val="none"/>
        </w:rPr>
        <w:t>一、维修项目及费用（单位：元）</w:t>
      </w:r>
    </w:p>
    <w:tbl>
      <w:tblPr>
        <w:tblStyle w:val="30"/>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1"/>
        <w:gridCol w:w="4115"/>
        <w:gridCol w:w="2144"/>
        <w:gridCol w:w="2124"/>
      </w:tblGrid>
      <w:tr w14:paraId="7C59FC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85" w:type="pct"/>
            <w:vAlign w:val="center"/>
          </w:tcPr>
          <w:p w14:paraId="5C28C81F">
            <w:pPr>
              <w:jc w:val="center"/>
              <w:rPr>
                <w:rFonts w:ascii="宋体" w:hAnsi="宋体" w:cs="宋体"/>
                <w:sz w:val="22"/>
                <w:szCs w:val="22"/>
                <w:highlight w:val="none"/>
              </w:rPr>
            </w:pPr>
            <w:r>
              <w:rPr>
                <w:rFonts w:hint="eastAsia" w:ascii="宋体" w:hAnsi="宋体" w:cs="宋体"/>
                <w:sz w:val="22"/>
                <w:szCs w:val="22"/>
                <w:highlight w:val="none"/>
              </w:rPr>
              <w:t>序号</w:t>
            </w:r>
          </w:p>
        </w:tc>
        <w:tc>
          <w:tcPr>
            <w:tcW w:w="2215" w:type="pct"/>
            <w:vAlign w:val="center"/>
          </w:tcPr>
          <w:p w14:paraId="4C593C46">
            <w:pPr>
              <w:jc w:val="center"/>
              <w:rPr>
                <w:rFonts w:ascii="宋体" w:hAnsi="宋体" w:cs="宋体"/>
                <w:sz w:val="22"/>
                <w:szCs w:val="22"/>
                <w:highlight w:val="none"/>
              </w:rPr>
            </w:pPr>
            <w:r>
              <w:rPr>
                <w:rFonts w:hint="eastAsia" w:ascii="宋体" w:hAnsi="宋体" w:cs="宋体"/>
                <w:sz w:val="22"/>
                <w:szCs w:val="22"/>
                <w:highlight w:val="none"/>
              </w:rPr>
              <w:t>维修项目</w:t>
            </w:r>
          </w:p>
        </w:tc>
        <w:tc>
          <w:tcPr>
            <w:tcW w:w="1154" w:type="pct"/>
            <w:vAlign w:val="center"/>
          </w:tcPr>
          <w:p w14:paraId="281DE9DD">
            <w:pPr>
              <w:jc w:val="center"/>
              <w:rPr>
                <w:rFonts w:ascii="宋体" w:hAnsi="宋体" w:cs="宋体"/>
                <w:sz w:val="22"/>
                <w:szCs w:val="22"/>
                <w:highlight w:val="none"/>
              </w:rPr>
            </w:pPr>
            <w:r>
              <w:rPr>
                <w:rFonts w:hint="eastAsia" w:ascii="宋体" w:hAnsi="宋体" w:cs="宋体"/>
                <w:sz w:val="22"/>
                <w:szCs w:val="22"/>
                <w:highlight w:val="none"/>
              </w:rPr>
              <w:t>总价</w:t>
            </w:r>
          </w:p>
        </w:tc>
        <w:tc>
          <w:tcPr>
            <w:tcW w:w="1143" w:type="pct"/>
            <w:vAlign w:val="center"/>
          </w:tcPr>
          <w:p w14:paraId="63F32977">
            <w:pPr>
              <w:jc w:val="center"/>
              <w:rPr>
                <w:rFonts w:ascii="宋体" w:hAnsi="宋体" w:cs="宋体"/>
                <w:sz w:val="22"/>
                <w:szCs w:val="22"/>
                <w:highlight w:val="none"/>
              </w:rPr>
            </w:pPr>
            <w:r>
              <w:rPr>
                <w:rFonts w:hint="eastAsia" w:ascii="宋体" w:hAnsi="宋体" w:cs="宋体"/>
                <w:sz w:val="22"/>
                <w:szCs w:val="22"/>
                <w:highlight w:val="none"/>
              </w:rPr>
              <w:t>备注</w:t>
            </w:r>
          </w:p>
        </w:tc>
      </w:tr>
      <w:tr w14:paraId="7AF5A3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85" w:type="pct"/>
            <w:vAlign w:val="center"/>
          </w:tcPr>
          <w:p w14:paraId="4C52B003">
            <w:pPr>
              <w:jc w:val="center"/>
              <w:rPr>
                <w:rFonts w:ascii="宋体" w:hAnsi="宋体" w:cs="宋体"/>
                <w:sz w:val="22"/>
                <w:szCs w:val="22"/>
                <w:highlight w:val="none"/>
              </w:rPr>
            </w:pPr>
            <w:r>
              <w:rPr>
                <w:rFonts w:hint="eastAsia" w:ascii="宋体" w:hAnsi="宋体" w:cs="宋体"/>
                <w:sz w:val="22"/>
                <w:szCs w:val="22"/>
                <w:highlight w:val="none"/>
              </w:rPr>
              <w:t>1</w:t>
            </w:r>
          </w:p>
        </w:tc>
        <w:tc>
          <w:tcPr>
            <w:tcW w:w="2215" w:type="pct"/>
            <w:vAlign w:val="center"/>
          </w:tcPr>
          <w:p w14:paraId="63F733DC">
            <w:pPr>
              <w:jc w:val="center"/>
              <w:rPr>
                <w:rFonts w:ascii="宋体" w:hAnsi="宋体" w:cs="宋体"/>
                <w:sz w:val="22"/>
                <w:szCs w:val="22"/>
                <w:highlight w:val="none"/>
              </w:rPr>
            </w:pPr>
            <w:r>
              <w:rPr>
                <w:rFonts w:hint="eastAsia" w:ascii="宋体" w:hAnsi="宋体" w:cs="宋体"/>
                <w:sz w:val="22"/>
                <w:szCs w:val="22"/>
                <w:highlight w:val="none"/>
              </w:rPr>
              <w:t>35吨门机回转支承更换及16吨门机臂架头部铰点维修</w:t>
            </w:r>
          </w:p>
        </w:tc>
        <w:tc>
          <w:tcPr>
            <w:tcW w:w="1154" w:type="pct"/>
            <w:vAlign w:val="center"/>
          </w:tcPr>
          <w:p w14:paraId="10911C28">
            <w:pPr>
              <w:jc w:val="center"/>
              <w:rPr>
                <w:rFonts w:ascii="宋体" w:hAnsi="宋体" w:cs="宋体"/>
                <w:sz w:val="22"/>
                <w:szCs w:val="22"/>
                <w:highlight w:val="none"/>
              </w:rPr>
            </w:pPr>
          </w:p>
        </w:tc>
        <w:tc>
          <w:tcPr>
            <w:tcW w:w="1143" w:type="pct"/>
            <w:vAlign w:val="center"/>
          </w:tcPr>
          <w:p w14:paraId="0D836EC6">
            <w:pPr>
              <w:ind w:firstLine="440" w:firstLineChars="200"/>
              <w:jc w:val="center"/>
              <w:rPr>
                <w:rFonts w:ascii="宋体" w:hAnsi="宋体" w:cs="宋体"/>
                <w:sz w:val="22"/>
                <w:szCs w:val="22"/>
                <w:highlight w:val="none"/>
              </w:rPr>
            </w:pPr>
          </w:p>
        </w:tc>
      </w:tr>
      <w:tr w14:paraId="5A30D7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485" w:type="pct"/>
            <w:vAlign w:val="center"/>
          </w:tcPr>
          <w:p w14:paraId="7E7E48BB">
            <w:pPr>
              <w:jc w:val="center"/>
              <w:rPr>
                <w:rFonts w:ascii="宋体" w:hAnsi="宋体" w:cs="宋体"/>
                <w:sz w:val="22"/>
                <w:szCs w:val="22"/>
                <w:highlight w:val="none"/>
              </w:rPr>
            </w:pPr>
            <w:r>
              <w:rPr>
                <w:rFonts w:hint="eastAsia" w:ascii="宋体" w:hAnsi="宋体" w:cs="宋体"/>
                <w:sz w:val="22"/>
                <w:szCs w:val="22"/>
                <w:highlight w:val="none"/>
              </w:rPr>
              <w:t>总计</w:t>
            </w:r>
          </w:p>
        </w:tc>
        <w:tc>
          <w:tcPr>
            <w:tcW w:w="2215" w:type="pct"/>
            <w:vAlign w:val="center"/>
          </w:tcPr>
          <w:p w14:paraId="1CE99BEE">
            <w:pPr>
              <w:jc w:val="center"/>
              <w:rPr>
                <w:rFonts w:ascii="宋体" w:hAnsi="宋体" w:cs="宋体"/>
                <w:sz w:val="22"/>
                <w:szCs w:val="22"/>
                <w:highlight w:val="none"/>
              </w:rPr>
            </w:pPr>
          </w:p>
        </w:tc>
        <w:tc>
          <w:tcPr>
            <w:tcW w:w="1154" w:type="pct"/>
            <w:vAlign w:val="center"/>
          </w:tcPr>
          <w:p w14:paraId="26FCC1FB">
            <w:pPr>
              <w:jc w:val="center"/>
              <w:rPr>
                <w:rFonts w:ascii="宋体" w:hAnsi="宋体" w:cs="宋体"/>
                <w:sz w:val="22"/>
                <w:szCs w:val="22"/>
                <w:highlight w:val="none"/>
              </w:rPr>
            </w:pPr>
          </w:p>
        </w:tc>
        <w:tc>
          <w:tcPr>
            <w:tcW w:w="1143" w:type="pct"/>
            <w:vAlign w:val="center"/>
          </w:tcPr>
          <w:p w14:paraId="196B97C0">
            <w:pPr>
              <w:adjustRightInd w:val="0"/>
              <w:snapToGrid w:val="0"/>
              <w:jc w:val="center"/>
              <w:rPr>
                <w:rFonts w:ascii="宋体" w:hAnsi="宋体" w:cs="宋体"/>
                <w:sz w:val="22"/>
                <w:szCs w:val="22"/>
                <w:highlight w:val="none"/>
              </w:rPr>
            </w:pPr>
            <w:r>
              <w:rPr>
                <w:rFonts w:hint="eastAsia" w:ascii="宋体" w:hAnsi="宋体" w:cs="宋体"/>
                <w:sz w:val="22"/>
                <w:szCs w:val="22"/>
                <w:highlight w:val="none"/>
              </w:rPr>
              <w:t>含</w:t>
            </w:r>
            <w:r>
              <w:rPr>
                <w:rFonts w:hint="eastAsia" w:ascii="宋体" w:hAnsi="宋体" w:cs="宋体"/>
                <w:sz w:val="22"/>
                <w:szCs w:val="22"/>
                <w:highlight w:val="none"/>
                <w:u w:val="single"/>
              </w:rPr>
              <w:t xml:space="preserve"> 13 </w:t>
            </w:r>
            <w:r>
              <w:rPr>
                <w:rFonts w:hint="eastAsia" w:ascii="宋体" w:hAnsi="宋体" w:cs="宋体"/>
                <w:sz w:val="22"/>
                <w:szCs w:val="22"/>
                <w:highlight w:val="none"/>
              </w:rPr>
              <w:t>%增值税</w:t>
            </w:r>
          </w:p>
        </w:tc>
      </w:tr>
    </w:tbl>
    <w:p w14:paraId="152C9FDD">
      <w:pPr>
        <w:spacing w:line="440" w:lineRule="exact"/>
        <w:ind w:firstLine="440" w:firstLineChars="200"/>
        <w:rPr>
          <w:rFonts w:ascii="宋体" w:hAnsi="宋体" w:cs="宋体"/>
          <w:sz w:val="22"/>
          <w:szCs w:val="22"/>
          <w:highlight w:val="none"/>
        </w:rPr>
      </w:pPr>
      <w:r>
        <w:rPr>
          <w:rFonts w:hint="eastAsia" w:ascii="宋体" w:hAnsi="宋体" w:cs="宋体"/>
          <w:sz w:val="22"/>
          <w:szCs w:val="22"/>
          <w:highlight w:val="none"/>
        </w:rPr>
        <w:t>本次维修总费用为人民币（大写）</w:t>
      </w:r>
      <w:r>
        <w:rPr>
          <w:rFonts w:hint="eastAsia" w:ascii="宋体" w:hAnsi="宋体" w:cs="宋体"/>
          <w:sz w:val="22"/>
          <w:szCs w:val="22"/>
          <w:highlight w:val="none"/>
          <w:u w:val="single"/>
        </w:rPr>
        <w:t xml:space="preserve">             </w:t>
      </w:r>
      <w:r>
        <w:rPr>
          <w:rFonts w:hint="eastAsia" w:ascii="宋体" w:hAnsi="宋体" w:cs="宋体"/>
          <w:sz w:val="22"/>
          <w:szCs w:val="22"/>
          <w:highlight w:val="none"/>
        </w:rPr>
        <w:t>（￥</w:t>
      </w:r>
      <w:r>
        <w:rPr>
          <w:rFonts w:hint="eastAsia" w:ascii="宋体" w:hAnsi="宋体" w:cs="宋体"/>
          <w:sz w:val="22"/>
          <w:szCs w:val="22"/>
          <w:highlight w:val="none"/>
          <w:u w:val="single"/>
        </w:rPr>
        <w:t xml:space="preserve">      </w:t>
      </w:r>
      <w:r>
        <w:rPr>
          <w:rFonts w:hint="eastAsia" w:ascii="宋体" w:hAnsi="宋体" w:cs="宋体"/>
          <w:sz w:val="22"/>
          <w:szCs w:val="22"/>
          <w:highlight w:val="none"/>
        </w:rPr>
        <w:t>）。本项目为交钥匙工程，维修费用包含本合同项下完成本项目所需的人工费、材料费、汽车吊租赁费、保险费、调试、施工方案审查费、检测检验费、13%增值税税金及项目涉及的一切服务和辅材等全部工作的总费用（含平台交易服务费）。现场安装、调试所需叉车、用电、用水、齿轮油、锂基脂均不含在费用内，由甲方负。甲方不再另行支付其它任何费用。</w:t>
      </w:r>
    </w:p>
    <w:p w14:paraId="43A6F3C1">
      <w:pPr>
        <w:spacing w:line="440" w:lineRule="exact"/>
        <w:ind w:firstLine="440" w:firstLineChars="200"/>
        <w:rPr>
          <w:rFonts w:ascii="宋体" w:hAnsi="宋体" w:cs="宋体"/>
          <w:sz w:val="22"/>
          <w:szCs w:val="22"/>
          <w:highlight w:val="none"/>
        </w:rPr>
      </w:pPr>
      <w:r>
        <w:rPr>
          <w:rFonts w:hint="eastAsia" w:ascii="宋体" w:hAnsi="宋体" w:cs="宋体"/>
          <w:sz w:val="22"/>
          <w:szCs w:val="22"/>
          <w:highlight w:val="none"/>
        </w:rPr>
        <w:t>具体工作内容：</w:t>
      </w:r>
    </w:p>
    <w:tbl>
      <w:tblPr>
        <w:tblStyle w:val="3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95"/>
        <w:gridCol w:w="6593"/>
      </w:tblGrid>
      <w:tr w14:paraId="012847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jc w:val="center"/>
        </w:trPr>
        <w:tc>
          <w:tcPr>
            <w:tcW w:w="2760" w:type="dxa"/>
            <w:vAlign w:val="center"/>
          </w:tcPr>
          <w:p w14:paraId="0906B366">
            <w:pPr>
              <w:adjustRightInd w:val="0"/>
              <w:spacing w:line="440" w:lineRule="exact"/>
              <w:jc w:val="center"/>
              <w:rPr>
                <w:rFonts w:ascii="宋体" w:hAnsi="宋体" w:cs="宋体"/>
                <w:sz w:val="22"/>
                <w:szCs w:val="22"/>
                <w:highlight w:val="none"/>
              </w:rPr>
            </w:pPr>
            <w:r>
              <w:rPr>
                <w:rFonts w:hint="eastAsia" w:ascii="宋体" w:hAnsi="宋体" w:cs="宋体"/>
                <w:sz w:val="22"/>
                <w:szCs w:val="22"/>
                <w:highlight w:val="none"/>
              </w:rPr>
              <w:t>设备名称</w:t>
            </w:r>
          </w:p>
        </w:tc>
        <w:tc>
          <w:tcPr>
            <w:tcW w:w="6759" w:type="dxa"/>
            <w:vAlign w:val="center"/>
          </w:tcPr>
          <w:p w14:paraId="4B2FBBC2">
            <w:pPr>
              <w:adjustRightInd w:val="0"/>
              <w:spacing w:line="440" w:lineRule="exact"/>
              <w:jc w:val="center"/>
              <w:rPr>
                <w:rFonts w:ascii="宋体" w:hAnsi="宋体" w:cs="宋体"/>
                <w:sz w:val="22"/>
                <w:szCs w:val="22"/>
                <w:highlight w:val="none"/>
              </w:rPr>
            </w:pPr>
            <w:r>
              <w:rPr>
                <w:rFonts w:hint="eastAsia" w:ascii="宋体" w:hAnsi="宋体" w:cs="宋体"/>
                <w:sz w:val="22"/>
                <w:szCs w:val="22"/>
                <w:highlight w:val="none"/>
              </w:rPr>
              <w:t>维修及项目内容</w:t>
            </w:r>
          </w:p>
        </w:tc>
      </w:tr>
      <w:tr w14:paraId="4ECAA2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2760" w:type="dxa"/>
            <w:vAlign w:val="center"/>
          </w:tcPr>
          <w:p w14:paraId="6559CF12">
            <w:pPr>
              <w:adjustRightInd w:val="0"/>
              <w:spacing w:line="440" w:lineRule="exact"/>
              <w:jc w:val="center"/>
              <w:rPr>
                <w:rFonts w:ascii="宋体" w:hAnsi="宋体" w:cs="宋体"/>
                <w:sz w:val="22"/>
                <w:szCs w:val="22"/>
                <w:highlight w:val="none"/>
              </w:rPr>
            </w:pPr>
            <w:r>
              <w:rPr>
                <w:rFonts w:hint="eastAsia" w:ascii="宋体" w:hAnsi="宋体" w:cs="宋体"/>
                <w:sz w:val="22"/>
                <w:szCs w:val="22"/>
                <w:highlight w:val="none"/>
              </w:rPr>
              <w:t>35吨1号门机</w:t>
            </w:r>
          </w:p>
        </w:tc>
        <w:tc>
          <w:tcPr>
            <w:tcW w:w="6759" w:type="dxa"/>
          </w:tcPr>
          <w:p w14:paraId="71298B5F">
            <w:pPr>
              <w:adjustRightInd w:val="0"/>
              <w:spacing w:line="440" w:lineRule="exact"/>
              <w:rPr>
                <w:rFonts w:ascii="宋体" w:hAnsi="宋体" w:cs="宋体"/>
                <w:sz w:val="22"/>
                <w:szCs w:val="22"/>
                <w:highlight w:val="none"/>
              </w:rPr>
            </w:pPr>
            <w:r>
              <w:rPr>
                <w:rFonts w:hint="eastAsia" w:ascii="宋体" w:hAnsi="宋体" w:cs="宋体"/>
                <w:sz w:val="22"/>
                <w:szCs w:val="22"/>
                <w:highlight w:val="none"/>
              </w:rPr>
              <w:t>包括但不限于：回转支承及连接螺栓的拆卸与更换；回转减速箱的拆卸与安装；电缆拆除与重新接线；施工方案审查；完工后调试、检测检验、现场清理；以及回转支承更换有关的其它工作。</w:t>
            </w:r>
          </w:p>
        </w:tc>
      </w:tr>
      <w:tr w14:paraId="74B743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2760" w:type="dxa"/>
            <w:vAlign w:val="center"/>
          </w:tcPr>
          <w:p w14:paraId="0AD58477">
            <w:pPr>
              <w:adjustRightInd w:val="0"/>
              <w:spacing w:line="440" w:lineRule="exact"/>
              <w:jc w:val="center"/>
              <w:rPr>
                <w:rFonts w:ascii="宋体" w:hAnsi="宋体" w:cs="宋体"/>
                <w:sz w:val="22"/>
                <w:szCs w:val="22"/>
                <w:highlight w:val="none"/>
              </w:rPr>
            </w:pPr>
            <w:r>
              <w:rPr>
                <w:rFonts w:hint="eastAsia" w:ascii="宋体" w:hAnsi="宋体" w:cs="宋体"/>
                <w:sz w:val="22"/>
                <w:szCs w:val="22"/>
                <w:highlight w:val="none"/>
              </w:rPr>
              <w:t>16吨8号门机</w:t>
            </w:r>
          </w:p>
        </w:tc>
        <w:tc>
          <w:tcPr>
            <w:tcW w:w="6759" w:type="dxa"/>
          </w:tcPr>
          <w:p w14:paraId="206E7CEB">
            <w:pPr>
              <w:adjustRightInd w:val="0"/>
              <w:spacing w:line="440" w:lineRule="exact"/>
              <w:rPr>
                <w:rFonts w:ascii="宋体" w:hAnsi="宋体" w:cs="宋体"/>
                <w:sz w:val="22"/>
                <w:szCs w:val="22"/>
                <w:highlight w:val="none"/>
              </w:rPr>
            </w:pPr>
            <w:r>
              <w:rPr>
                <w:rFonts w:hint="eastAsia" w:ascii="宋体" w:hAnsi="宋体" w:cs="宋体"/>
                <w:sz w:val="22"/>
                <w:szCs w:val="22"/>
                <w:highlight w:val="none"/>
              </w:rPr>
              <w:t>包括但不限于：臂架头部铰点（2处，对应为16吨门机臂架系统图序号6）轴、轴承、轴套及其相关部件更换；臂架头部铰点孔镗孔修复（如需）；施工方案审查；完工后调试、检测检验、现场清理；以及臂架头部铰点维修有关的其它工作。</w:t>
            </w:r>
          </w:p>
        </w:tc>
      </w:tr>
    </w:tbl>
    <w:p w14:paraId="729CA73B">
      <w:pPr>
        <w:spacing w:line="440" w:lineRule="exact"/>
        <w:ind w:firstLine="442" w:firstLineChars="200"/>
        <w:rPr>
          <w:rFonts w:ascii="宋体" w:hAnsi="宋体" w:cs="宋体"/>
          <w:b/>
          <w:bCs/>
          <w:sz w:val="22"/>
          <w:szCs w:val="22"/>
          <w:highlight w:val="none"/>
        </w:rPr>
      </w:pPr>
      <w:r>
        <w:rPr>
          <w:rFonts w:hint="eastAsia" w:ascii="宋体" w:hAnsi="宋体" w:cs="宋体"/>
          <w:b/>
          <w:bCs/>
          <w:sz w:val="22"/>
          <w:szCs w:val="22"/>
          <w:highlight w:val="none"/>
        </w:rPr>
        <w:t>二、维修规范及要求</w:t>
      </w:r>
    </w:p>
    <w:p w14:paraId="5D713C41">
      <w:pPr>
        <w:spacing w:line="440" w:lineRule="exact"/>
        <w:ind w:firstLine="440" w:firstLineChars="200"/>
        <w:rPr>
          <w:rFonts w:ascii="宋体" w:hAnsi="宋体" w:cs="宋体"/>
          <w:sz w:val="22"/>
          <w:szCs w:val="22"/>
          <w:highlight w:val="none"/>
        </w:rPr>
      </w:pPr>
      <w:r>
        <w:rPr>
          <w:rFonts w:hint="eastAsia" w:ascii="宋体" w:hAnsi="宋体" w:cs="宋体"/>
          <w:sz w:val="22"/>
          <w:szCs w:val="22"/>
          <w:highlight w:val="none"/>
        </w:rPr>
        <w:t>1、本次维修技术、工艺与维修质量要求：乙方必须保证维修后设备能正常运行并符合甲方的要求。</w:t>
      </w:r>
    </w:p>
    <w:p w14:paraId="603D3948">
      <w:pPr>
        <w:spacing w:line="440" w:lineRule="exact"/>
        <w:ind w:firstLine="440" w:firstLineChars="200"/>
        <w:rPr>
          <w:rFonts w:ascii="宋体" w:hAnsi="宋体" w:cs="宋体"/>
          <w:sz w:val="22"/>
          <w:szCs w:val="22"/>
          <w:highlight w:val="none"/>
        </w:rPr>
      </w:pPr>
      <w:r>
        <w:rPr>
          <w:rFonts w:hint="eastAsia" w:ascii="宋体" w:hAnsi="宋体" w:cs="宋体"/>
          <w:sz w:val="22"/>
          <w:szCs w:val="22"/>
          <w:highlight w:val="none"/>
        </w:rPr>
        <w:t>2、维修零部件的供应：乙方保证提供的产品须为全新的、未使用过的，符合招标文件中要求，或经甲方书面同意的其它产品。甲方在使用本合同项下货物时如因知识产权问题被追究责任的，由乙方负责处理，且乙方应当全额赔偿甲方因此遭受的损失。</w:t>
      </w:r>
    </w:p>
    <w:p w14:paraId="64994438">
      <w:pPr>
        <w:spacing w:line="440" w:lineRule="exact"/>
        <w:ind w:firstLine="440" w:firstLineChars="200"/>
        <w:rPr>
          <w:rFonts w:ascii="宋体" w:hAnsi="宋体" w:cs="宋体"/>
          <w:sz w:val="22"/>
          <w:szCs w:val="22"/>
          <w:highlight w:val="none"/>
        </w:rPr>
      </w:pPr>
      <w:r>
        <w:rPr>
          <w:rFonts w:hint="eastAsia" w:ascii="宋体" w:hAnsi="宋体" w:cs="宋体"/>
          <w:sz w:val="22"/>
          <w:szCs w:val="22"/>
          <w:highlight w:val="none"/>
        </w:rPr>
        <w:t>乙方保证提供的产品须为全新的、未使用过的，符合技术规格书要求。</w:t>
      </w:r>
    </w:p>
    <w:p w14:paraId="62DA0ACE">
      <w:pPr>
        <w:spacing w:line="440" w:lineRule="exact"/>
        <w:ind w:firstLine="440" w:firstLineChars="200"/>
        <w:rPr>
          <w:rFonts w:ascii="宋体" w:hAnsi="宋体" w:cs="宋体"/>
          <w:sz w:val="22"/>
          <w:szCs w:val="22"/>
          <w:highlight w:val="none"/>
        </w:rPr>
      </w:pPr>
      <w:r>
        <w:rPr>
          <w:rFonts w:hint="eastAsia" w:ascii="宋体" w:hAnsi="宋体" w:cs="宋体"/>
          <w:sz w:val="22"/>
          <w:szCs w:val="22"/>
          <w:highlight w:val="none"/>
        </w:rPr>
        <w:t>3、完成维修所用的专用工具及相关费用由乙方自行负责。</w:t>
      </w:r>
    </w:p>
    <w:p w14:paraId="65AC15F7">
      <w:pPr>
        <w:spacing w:line="440" w:lineRule="exact"/>
        <w:ind w:firstLine="440" w:firstLineChars="200"/>
        <w:rPr>
          <w:rFonts w:ascii="宋体" w:hAnsi="宋体" w:cs="宋体"/>
          <w:sz w:val="22"/>
          <w:szCs w:val="22"/>
          <w:highlight w:val="none"/>
        </w:rPr>
      </w:pPr>
      <w:r>
        <w:rPr>
          <w:rFonts w:hint="eastAsia" w:ascii="宋体" w:hAnsi="宋体" w:cs="宋体"/>
          <w:sz w:val="22"/>
          <w:szCs w:val="22"/>
          <w:highlight w:val="none"/>
        </w:rPr>
        <w:t>4、必须由乙方自己的技术人员完成维修工作，乙方必须直接经营维修，未经甲方书面同意，乙方不得将全部或部分维修工作分包或转包给任何第三方，也不得请非乙方自己的技术人员进行维修。乙方违反上述约定，甲方有权单方提前解除本合同，要求乙方支付本合同总价__</w:t>
      </w:r>
      <w:r>
        <w:rPr>
          <w:rFonts w:hint="eastAsia" w:ascii="宋体" w:hAnsi="宋体" w:cs="宋体"/>
          <w:sz w:val="22"/>
          <w:szCs w:val="22"/>
          <w:highlight w:val="none"/>
          <w:u w:val="single"/>
        </w:rPr>
        <w:t>20</w:t>
      </w:r>
      <w:r>
        <w:rPr>
          <w:rFonts w:hint="eastAsia" w:ascii="宋体" w:hAnsi="宋体" w:cs="宋体"/>
          <w:sz w:val="22"/>
          <w:szCs w:val="22"/>
          <w:highlight w:val="none"/>
        </w:rPr>
        <w:t>__%的违约金并赔偿甲方因此造成的全部损失。</w:t>
      </w:r>
    </w:p>
    <w:p w14:paraId="295BE701">
      <w:pPr>
        <w:spacing w:line="440" w:lineRule="exact"/>
        <w:ind w:firstLine="440" w:firstLineChars="200"/>
        <w:rPr>
          <w:rFonts w:ascii="宋体" w:hAnsi="宋体" w:cs="宋体"/>
          <w:sz w:val="22"/>
          <w:szCs w:val="22"/>
          <w:highlight w:val="none"/>
        </w:rPr>
      </w:pPr>
      <w:r>
        <w:rPr>
          <w:rFonts w:hint="eastAsia" w:ascii="宋体" w:hAnsi="宋体" w:cs="宋体"/>
          <w:sz w:val="22"/>
          <w:szCs w:val="22"/>
          <w:highlight w:val="none"/>
        </w:rPr>
        <w:t>5、维修人员：到甲方场地作业的特种作业人员需提供特种作业证书复印件，并按照甲方相关制度要求办理各项登记手续。</w:t>
      </w:r>
    </w:p>
    <w:p w14:paraId="498FFFB2">
      <w:pPr>
        <w:spacing w:line="440" w:lineRule="exact"/>
        <w:ind w:firstLine="442" w:firstLineChars="200"/>
        <w:rPr>
          <w:rFonts w:ascii="宋体" w:hAnsi="宋体" w:cs="宋体"/>
          <w:b/>
          <w:bCs/>
          <w:sz w:val="22"/>
          <w:szCs w:val="22"/>
          <w:highlight w:val="none"/>
        </w:rPr>
      </w:pPr>
      <w:r>
        <w:rPr>
          <w:rFonts w:hint="eastAsia" w:ascii="宋体" w:hAnsi="宋体" w:cs="宋体"/>
          <w:b/>
          <w:bCs/>
          <w:sz w:val="22"/>
          <w:szCs w:val="22"/>
          <w:highlight w:val="none"/>
        </w:rPr>
        <w:t>三、项目工期</w:t>
      </w:r>
    </w:p>
    <w:p w14:paraId="15F7E456">
      <w:pPr>
        <w:spacing w:line="440" w:lineRule="exact"/>
        <w:ind w:firstLine="440" w:firstLineChars="200"/>
        <w:rPr>
          <w:rFonts w:ascii="宋体" w:hAnsi="宋体" w:cs="宋体"/>
          <w:sz w:val="22"/>
          <w:szCs w:val="22"/>
          <w:highlight w:val="none"/>
        </w:rPr>
      </w:pPr>
      <w:r>
        <w:rPr>
          <w:rFonts w:hint="eastAsia" w:ascii="宋体" w:hAnsi="宋体" w:cs="宋体"/>
          <w:sz w:val="22"/>
          <w:szCs w:val="22"/>
          <w:highlight w:val="none"/>
        </w:rPr>
        <w:t>1、35吨门机回转支承需在合同签订后</w:t>
      </w:r>
      <w:r>
        <w:rPr>
          <w:rFonts w:hint="eastAsia" w:ascii="宋体" w:hAnsi="宋体" w:cs="宋体"/>
          <w:sz w:val="22"/>
          <w:szCs w:val="22"/>
          <w:highlight w:val="none"/>
          <w:u w:val="single"/>
        </w:rPr>
        <w:t xml:space="preserve">     </w:t>
      </w:r>
      <w:r>
        <w:rPr>
          <w:rFonts w:hint="eastAsia" w:ascii="宋体" w:hAnsi="宋体" w:cs="宋体"/>
          <w:sz w:val="22"/>
          <w:szCs w:val="22"/>
          <w:highlight w:val="none"/>
        </w:rPr>
        <w:t>日历天内完成到港并验收通过。2、两台设备现场维修工期为：接到甲方书面通知之日起</w:t>
      </w:r>
      <w:r>
        <w:rPr>
          <w:rFonts w:hint="eastAsia" w:ascii="宋体" w:hAnsi="宋体" w:cs="宋体"/>
          <w:sz w:val="22"/>
          <w:szCs w:val="22"/>
          <w:highlight w:val="none"/>
          <w:u w:val="single"/>
        </w:rPr>
        <w:t xml:space="preserve">     </w:t>
      </w:r>
      <w:r>
        <w:rPr>
          <w:rFonts w:hint="eastAsia" w:ascii="宋体" w:hAnsi="宋体" w:cs="宋体"/>
          <w:sz w:val="22"/>
          <w:szCs w:val="22"/>
          <w:highlight w:val="none"/>
        </w:rPr>
        <w:t>日历天内完成安装调试并通过甲方验收。</w:t>
      </w:r>
    </w:p>
    <w:p w14:paraId="20016CBA">
      <w:pPr>
        <w:spacing w:line="440" w:lineRule="exact"/>
        <w:ind w:firstLine="442" w:firstLineChars="200"/>
        <w:rPr>
          <w:rFonts w:ascii="宋体" w:hAnsi="宋体" w:cs="宋体"/>
          <w:b/>
          <w:bCs/>
          <w:sz w:val="22"/>
          <w:szCs w:val="22"/>
          <w:highlight w:val="none"/>
        </w:rPr>
      </w:pPr>
      <w:r>
        <w:rPr>
          <w:rFonts w:hint="eastAsia" w:ascii="宋体" w:hAnsi="宋体" w:cs="宋体"/>
          <w:b/>
          <w:bCs/>
          <w:sz w:val="22"/>
          <w:szCs w:val="22"/>
          <w:highlight w:val="none"/>
        </w:rPr>
        <w:t>四、运输和交付</w:t>
      </w:r>
    </w:p>
    <w:p w14:paraId="724439EA">
      <w:pPr>
        <w:spacing w:line="440" w:lineRule="exact"/>
        <w:ind w:firstLine="440" w:firstLineChars="200"/>
        <w:rPr>
          <w:rFonts w:ascii="宋体" w:hAnsi="宋体" w:cs="宋体"/>
          <w:sz w:val="22"/>
          <w:szCs w:val="22"/>
          <w:highlight w:val="none"/>
        </w:rPr>
      </w:pPr>
      <w:r>
        <w:rPr>
          <w:rFonts w:hint="eastAsia" w:ascii="宋体" w:hAnsi="宋体" w:cs="宋体"/>
          <w:sz w:val="22"/>
          <w:szCs w:val="22"/>
          <w:highlight w:val="none"/>
        </w:rPr>
        <w:t>1、维修所需工具和机械设备来回运输由乙方负责并承担运输费用，但甲方应为乙方维修提供必要的场地和其它条件。</w:t>
      </w:r>
    </w:p>
    <w:p w14:paraId="291B9F28">
      <w:pPr>
        <w:spacing w:line="440" w:lineRule="exact"/>
        <w:ind w:firstLine="440" w:firstLineChars="200"/>
        <w:rPr>
          <w:rFonts w:ascii="宋体" w:hAnsi="宋体" w:cs="宋体"/>
          <w:sz w:val="22"/>
          <w:szCs w:val="22"/>
          <w:highlight w:val="none"/>
        </w:rPr>
      </w:pPr>
      <w:r>
        <w:rPr>
          <w:rFonts w:hint="eastAsia" w:ascii="宋体" w:hAnsi="宋体" w:cs="宋体"/>
          <w:sz w:val="22"/>
          <w:szCs w:val="22"/>
          <w:highlight w:val="none"/>
        </w:rPr>
        <w:t>2、乙方维修完成并安装完毕，应通知甲方验收，甲方应在两个工作日内组织相关人员进行验收试运行，验收合格后甲方才予接收。验收合格的，则甲方验收合格之日为“维修完工之日”。验收不合格的，甲方有权单方提前解除本合同，要求乙方承担合同价款</w:t>
      </w:r>
      <w:r>
        <w:rPr>
          <w:rFonts w:hint="eastAsia" w:ascii="宋体" w:hAnsi="宋体" w:cs="宋体"/>
          <w:sz w:val="22"/>
          <w:szCs w:val="22"/>
          <w:highlight w:val="none"/>
          <w:u w:val="single"/>
        </w:rPr>
        <w:t xml:space="preserve">  20  </w:t>
      </w:r>
      <w:r>
        <w:rPr>
          <w:rFonts w:hint="eastAsia" w:ascii="宋体" w:hAnsi="宋体" w:cs="宋体"/>
          <w:sz w:val="22"/>
          <w:szCs w:val="22"/>
          <w:highlight w:val="none"/>
        </w:rPr>
        <w:t>%的违约金，并且有权拒绝支付维修费。如甲方未通知乙方解除合同，则乙方应继续维修直至通过验收，并承担因此导致逾期完工的违约责任。</w:t>
      </w:r>
    </w:p>
    <w:p w14:paraId="7F053513">
      <w:pPr>
        <w:spacing w:line="440" w:lineRule="exact"/>
        <w:ind w:firstLine="440" w:firstLineChars="200"/>
        <w:rPr>
          <w:rFonts w:ascii="宋体" w:hAnsi="宋体" w:cs="宋体"/>
          <w:sz w:val="22"/>
          <w:szCs w:val="22"/>
          <w:highlight w:val="none"/>
        </w:rPr>
      </w:pPr>
      <w:r>
        <w:rPr>
          <w:rFonts w:hint="eastAsia" w:ascii="宋体" w:hAnsi="宋体" w:cs="宋体"/>
          <w:sz w:val="22"/>
          <w:szCs w:val="22"/>
          <w:highlight w:val="none"/>
        </w:rPr>
        <w:t>3、上述设备、工具在运输过程中的风险由乙方承担。甲方的设备在交付乙方或乙方指定承运人时风险转移。</w:t>
      </w:r>
    </w:p>
    <w:p w14:paraId="775099C6">
      <w:pPr>
        <w:spacing w:line="440" w:lineRule="exact"/>
        <w:ind w:firstLine="440" w:firstLineChars="200"/>
        <w:rPr>
          <w:rFonts w:ascii="宋体" w:hAnsi="宋体" w:cs="宋体"/>
          <w:sz w:val="22"/>
          <w:szCs w:val="22"/>
          <w:highlight w:val="none"/>
        </w:rPr>
      </w:pPr>
      <w:r>
        <w:rPr>
          <w:rFonts w:hint="eastAsia" w:ascii="宋体" w:hAnsi="宋体" w:cs="宋体"/>
          <w:sz w:val="22"/>
          <w:szCs w:val="22"/>
          <w:highlight w:val="none"/>
        </w:rPr>
        <w:t>4、验收流程：调试结束并正常运行后，乙方出具验收大纲，经甲方确认后双方组织验收。验收中发现的问题需记录并整改直至解决。</w:t>
      </w:r>
    </w:p>
    <w:p w14:paraId="66F42A82">
      <w:pPr>
        <w:spacing w:line="440" w:lineRule="exact"/>
        <w:ind w:firstLine="440" w:firstLineChars="200"/>
        <w:rPr>
          <w:rFonts w:ascii="宋体" w:hAnsi="宋体" w:cs="宋体"/>
          <w:sz w:val="22"/>
          <w:szCs w:val="22"/>
          <w:highlight w:val="none"/>
        </w:rPr>
      </w:pPr>
      <w:r>
        <w:rPr>
          <w:rFonts w:hint="eastAsia" w:ascii="宋体" w:hAnsi="宋体" w:cs="宋体"/>
          <w:sz w:val="22"/>
          <w:szCs w:val="22"/>
          <w:highlight w:val="none"/>
        </w:rPr>
        <w:t>5、完工资料：验收合格后，乙方需交付纸质版资料一式六份、电子版（U盘）一份。资料须包含：</w:t>
      </w:r>
    </w:p>
    <w:p w14:paraId="2B0753C9">
      <w:pPr>
        <w:spacing w:line="440" w:lineRule="exact"/>
        <w:ind w:firstLine="440" w:firstLineChars="200"/>
        <w:rPr>
          <w:rFonts w:ascii="宋体" w:hAnsi="宋体" w:cs="宋体"/>
          <w:sz w:val="22"/>
          <w:szCs w:val="22"/>
          <w:highlight w:val="none"/>
        </w:rPr>
      </w:pPr>
      <w:r>
        <w:rPr>
          <w:rFonts w:hint="eastAsia" w:ascii="宋体" w:hAnsi="宋体" w:cs="宋体"/>
          <w:sz w:val="22"/>
          <w:szCs w:val="22"/>
          <w:highlight w:val="none"/>
        </w:rPr>
        <w:t>安装维护说明书；</w:t>
      </w:r>
    </w:p>
    <w:p w14:paraId="3328F975">
      <w:pPr>
        <w:spacing w:line="440" w:lineRule="exact"/>
        <w:ind w:firstLine="440" w:firstLineChars="200"/>
        <w:rPr>
          <w:rFonts w:ascii="宋体" w:hAnsi="宋体" w:cs="宋体"/>
          <w:sz w:val="22"/>
          <w:szCs w:val="22"/>
          <w:highlight w:val="none"/>
        </w:rPr>
      </w:pPr>
      <w:r>
        <w:rPr>
          <w:rFonts w:hint="eastAsia" w:ascii="宋体" w:hAnsi="宋体" w:cs="宋体"/>
          <w:sz w:val="22"/>
          <w:szCs w:val="22"/>
          <w:highlight w:val="none"/>
        </w:rPr>
        <w:t>完整施工方案（含安全措施、试车方案等）；</w:t>
      </w:r>
    </w:p>
    <w:p w14:paraId="2B08DB92">
      <w:pPr>
        <w:spacing w:line="440" w:lineRule="exact"/>
        <w:ind w:firstLine="440" w:firstLineChars="200"/>
        <w:rPr>
          <w:rFonts w:ascii="宋体" w:hAnsi="宋体" w:cs="宋体"/>
          <w:sz w:val="22"/>
          <w:szCs w:val="22"/>
          <w:highlight w:val="none"/>
        </w:rPr>
      </w:pPr>
      <w:r>
        <w:rPr>
          <w:rFonts w:hint="eastAsia" w:ascii="宋体" w:hAnsi="宋体" w:cs="宋体"/>
          <w:sz w:val="22"/>
          <w:szCs w:val="22"/>
          <w:highlight w:val="none"/>
        </w:rPr>
        <w:t>项目验收报告；</w:t>
      </w:r>
    </w:p>
    <w:p w14:paraId="4D800303">
      <w:pPr>
        <w:spacing w:line="440" w:lineRule="exact"/>
        <w:ind w:firstLine="440" w:firstLineChars="200"/>
        <w:rPr>
          <w:rFonts w:ascii="宋体" w:hAnsi="宋体" w:cs="宋体"/>
          <w:sz w:val="22"/>
          <w:szCs w:val="22"/>
          <w:highlight w:val="none"/>
        </w:rPr>
      </w:pPr>
      <w:r>
        <w:rPr>
          <w:rFonts w:hint="eastAsia" w:ascii="宋体" w:hAnsi="宋体" w:cs="宋体"/>
          <w:sz w:val="22"/>
          <w:szCs w:val="22"/>
          <w:highlight w:val="none"/>
        </w:rPr>
        <w:t>关键部件材质证明、合格证、检测报告；</w:t>
      </w:r>
    </w:p>
    <w:p w14:paraId="65866197">
      <w:pPr>
        <w:spacing w:line="440" w:lineRule="exact"/>
        <w:ind w:firstLine="440" w:firstLineChars="200"/>
        <w:rPr>
          <w:rFonts w:ascii="宋体" w:hAnsi="宋体" w:cs="宋体"/>
          <w:sz w:val="22"/>
          <w:szCs w:val="22"/>
          <w:highlight w:val="none"/>
        </w:rPr>
      </w:pPr>
      <w:r>
        <w:rPr>
          <w:rFonts w:hint="eastAsia" w:ascii="宋体" w:hAnsi="宋体" w:cs="宋体"/>
          <w:sz w:val="22"/>
          <w:szCs w:val="22"/>
          <w:highlight w:val="none"/>
        </w:rPr>
        <w:t>危大工程专项施工总结报告。</w:t>
      </w:r>
    </w:p>
    <w:p w14:paraId="2694C1B2">
      <w:pPr>
        <w:spacing w:line="440" w:lineRule="exact"/>
        <w:ind w:firstLine="440" w:firstLineChars="200"/>
        <w:rPr>
          <w:rFonts w:ascii="宋体" w:hAnsi="宋体" w:cs="宋体"/>
          <w:sz w:val="22"/>
          <w:szCs w:val="22"/>
          <w:highlight w:val="none"/>
        </w:rPr>
      </w:pPr>
      <w:r>
        <w:rPr>
          <w:rFonts w:hint="eastAsia" w:ascii="宋体" w:hAnsi="宋体" w:cs="宋体"/>
          <w:sz w:val="22"/>
          <w:szCs w:val="22"/>
          <w:highlight w:val="none"/>
        </w:rPr>
        <w:t>6、旧件处理：更换下来的旧回转支承、旧铰点轴等主材归甲方所有，由乙方负责运送至甲方指定地点堆放；废油、废棉纱等废弃物由甲方按规定合规处置。</w:t>
      </w:r>
    </w:p>
    <w:p w14:paraId="26C29AD7">
      <w:pPr>
        <w:snapToGrid w:val="0"/>
        <w:spacing w:line="440" w:lineRule="exact"/>
        <w:ind w:firstLine="442" w:firstLineChars="200"/>
        <w:rPr>
          <w:rFonts w:ascii="宋体" w:hAnsi="宋体" w:cs="宋体"/>
          <w:b/>
          <w:sz w:val="22"/>
          <w:szCs w:val="22"/>
          <w:highlight w:val="none"/>
        </w:rPr>
      </w:pPr>
      <w:r>
        <w:rPr>
          <w:rFonts w:hint="eastAsia" w:ascii="宋体" w:hAnsi="宋体" w:cs="宋体"/>
          <w:b/>
          <w:bCs/>
          <w:sz w:val="22"/>
          <w:szCs w:val="22"/>
          <w:highlight w:val="none"/>
        </w:rPr>
        <w:t>五、</w:t>
      </w:r>
      <w:r>
        <w:rPr>
          <w:rFonts w:hint="eastAsia" w:ascii="宋体" w:hAnsi="宋体" w:cs="宋体"/>
          <w:b/>
          <w:sz w:val="22"/>
          <w:szCs w:val="22"/>
          <w:highlight w:val="none"/>
        </w:rPr>
        <w:t>安全生产</w:t>
      </w:r>
    </w:p>
    <w:p w14:paraId="09B3BC11">
      <w:pPr>
        <w:spacing w:line="440" w:lineRule="exact"/>
        <w:ind w:firstLine="440" w:firstLineChars="200"/>
        <w:jc w:val="left"/>
        <w:rPr>
          <w:rFonts w:ascii="宋体" w:hAnsi="宋体" w:cs="宋体"/>
          <w:sz w:val="22"/>
          <w:szCs w:val="22"/>
          <w:highlight w:val="none"/>
        </w:rPr>
      </w:pPr>
      <w:r>
        <w:rPr>
          <w:rFonts w:hint="eastAsia" w:ascii="宋体" w:hAnsi="宋体" w:cs="宋体"/>
          <w:sz w:val="22"/>
          <w:szCs w:val="22"/>
          <w:highlight w:val="none"/>
        </w:rPr>
        <w:t>1、乙方需为其施工人员购买工伤保险或意外伤害保险，并对施工期间的安全生产负全责。</w:t>
      </w:r>
    </w:p>
    <w:p w14:paraId="691B0678">
      <w:pPr>
        <w:spacing w:line="440" w:lineRule="exact"/>
        <w:ind w:firstLine="440" w:firstLineChars="200"/>
        <w:jc w:val="left"/>
        <w:rPr>
          <w:rFonts w:ascii="宋体" w:hAnsi="宋体" w:cs="宋体"/>
          <w:sz w:val="22"/>
          <w:szCs w:val="22"/>
          <w:highlight w:val="none"/>
        </w:rPr>
      </w:pPr>
      <w:r>
        <w:rPr>
          <w:rFonts w:hint="eastAsia" w:ascii="宋体" w:hAnsi="宋体" w:cs="宋体"/>
          <w:sz w:val="22"/>
          <w:szCs w:val="22"/>
          <w:highlight w:val="none"/>
        </w:rPr>
        <w:t>2、乙方在承包业务前，应全面了解学习遵守双方签订的安全生产相关协议，并组织具体完成承包业务的人员全面认真学习其中的规定。</w:t>
      </w:r>
    </w:p>
    <w:p w14:paraId="3BBE99ED">
      <w:pPr>
        <w:spacing w:line="440" w:lineRule="exact"/>
        <w:ind w:firstLine="440" w:firstLineChars="200"/>
        <w:jc w:val="left"/>
        <w:rPr>
          <w:rFonts w:ascii="宋体" w:hAnsi="宋体" w:cs="宋体"/>
          <w:sz w:val="22"/>
          <w:szCs w:val="22"/>
          <w:highlight w:val="none"/>
        </w:rPr>
      </w:pPr>
      <w:r>
        <w:rPr>
          <w:rFonts w:hint="eastAsia" w:ascii="宋体" w:hAnsi="宋体" w:cs="宋体"/>
          <w:sz w:val="22"/>
          <w:szCs w:val="22"/>
          <w:highlight w:val="none"/>
        </w:rPr>
        <w:t>3、乙方人员的作业方式应符合安全生产的要求，且乙方须自行为其人员配备相关劳保用品。乙方自备的工具应符合安全生产的条件，存在安全隐患的工具不得进入甲方场地使用。</w:t>
      </w:r>
    </w:p>
    <w:p w14:paraId="78E331FF">
      <w:pPr>
        <w:spacing w:line="440" w:lineRule="exact"/>
        <w:ind w:firstLine="440" w:firstLineChars="200"/>
        <w:jc w:val="left"/>
        <w:rPr>
          <w:rFonts w:ascii="宋体" w:hAnsi="宋体" w:cs="宋体"/>
          <w:sz w:val="22"/>
          <w:szCs w:val="22"/>
          <w:highlight w:val="none"/>
        </w:rPr>
      </w:pPr>
      <w:r>
        <w:rPr>
          <w:rFonts w:hint="eastAsia" w:ascii="宋体" w:hAnsi="宋体" w:cs="宋体"/>
          <w:sz w:val="22"/>
          <w:szCs w:val="22"/>
          <w:highlight w:val="none"/>
        </w:rPr>
        <w:t>4、乙方一旦使用甲方的工具及场地，视同认定其为具备安全生产条件，若乙方在使用中发生一切问题，与甲方无关。</w:t>
      </w:r>
    </w:p>
    <w:p w14:paraId="2A59CE0F">
      <w:pPr>
        <w:spacing w:line="440" w:lineRule="exact"/>
        <w:ind w:firstLine="440" w:firstLineChars="200"/>
        <w:jc w:val="left"/>
        <w:rPr>
          <w:rFonts w:ascii="宋体" w:hAnsi="宋体" w:cs="宋体"/>
          <w:sz w:val="22"/>
          <w:szCs w:val="22"/>
          <w:highlight w:val="none"/>
        </w:rPr>
      </w:pPr>
      <w:r>
        <w:rPr>
          <w:rFonts w:hint="eastAsia" w:ascii="宋体" w:hAnsi="宋体" w:cs="宋体"/>
          <w:sz w:val="22"/>
          <w:szCs w:val="22"/>
          <w:highlight w:val="none"/>
        </w:rPr>
        <w:t>5、乙方应要求其具体完成承包业务的员工严格遵守甲方制定的安全生产管理制度，不能严格遵守甲方安全生产管理制度的员工乙方不得派往甲方场地作业。乙</w:t>
      </w:r>
      <w:r>
        <w:rPr>
          <w:rFonts w:hint="eastAsia" w:ascii="宋体" w:hAnsi="宋体" w:cs="宋体"/>
          <w:sz w:val="22"/>
          <w:szCs w:val="22"/>
          <w:highlight w:val="none"/>
          <w:lang w:val="zh-CN"/>
        </w:rPr>
        <w:t>方在合同履行期间</w:t>
      </w:r>
      <w:r>
        <w:rPr>
          <w:rFonts w:hint="eastAsia" w:ascii="宋体" w:hAnsi="宋体" w:cs="宋体"/>
          <w:sz w:val="22"/>
          <w:szCs w:val="22"/>
          <w:highlight w:val="none"/>
        </w:rPr>
        <w:t>造成其自身、甲方、第三方经济损失或人身损害或安全事故的，概由乙方承担全部经济赔偿及事故责任，与甲方无关。</w:t>
      </w:r>
    </w:p>
    <w:p w14:paraId="53ACEE39">
      <w:pPr>
        <w:spacing w:line="440" w:lineRule="exact"/>
        <w:ind w:firstLine="440" w:firstLineChars="200"/>
        <w:jc w:val="left"/>
        <w:rPr>
          <w:rFonts w:ascii="宋体" w:hAnsi="宋体" w:cs="宋体"/>
          <w:sz w:val="22"/>
          <w:szCs w:val="22"/>
          <w:highlight w:val="none"/>
        </w:rPr>
      </w:pPr>
      <w:r>
        <w:rPr>
          <w:rFonts w:hint="eastAsia" w:ascii="宋体" w:hAnsi="宋体" w:cs="宋体"/>
          <w:sz w:val="22"/>
          <w:szCs w:val="22"/>
          <w:highlight w:val="none"/>
        </w:rPr>
        <w:t>6、乙方人员的用工、待遇、工伤等纠纷概由乙方负责，与甲方无关。如甲方为此承担责任或垫付费用的，有权向乙方追偿。</w:t>
      </w:r>
    </w:p>
    <w:p w14:paraId="5FB60949">
      <w:pPr>
        <w:spacing w:line="440" w:lineRule="exact"/>
        <w:ind w:firstLine="440" w:firstLineChars="200"/>
        <w:jc w:val="left"/>
        <w:rPr>
          <w:rFonts w:ascii="宋体" w:hAnsi="宋体" w:cs="宋体"/>
          <w:sz w:val="22"/>
          <w:szCs w:val="22"/>
          <w:highlight w:val="none"/>
        </w:rPr>
      </w:pPr>
      <w:r>
        <w:rPr>
          <w:rFonts w:hint="eastAsia" w:ascii="宋体" w:hAnsi="宋体" w:cs="宋体"/>
          <w:sz w:val="22"/>
          <w:szCs w:val="22"/>
          <w:highlight w:val="none"/>
        </w:rPr>
        <w:t>7、乙方还须为本项目涉及的所有新安装设备（包括但不限于35吨门机回转支承、16吨门机铰点部件等）及施工现场原有设备购买“安装工程一切险”或“设备保险”。保险受益人须明确为温州港集团有限公司龙湾港务分公司，保险有效期至少覆盖整个施工期至项目最终验收合格之日。乙方应在保险生效后将保险单复印件（须载明受益人信息）提交甲方备案。</w:t>
      </w:r>
    </w:p>
    <w:p w14:paraId="4863C5F2">
      <w:pPr>
        <w:spacing w:line="440" w:lineRule="exact"/>
        <w:ind w:firstLine="440" w:firstLineChars="200"/>
        <w:jc w:val="left"/>
        <w:rPr>
          <w:rFonts w:ascii="宋体" w:hAnsi="宋体" w:cs="宋体"/>
          <w:sz w:val="22"/>
          <w:szCs w:val="22"/>
          <w:highlight w:val="none"/>
        </w:rPr>
      </w:pPr>
      <w:r>
        <w:rPr>
          <w:rFonts w:hint="eastAsia" w:ascii="宋体" w:hAnsi="宋体" w:cs="宋体"/>
          <w:sz w:val="22"/>
          <w:szCs w:val="22"/>
          <w:highlight w:val="none"/>
        </w:rPr>
        <w:t>8、乙方应遵守招标人安全管理规定，签订安全施工协议，并提供保险购买凭证备查。</w:t>
      </w:r>
    </w:p>
    <w:p w14:paraId="65751E7A">
      <w:pPr>
        <w:spacing w:line="440" w:lineRule="exact"/>
        <w:ind w:firstLine="440" w:firstLineChars="200"/>
        <w:jc w:val="left"/>
        <w:rPr>
          <w:rFonts w:ascii="宋体" w:hAnsi="宋体" w:cs="宋体"/>
          <w:sz w:val="22"/>
          <w:szCs w:val="22"/>
          <w:highlight w:val="none"/>
        </w:rPr>
      </w:pPr>
      <w:r>
        <w:rPr>
          <w:rFonts w:hint="eastAsia" w:ascii="宋体" w:hAnsi="宋体" w:cs="宋体"/>
          <w:sz w:val="22"/>
          <w:szCs w:val="22"/>
          <w:highlight w:val="none"/>
        </w:rPr>
        <w:t>9、安装调试应严格按照审批通过的专项方案执行，涉及重大变更需重新报审。现场须做到“工完场清”</w:t>
      </w:r>
      <w:r>
        <w:rPr>
          <w:rFonts w:hint="eastAsia"/>
          <w:highlight w:val="none"/>
        </w:rPr>
        <w:t>。</w:t>
      </w:r>
    </w:p>
    <w:p w14:paraId="3DA658BD">
      <w:pPr>
        <w:spacing w:line="440" w:lineRule="exact"/>
        <w:ind w:firstLine="442" w:firstLineChars="200"/>
        <w:rPr>
          <w:rFonts w:ascii="宋体" w:hAnsi="宋体" w:cs="宋体"/>
          <w:b/>
          <w:bCs/>
          <w:sz w:val="22"/>
          <w:szCs w:val="22"/>
          <w:highlight w:val="none"/>
        </w:rPr>
      </w:pPr>
      <w:r>
        <w:rPr>
          <w:rFonts w:hint="eastAsia" w:ascii="宋体" w:hAnsi="宋体" w:cs="宋体"/>
          <w:b/>
          <w:bCs/>
          <w:sz w:val="22"/>
          <w:szCs w:val="22"/>
          <w:highlight w:val="none"/>
        </w:rPr>
        <w:t>六、质保期</w:t>
      </w:r>
    </w:p>
    <w:p w14:paraId="34E4D928">
      <w:pPr>
        <w:spacing w:line="440" w:lineRule="exact"/>
        <w:ind w:firstLine="440" w:firstLineChars="200"/>
        <w:rPr>
          <w:rFonts w:ascii="宋体" w:hAnsi="宋体" w:cs="宋体"/>
          <w:sz w:val="22"/>
          <w:szCs w:val="22"/>
          <w:highlight w:val="none"/>
        </w:rPr>
      </w:pPr>
      <w:r>
        <w:rPr>
          <w:rFonts w:hint="eastAsia" w:ascii="宋体" w:hAnsi="宋体" w:cs="宋体"/>
          <w:sz w:val="22"/>
          <w:szCs w:val="22"/>
          <w:highlight w:val="none"/>
        </w:rPr>
        <w:t>1、质保期</w:t>
      </w:r>
      <w:r>
        <w:rPr>
          <w:rStyle w:val="37"/>
          <w:rFonts w:hint="eastAsia"/>
          <w:kern w:val="0"/>
          <w:highlight w:val="none"/>
        </w:rPr>
        <w:t>：调试合格并通过验收后</w:t>
      </w:r>
      <w:r>
        <w:rPr>
          <w:rStyle w:val="37"/>
          <w:rFonts w:hint="eastAsia"/>
          <w:kern w:val="0"/>
          <w:highlight w:val="none"/>
          <w:u w:val="single"/>
        </w:rPr>
        <w:t xml:space="preserve">   </w:t>
      </w:r>
      <w:r>
        <w:rPr>
          <w:rStyle w:val="37"/>
          <w:rFonts w:hint="eastAsia"/>
          <w:kern w:val="0"/>
          <w:highlight w:val="none"/>
        </w:rPr>
        <w:t>个月。</w:t>
      </w:r>
    </w:p>
    <w:p w14:paraId="6DE426AF">
      <w:pPr>
        <w:spacing w:line="440" w:lineRule="exact"/>
        <w:ind w:firstLine="440" w:firstLineChars="200"/>
        <w:rPr>
          <w:rFonts w:ascii="宋体" w:hAnsi="宋体" w:cs="宋体"/>
          <w:sz w:val="22"/>
          <w:szCs w:val="22"/>
          <w:highlight w:val="none"/>
        </w:rPr>
      </w:pPr>
      <w:r>
        <w:rPr>
          <w:rFonts w:hint="eastAsia" w:ascii="宋体" w:hAnsi="宋体" w:cs="宋体"/>
          <w:sz w:val="22"/>
          <w:szCs w:val="22"/>
          <w:highlight w:val="none"/>
        </w:rPr>
        <w:t>2、质保期内，乙方应当保证维修的设备正常运行。除出现人为导致的新故障外，维修后的设备在质保期内出现故障的，或新故障系乙方维修不当所引起的，乙方应在接到甲方通知后</w:t>
      </w:r>
      <w:r>
        <w:rPr>
          <w:rFonts w:hint="eastAsia" w:ascii="宋体" w:hAnsi="宋体" w:cs="宋体"/>
          <w:sz w:val="22"/>
          <w:szCs w:val="22"/>
          <w:highlight w:val="none"/>
          <w:u w:val="single"/>
        </w:rPr>
        <w:t xml:space="preserve">   </w:t>
      </w:r>
      <w:r>
        <w:rPr>
          <w:rFonts w:hint="eastAsia" w:ascii="宋体" w:hAnsi="宋体" w:cs="宋体"/>
          <w:sz w:val="22"/>
          <w:szCs w:val="22"/>
          <w:highlight w:val="none"/>
        </w:rPr>
        <w:t>小时内响应，</w:t>
      </w:r>
      <w:r>
        <w:rPr>
          <w:rFonts w:hint="eastAsia" w:ascii="宋体" w:hAnsi="宋体" w:cs="宋体"/>
          <w:sz w:val="22"/>
          <w:szCs w:val="22"/>
          <w:highlight w:val="none"/>
          <w:u w:val="single"/>
        </w:rPr>
        <w:t xml:space="preserve">    小时</w:t>
      </w:r>
      <w:r>
        <w:rPr>
          <w:rFonts w:hint="eastAsia" w:ascii="宋体" w:hAnsi="宋体" w:cs="宋体"/>
          <w:sz w:val="22"/>
          <w:szCs w:val="22"/>
          <w:highlight w:val="none"/>
        </w:rPr>
        <w:t>内到达现场，无条件免费修复设备。修复后质保期做相应顺延。</w:t>
      </w:r>
    </w:p>
    <w:p w14:paraId="134EB9AA">
      <w:pPr>
        <w:spacing w:line="440" w:lineRule="exact"/>
        <w:ind w:firstLine="440" w:firstLineChars="200"/>
        <w:rPr>
          <w:rFonts w:ascii="宋体" w:hAnsi="宋体" w:cs="宋体"/>
          <w:sz w:val="22"/>
          <w:szCs w:val="22"/>
          <w:highlight w:val="none"/>
        </w:rPr>
      </w:pPr>
      <w:r>
        <w:rPr>
          <w:rFonts w:hint="eastAsia" w:ascii="宋体" w:hAnsi="宋体" w:cs="宋体"/>
          <w:sz w:val="22"/>
          <w:szCs w:val="22"/>
          <w:highlight w:val="none"/>
        </w:rPr>
        <w:t>3、在质保期内因质量问题出现故障，乙方无偿保修或更换。一般故障应于到达现场后</w:t>
      </w:r>
      <w:r>
        <w:rPr>
          <w:rFonts w:hint="eastAsia" w:ascii="宋体" w:hAnsi="宋体" w:cs="宋体"/>
          <w:sz w:val="22"/>
          <w:szCs w:val="22"/>
          <w:highlight w:val="none"/>
          <w:u w:val="single"/>
        </w:rPr>
        <w:t xml:space="preserve">    </w:t>
      </w:r>
      <w:r>
        <w:rPr>
          <w:rFonts w:hint="eastAsia" w:ascii="宋体" w:hAnsi="宋体" w:cs="宋体"/>
          <w:sz w:val="22"/>
          <w:szCs w:val="22"/>
          <w:highlight w:val="none"/>
        </w:rPr>
        <w:t>小时内修复，重大故障（导致停机）应于到达现场后</w:t>
      </w:r>
      <w:r>
        <w:rPr>
          <w:rFonts w:hint="eastAsia" w:ascii="宋体" w:hAnsi="宋体" w:cs="宋体"/>
          <w:sz w:val="22"/>
          <w:szCs w:val="22"/>
          <w:highlight w:val="none"/>
          <w:u w:val="single"/>
        </w:rPr>
        <w:t xml:space="preserve">    </w:t>
      </w:r>
      <w:r>
        <w:rPr>
          <w:rFonts w:hint="eastAsia" w:ascii="宋体" w:hAnsi="宋体" w:cs="宋体"/>
          <w:sz w:val="22"/>
          <w:szCs w:val="22"/>
          <w:highlight w:val="none"/>
        </w:rPr>
        <w:t>个工作日内修复。逾期未修复，乙方需赔偿甲方实际损失。</w:t>
      </w:r>
    </w:p>
    <w:p w14:paraId="00D779A6">
      <w:pPr>
        <w:spacing w:line="440" w:lineRule="exact"/>
        <w:ind w:firstLine="440" w:firstLineChars="200"/>
        <w:rPr>
          <w:rFonts w:ascii="宋体" w:hAnsi="宋体" w:cs="宋体"/>
          <w:sz w:val="22"/>
          <w:szCs w:val="22"/>
          <w:highlight w:val="none"/>
        </w:rPr>
      </w:pPr>
      <w:r>
        <w:rPr>
          <w:rFonts w:hint="eastAsia" w:ascii="宋体" w:hAnsi="宋体" w:cs="宋体"/>
          <w:sz w:val="22"/>
          <w:szCs w:val="22"/>
          <w:highlight w:val="none"/>
        </w:rPr>
        <w:t>4、乙方应定期进行电话回访或现场检查，跟踪设备运行情况。</w:t>
      </w:r>
    </w:p>
    <w:p w14:paraId="4B9EBD2A">
      <w:pPr>
        <w:spacing w:line="440" w:lineRule="exact"/>
        <w:ind w:firstLine="442" w:firstLineChars="200"/>
        <w:rPr>
          <w:rFonts w:ascii="宋体" w:hAnsi="宋体" w:cs="宋体"/>
          <w:b/>
          <w:bCs/>
          <w:sz w:val="22"/>
          <w:szCs w:val="22"/>
          <w:highlight w:val="none"/>
        </w:rPr>
      </w:pPr>
      <w:r>
        <w:rPr>
          <w:rFonts w:hint="eastAsia" w:ascii="宋体" w:hAnsi="宋体" w:cs="宋体"/>
          <w:b/>
          <w:bCs/>
          <w:sz w:val="22"/>
          <w:szCs w:val="22"/>
          <w:highlight w:val="none"/>
        </w:rPr>
        <w:t>七、付款方式</w:t>
      </w:r>
    </w:p>
    <w:p w14:paraId="53E30CA8">
      <w:pPr>
        <w:spacing w:line="440" w:lineRule="exact"/>
        <w:ind w:firstLine="440" w:firstLineChars="200"/>
        <w:rPr>
          <w:rFonts w:ascii="宋体" w:hAnsi="宋体" w:cs="宋体"/>
          <w:sz w:val="22"/>
          <w:szCs w:val="22"/>
          <w:highlight w:val="none"/>
        </w:rPr>
      </w:pPr>
      <w:r>
        <w:rPr>
          <w:rFonts w:ascii="宋体" w:hAnsi="宋体" w:cs="宋体"/>
          <w:sz w:val="22"/>
          <w:szCs w:val="22"/>
          <w:highlight w:val="none"/>
        </w:rPr>
        <w:t>1</w:t>
      </w:r>
      <w:r>
        <w:rPr>
          <w:rFonts w:hint="eastAsia" w:ascii="宋体" w:hAnsi="宋体" w:cs="宋体"/>
          <w:sz w:val="22"/>
          <w:szCs w:val="22"/>
          <w:highlight w:val="none"/>
        </w:rPr>
        <w:t>、在合同签订前乙方提供</w:t>
      </w:r>
      <w:r>
        <w:rPr>
          <w:rFonts w:hint="eastAsia" w:ascii="宋体" w:hAnsi="宋体" w:cs="宋体"/>
          <w:color w:val="000000" w:themeColor="text1"/>
          <w:kern w:val="0"/>
          <w:sz w:val="22"/>
          <w:szCs w:val="22"/>
          <w:highlight w:val="none"/>
          <w14:textFill>
            <w14:solidFill>
              <w14:schemeClr w14:val="tx1"/>
            </w14:solidFill>
          </w14:textFill>
        </w:rPr>
        <w:t>合同总价5%</w:t>
      </w:r>
      <w:r>
        <w:rPr>
          <w:rFonts w:hint="eastAsia" w:ascii="宋体" w:hAnsi="宋体" w:cs="宋体"/>
          <w:sz w:val="22"/>
          <w:szCs w:val="22"/>
          <w:highlight w:val="none"/>
        </w:rPr>
        <w:t>的履约保证金，如乙方在签约前未在规定的时间内提交履约保证金则甲方有权拒签合同。并且要保证履约保证金在合同履行期间的有效性。</w:t>
      </w:r>
    </w:p>
    <w:p w14:paraId="45D6D59B">
      <w:pPr>
        <w:spacing w:line="440" w:lineRule="exact"/>
        <w:ind w:firstLine="440" w:firstLineChars="200"/>
        <w:rPr>
          <w:rFonts w:ascii="宋体" w:hAnsi="宋体" w:cs="宋体"/>
          <w:sz w:val="22"/>
          <w:szCs w:val="22"/>
          <w:highlight w:val="none"/>
        </w:rPr>
      </w:pPr>
      <w:r>
        <w:rPr>
          <w:rFonts w:ascii="宋体" w:hAnsi="宋体" w:cs="宋体"/>
          <w:sz w:val="22"/>
          <w:szCs w:val="22"/>
          <w:highlight w:val="none"/>
        </w:rPr>
        <w:t>2</w:t>
      </w:r>
      <w:r>
        <w:rPr>
          <w:rFonts w:hint="eastAsia" w:ascii="宋体" w:hAnsi="宋体" w:cs="宋体"/>
          <w:sz w:val="22"/>
          <w:szCs w:val="22"/>
          <w:highlight w:val="none"/>
        </w:rPr>
        <w:t>、履约保证金在验收合格后转为质量保证金继续执行，待质保期满后，维修的设备正常运行无质量问题，甲方在30个日历天内无息向乙方退还。</w:t>
      </w:r>
    </w:p>
    <w:p w14:paraId="0A819D39">
      <w:pPr>
        <w:spacing w:line="440" w:lineRule="exact"/>
        <w:ind w:firstLine="440" w:firstLineChars="200"/>
        <w:rPr>
          <w:rFonts w:ascii="宋体" w:hAnsi="宋体" w:cs="宋体"/>
          <w:sz w:val="22"/>
          <w:szCs w:val="22"/>
          <w:highlight w:val="none"/>
        </w:rPr>
      </w:pPr>
      <w:r>
        <w:rPr>
          <w:rFonts w:hint="eastAsia" w:ascii="宋体" w:hAnsi="宋体" w:cs="宋体"/>
          <w:sz w:val="22"/>
          <w:szCs w:val="22"/>
          <w:highlight w:val="none"/>
        </w:rPr>
        <w:t>3、合同签订后，乙方提供回转支承、轴承等主要部件的采购订单或采购合同复印件（加盖公章）及等额收款收据，经甲方确认后10个工作日内，甲方向乙方支付合同总价的20%作为预付款。</w:t>
      </w:r>
    </w:p>
    <w:p w14:paraId="43C5E7E2">
      <w:pPr>
        <w:spacing w:line="440" w:lineRule="exact"/>
        <w:ind w:firstLine="440" w:firstLineChars="200"/>
        <w:rPr>
          <w:rFonts w:ascii="宋体" w:hAnsi="宋体" w:cs="宋体"/>
          <w:b/>
          <w:sz w:val="22"/>
          <w:szCs w:val="22"/>
          <w:highlight w:val="none"/>
        </w:rPr>
      </w:pPr>
      <w:r>
        <w:rPr>
          <w:rFonts w:hint="eastAsia" w:ascii="宋体" w:hAnsi="宋体" w:cs="宋体"/>
          <w:sz w:val="22"/>
          <w:szCs w:val="22"/>
          <w:highlight w:val="none"/>
        </w:rPr>
        <w:t>4、经甲方验收合格后，乙方向甲方出具符合税务部门规范的全额增值税专用发票，甲方收到前述正确发票后，以电汇或转账的方式向乙方支付剩余80%的合同款。</w:t>
      </w:r>
      <w:r>
        <w:rPr>
          <w:rFonts w:hint="eastAsia" w:ascii="宋体" w:hAnsi="宋体" w:cs="宋体"/>
          <w:b/>
          <w:sz w:val="22"/>
          <w:szCs w:val="22"/>
          <w:highlight w:val="none"/>
        </w:rPr>
        <w:t>甲方在收到乙方合格发票前，有权暂停支付并不承担任何违约责任。</w:t>
      </w:r>
    </w:p>
    <w:p w14:paraId="78454ED9">
      <w:pPr>
        <w:spacing w:line="440" w:lineRule="exact"/>
        <w:ind w:firstLine="440" w:firstLineChars="200"/>
        <w:rPr>
          <w:rFonts w:ascii="宋体" w:hAnsi="宋体" w:cs="宋体"/>
          <w:sz w:val="22"/>
          <w:szCs w:val="22"/>
          <w:highlight w:val="none"/>
        </w:rPr>
      </w:pPr>
      <w:r>
        <w:rPr>
          <w:rFonts w:hint="eastAsia" w:ascii="宋体" w:hAnsi="宋体" w:cs="宋体"/>
          <w:sz w:val="22"/>
          <w:szCs w:val="22"/>
          <w:highlight w:val="none"/>
        </w:rPr>
        <w:t>5、如果在质保期内，因设备维修质量问题造成设备停止运转，乙方应在24小时内派技术人员前往现场进行修复，甲方应对修复完好的设备进行再次验收，验收通过后质保期重新计算。</w:t>
      </w:r>
    </w:p>
    <w:p w14:paraId="1A7F29AB">
      <w:pPr>
        <w:spacing w:line="440" w:lineRule="exact"/>
        <w:ind w:firstLine="440" w:firstLineChars="200"/>
        <w:rPr>
          <w:rFonts w:ascii="宋体" w:hAnsi="宋体" w:cs="宋体"/>
          <w:sz w:val="22"/>
          <w:szCs w:val="22"/>
          <w:highlight w:val="none"/>
        </w:rPr>
      </w:pPr>
      <w:r>
        <w:rPr>
          <w:rFonts w:hint="eastAsia" w:ascii="宋体" w:hAnsi="宋体" w:cs="宋体"/>
          <w:sz w:val="22"/>
          <w:szCs w:val="22"/>
          <w:highlight w:val="none"/>
        </w:rPr>
        <w:t>6、因乙方原因产生的任何违约金、赔偿金等款项，甲方均有权在履约保证金、质量保证金及应付款中直接扣除。履约保证金及质量保证金被扣收发生后，乙方应在15个日历天内补足，逾期补足的，按每日万分之五支付违约金。</w:t>
      </w:r>
    </w:p>
    <w:p w14:paraId="2D2613C6">
      <w:pPr>
        <w:spacing w:line="440" w:lineRule="exact"/>
        <w:ind w:firstLine="440" w:firstLineChars="200"/>
        <w:rPr>
          <w:highlight w:val="none"/>
        </w:rPr>
      </w:pPr>
      <w:r>
        <w:rPr>
          <w:rFonts w:hint="eastAsia" w:ascii="宋体" w:hAnsi="宋体" w:cs="宋体"/>
          <w:sz w:val="22"/>
          <w:szCs w:val="22"/>
          <w:highlight w:val="none"/>
        </w:rPr>
        <w:t>7、本合同价格含增值税，合同履行期间，如国家调整增值税率，则合同价款按不含税价不变的原则进行调整。</w:t>
      </w:r>
    </w:p>
    <w:p w14:paraId="57E75E43">
      <w:pPr>
        <w:widowControl/>
        <w:spacing w:line="440" w:lineRule="exact"/>
        <w:ind w:firstLine="440" w:firstLineChars="200"/>
        <w:rPr>
          <w:rFonts w:ascii="宋体" w:hAnsi="宋体" w:cs="宋体"/>
          <w:color w:val="000000"/>
          <w:sz w:val="22"/>
          <w:szCs w:val="22"/>
          <w:highlight w:val="none"/>
        </w:rPr>
      </w:pPr>
      <w:r>
        <w:rPr>
          <w:rFonts w:hint="eastAsia" w:ascii="宋体" w:hAnsi="宋体" w:cs="宋体"/>
          <w:color w:val="000000"/>
          <w:sz w:val="22"/>
          <w:szCs w:val="22"/>
          <w:highlight w:val="none"/>
        </w:rPr>
        <w:t>8、乙方指定收款账号：</w:t>
      </w:r>
    </w:p>
    <w:p w14:paraId="61541A83">
      <w:pPr>
        <w:widowControl/>
        <w:spacing w:line="440" w:lineRule="exact"/>
        <w:ind w:firstLine="440" w:firstLineChars="200"/>
        <w:rPr>
          <w:rFonts w:ascii="宋体" w:hAnsi="宋体" w:cs="宋体"/>
          <w:color w:val="000000"/>
          <w:sz w:val="22"/>
          <w:szCs w:val="22"/>
          <w:highlight w:val="none"/>
        </w:rPr>
      </w:pPr>
      <w:r>
        <w:rPr>
          <w:rFonts w:hint="eastAsia" w:ascii="宋体" w:hAnsi="宋体" w:cs="宋体"/>
          <w:color w:val="000000"/>
          <w:sz w:val="22"/>
          <w:szCs w:val="22"/>
          <w:highlight w:val="none"/>
        </w:rPr>
        <w:t>户名：</w:t>
      </w:r>
    </w:p>
    <w:p w14:paraId="624D9016">
      <w:pPr>
        <w:widowControl/>
        <w:spacing w:line="440" w:lineRule="exact"/>
        <w:ind w:firstLine="440" w:firstLineChars="200"/>
        <w:rPr>
          <w:rFonts w:ascii="宋体" w:hAnsi="宋体" w:cs="宋体"/>
          <w:color w:val="000000"/>
          <w:sz w:val="22"/>
          <w:szCs w:val="22"/>
          <w:highlight w:val="none"/>
        </w:rPr>
      </w:pPr>
      <w:r>
        <w:rPr>
          <w:rFonts w:hint="eastAsia" w:ascii="宋体" w:hAnsi="宋体" w:cs="宋体"/>
          <w:color w:val="000000"/>
          <w:sz w:val="22"/>
          <w:szCs w:val="22"/>
          <w:highlight w:val="none"/>
        </w:rPr>
        <w:t>账号：</w:t>
      </w:r>
    </w:p>
    <w:p w14:paraId="37CC0E4C">
      <w:pPr>
        <w:widowControl/>
        <w:spacing w:line="440" w:lineRule="exact"/>
        <w:ind w:firstLine="440" w:firstLineChars="200"/>
        <w:rPr>
          <w:rFonts w:ascii="宋体" w:hAnsi="宋体" w:cs="宋体"/>
          <w:color w:val="000000"/>
          <w:sz w:val="22"/>
          <w:szCs w:val="22"/>
          <w:highlight w:val="none"/>
        </w:rPr>
      </w:pPr>
      <w:r>
        <w:rPr>
          <w:rFonts w:hint="eastAsia" w:ascii="宋体" w:hAnsi="宋体" w:cs="宋体"/>
          <w:color w:val="000000"/>
          <w:sz w:val="22"/>
          <w:szCs w:val="22"/>
          <w:highlight w:val="none"/>
        </w:rPr>
        <w:t>开户行：</w:t>
      </w:r>
    </w:p>
    <w:p w14:paraId="2268DA62">
      <w:pPr>
        <w:widowControl/>
        <w:spacing w:line="440" w:lineRule="exact"/>
        <w:ind w:firstLine="440" w:firstLineChars="200"/>
        <w:rPr>
          <w:rFonts w:ascii="宋体" w:hAnsi="宋体" w:cs="宋体"/>
          <w:color w:val="000000"/>
          <w:sz w:val="22"/>
          <w:szCs w:val="22"/>
          <w:highlight w:val="none"/>
        </w:rPr>
      </w:pPr>
      <w:r>
        <w:rPr>
          <w:rFonts w:hint="eastAsia" w:ascii="宋体" w:hAnsi="宋体" w:cs="宋体"/>
          <w:color w:val="000000"/>
          <w:sz w:val="22"/>
          <w:szCs w:val="22"/>
          <w:highlight w:val="none"/>
        </w:rPr>
        <w:t>9、甲方开票信息如下：</w:t>
      </w:r>
    </w:p>
    <w:p w14:paraId="4D5721AD">
      <w:pPr>
        <w:spacing w:line="440" w:lineRule="exact"/>
        <w:ind w:firstLine="440" w:firstLineChars="200"/>
        <w:rPr>
          <w:rFonts w:ascii="宋体" w:hAnsi="宋体" w:cs="宋体"/>
          <w:sz w:val="22"/>
          <w:szCs w:val="22"/>
          <w:highlight w:val="none"/>
        </w:rPr>
      </w:pPr>
      <w:r>
        <w:rPr>
          <w:rFonts w:hint="eastAsia" w:ascii="宋体" w:hAnsi="宋体" w:cs="宋体"/>
          <w:sz w:val="22"/>
          <w:szCs w:val="22"/>
          <w:highlight w:val="none"/>
        </w:rPr>
        <w:t>公司名称：</w:t>
      </w:r>
      <w:r>
        <w:rPr>
          <w:rFonts w:ascii="宋体" w:hAnsi="宋体" w:cs="宋体"/>
          <w:sz w:val="22"/>
          <w:szCs w:val="22"/>
          <w:highlight w:val="none"/>
        </w:rPr>
        <w:t xml:space="preserve"> </w:t>
      </w:r>
    </w:p>
    <w:p w14:paraId="280DF4DA">
      <w:pPr>
        <w:spacing w:line="440" w:lineRule="exact"/>
        <w:ind w:firstLine="440" w:firstLineChars="200"/>
        <w:rPr>
          <w:rFonts w:ascii="宋体" w:hAnsi="宋体" w:cs="宋体"/>
          <w:sz w:val="22"/>
          <w:szCs w:val="22"/>
          <w:highlight w:val="none"/>
        </w:rPr>
      </w:pPr>
      <w:r>
        <w:rPr>
          <w:rFonts w:hint="eastAsia" w:ascii="宋体" w:hAnsi="宋体" w:cs="宋体"/>
          <w:sz w:val="22"/>
          <w:szCs w:val="22"/>
          <w:highlight w:val="none"/>
        </w:rPr>
        <w:t>纳税人识别号：</w:t>
      </w:r>
    </w:p>
    <w:p w14:paraId="76A73561">
      <w:pPr>
        <w:spacing w:line="440" w:lineRule="exact"/>
        <w:ind w:firstLine="440" w:firstLineChars="200"/>
        <w:rPr>
          <w:rFonts w:ascii="宋体" w:hAnsi="宋体" w:cs="宋体"/>
          <w:sz w:val="22"/>
          <w:szCs w:val="22"/>
          <w:highlight w:val="none"/>
        </w:rPr>
      </w:pPr>
      <w:r>
        <w:rPr>
          <w:rFonts w:hint="eastAsia" w:ascii="宋体" w:hAnsi="宋体" w:cs="宋体"/>
          <w:sz w:val="22"/>
          <w:szCs w:val="22"/>
          <w:highlight w:val="none"/>
        </w:rPr>
        <w:t>地址、电话：</w:t>
      </w:r>
    </w:p>
    <w:p w14:paraId="0D94C5B7">
      <w:pPr>
        <w:spacing w:line="440" w:lineRule="exact"/>
        <w:ind w:firstLine="440" w:firstLineChars="200"/>
        <w:rPr>
          <w:rFonts w:ascii="宋体" w:hAnsi="宋体" w:cs="宋体"/>
          <w:sz w:val="22"/>
          <w:szCs w:val="22"/>
          <w:highlight w:val="none"/>
        </w:rPr>
      </w:pPr>
      <w:r>
        <w:rPr>
          <w:rFonts w:hint="eastAsia" w:ascii="宋体" w:hAnsi="宋体" w:cs="宋体"/>
          <w:sz w:val="22"/>
          <w:szCs w:val="22"/>
          <w:highlight w:val="none"/>
        </w:rPr>
        <w:t xml:space="preserve">开户行及账号： </w:t>
      </w:r>
    </w:p>
    <w:p w14:paraId="2056774F">
      <w:pPr>
        <w:snapToGrid w:val="0"/>
        <w:spacing w:line="440" w:lineRule="exact"/>
        <w:ind w:firstLine="442" w:firstLineChars="200"/>
        <w:rPr>
          <w:rFonts w:ascii="宋体" w:hAnsi="宋体" w:cs="宋体"/>
          <w:b/>
          <w:sz w:val="22"/>
          <w:szCs w:val="22"/>
          <w:highlight w:val="none"/>
        </w:rPr>
      </w:pPr>
      <w:r>
        <w:rPr>
          <w:rFonts w:hint="eastAsia" w:ascii="宋体" w:hAnsi="宋体" w:cs="宋体"/>
          <w:b/>
          <w:sz w:val="22"/>
          <w:szCs w:val="22"/>
          <w:highlight w:val="none"/>
        </w:rPr>
        <w:t>八、违约责任</w:t>
      </w:r>
    </w:p>
    <w:p w14:paraId="088874CA">
      <w:pPr>
        <w:snapToGrid w:val="0"/>
        <w:spacing w:line="440" w:lineRule="exact"/>
        <w:ind w:firstLine="442" w:firstLineChars="200"/>
        <w:rPr>
          <w:rFonts w:ascii="宋体" w:hAnsi="宋体" w:cs="宋体"/>
          <w:b/>
          <w:sz w:val="22"/>
          <w:szCs w:val="22"/>
          <w:highlight w:val="none"/>
        </w:rPr>
      </w:pPr>
      <w:bookmarkStart w:id="102" w:name="OLE_LINK1"/>
      <w:r>
        <w:rPr>
          <w:rFonts w:hint="eastAsia" w:ascii="宋体" w:hAnsi="宋体" w:cs="宋体"/>
          <w:b/>
          <w:sz w:val="22"/>
          <w:szCs w:val="22"/>
          <w:highlight w:val="none"/>
        </w:rPr>
        <w:t>1、乙方未能按照合同约定的期限完成设备的维修并交付经甲方验收合格的，每逾期一天，乙方应向甲方支付合同价款</w:t>
      </w:r>
      <w:r>
        <w:rPr>
          <w:rFonts w:hint="eastAsia" w:ascii="宋体" w:hAnsi="宋体" w:cs="宋体"/>
          <w:b/>
          <w:sz w:val="22"/>
          <w:szCs w:val="22"/>
          <w:highlight w:val="none"/>
          <w:u w:val="single"/>
        </w:rPr>
        <w:t xml:space="preserve"> 0.5 </w:t>
      </w:r>
      <w:r>
        <w:rPr>
          <w:rFonts w:hint="eastAsia" w:ascii="宋体" w:hAnsi="宋体" w:cs="宋体"/>
          <w:b/>
          <w:sz w:val="22"/>
          <w:szCs w:val="22"/>
          <w:highlight w:val="none"/>
        </w:rPr>
        <w:t>%的违约金；逾期超过</w:t>
      </w:r>
      <w:r>
        <w:rPr>
          <w:rFonts w:hint="eastAsia" w:ascii="宋体" w:hAnsi="宋体" w:cs="宋体"/>
          <w:b/>
          <w:sz w:val="22"/>
          <w:szCs w:val="22"/>
          <w:highlight w:val="none"/>
          <w:u w:val="single"/>
        </w:rPr>
        <w:t xml:space="preserve"> 30 </w:t>
      </w:r>
      <w:r>
        <w:rPr>
          <w:rFonts w:hint="eastAsia" w:ascii="宋体" w:hAnsi="宋体" w:cs="宋体"/>
          <w:b/>
          <w:sz w:val="22"/>
          <w:szCs w:val="22"/>
          <w:highlight w:val="none"/>
        </w:rPr>
        <w:t>天的，甲方有权单方解除合同并要求乙方承担合同价款</w:t>
      </w:r>
      <w:r>
        <w:rPr>
          <w:rFonts w:hint="eastAsia" w:ascii="宋体" w:hAnsi="宋体" w:cs="宋体"/>
          <w:b/>
          <w:sz w:val="22"/>
          <w:szCs w:val="22"/>
          <w:highlight w:val="none"/>
          <w:u w:val="single"/>
        </w:rPr>
        <w:t xml:space="preserve"> 20 </w:t>
      </w:r>
      <w:r>
        <w:rPr>
          <w:rFonts w:hint="eastAsia" w:ascii="宋体" w:hAnsi="宋体" w:cs="宋体"/>
          <w:b/>
          <w:sz w:val="22"/>
          <w:szCs w:val="22"/>
          <w:highlight w:val="none"/>
        </w:rPr>
        <w:t>%的违约金并赔偿甲方因此造成的全部损失。</w:t>
      </w:r>
    </w:p>
    <w:p w14:paraId="421C9041">
      <w:pPr>
        <w:snapToGrid w:val="0"/>
        <w:spacing w:line="440" w:lineRule="exact"/>
        <w:ind w:firstLine="442" w:firstLineChars="200"/>
        <w:rPr>
          <w:rFonts w:ascii="宋体" w:hAnsi="宋体" w:cs="宋体"/>
          <w:b/>
          <w:sz w:val="22"/>
          <w:szCs w:val="22"/>
          <w:highlight w:val="none"/>
        </w:rPr>
      </w:pPr>
      <w:r>
        <w:rPr>
          <w:rFonts w:hint="eastAsia" w:ascii="宋体" w:hAnsi="宋体" w:cs="宋体"/>
          <w:b/>
          <w:sz w:val="22"/>
          <w:szCs w:val="22"/>
          <w:highlight w:val="none"/>
        </w:rPr>
        <w:t>2、设备在维修、发送、运输等合同履行过程中发生灭失或损坏的，乙方应予赔偿。</w:t>
      </w:r>
    </w:p>
    <w:p w14:paraId="03333CB2">
      <w:pPr>
        <w:spacing w:line="440" w:lineRule="exact"/>
        <w:ind w:firstLine="442" w:firstLineChars="200"/>
        <w:rPr>
          <w:rFonts w:ascii="宋体" w:hAnsi="宋体" w:cs="宋体"/>
          <w:b/>
          <w:sz w:val="22"/>
          <w:szCs w:val="22"/>
          <w:highlight w:val="none"/>
        </w:rPr>
      </w:pPr>
      <w:r>
        <w:rPr>
          <w:rFonts w:hint="eastAsia" w:ascii="宋体" w:hAnsi="宋体" w:cs="宋体"/>
          <w:b/>
          <w:sz w:val="22"/>
          <w:szCs w:val="22"/>
          <w:highlight w:val="none"/>
        </w:rPr>
        <w:t>3、维修设备在质保期间内出现故障而乙方拒不维修或者拖延维修的，每发生一次承担合同价款0.5%的违约金，发生超过三次的，甲方有权解除合同，并要求乙方承担合同价款20%的违约金，造成甲方损失的，乙方还需承担因此造成的一切经济损失（包括直接损失、可得利益的损失）。同时，甲方有权另行委托第三方进行维修，由此产生的一切费用均由乙方承担。</w:t>
      </w:r>
    </w:p>
    <w:p w14:paraId="29BEB127">
      <w:pPr>
        <w:spacing w:line="440" w:lineRule="exact"/>
        <w:ind w:firstLine="442" w:firstLineChars="200"/>
        <w:rPr>
          <w:rFonts w:ascii="宋体" w:hAnsi="宋体" w:cs="宋体"/>
          <w:b/>
          <w:sz w:val="22"/>
          <w:szCs w:val="22"/>
          <w:highlight w:val="none"/>
        </w:rPr>
      </w:pPr>
      <w:r>
        <w:rPr>
          <w:rFonts w:hint="eastAsia" w:ascii="宋体" w:hAnsi="宋体" w:cs="宋体"/>
          <w:b/>
          <w:sz w:val="22"/>
          <w:szCs w:val="22"/>
          <w:highlight w:val="none"/>
        </w:rPr>
        <w:t>4、由于乙方原因导致甲方损失的，乙方应当赔偿甲方实际损失的全部金额，包括但不限于诉讼费、鉴定费、评估费、律师费、保全担保费、执行费等。</w:t>
      </w:r>
    </w:p>
    <w:p w14:paraId="4AC29AD6">
      <w:pPr>
        <w:spacing w:line="440" w:lineRule="exact"/>
        <w:ind w:firstLine="442" w:firstLineChars="200"/>
        <w:rPr>
          <w:rFonts w:ascii="宋体" w:hAnsi="宋体" w:cs="宋体"/>
          <w:b/>
          <w:sz w:val="22"/>
          <w:szCs w:val="22"/>
          <w:highlight w:val="none"/>
        </w:rPr>
      </w:pPr>
      <w:r>
        <w:rPr>
          <w:rFonts w:hint="eastAsia" w:ascii="宋体" w:hAnsi="宋体" w:cs="宋体"/>
          <w:b/>
          <w:sz w:val="22"/>
          <w:szCs w:val="22"/>
          <w:highlight w:val="none"/>
        </w:rPr>
        <w:t>5.拆机后，经双方确认无法修复的，经双方协商同意，可以终止合同，已产生的所有费用由乙方承担。</w:t>
      </w:r>
    </w:p>
    <w:bookmarkEnd w:id="102"/>
    <w:p w14:paraId="5A734556">
      <w:pPr>
        <w:spacing w:line="440" w:lineRule="exact"/>
        <w:ind w:firstLine="442" w:firstLineChars="200"/>
        <w:jc w:val="left"/>
        <w:rPr>
          <w:rFonts w:ascii="宋体" w:hAnsi="宋体" w:cs="宋体"/>
          <w:b/>
          <w:bCs/>
          <w:sz w:val="22"/>
          <w:szCs w:val="22"/>
          <w:highlight w:val="none"/>
        </w:rPr>
      </w:pPr>
      <w:r>
        <w:rPr>
          <w:rFonts w:hint="eastAsia" w:ascii="宋体" w:hAnsi="宋体" w:cs="宋体"/>
          <w:b/>
          <w:bCs/>
          <w:sz w:val="22"/>
          <w:szCs w:val="22"/>
          <w:highlight w:val="none"/>
        </w:rPr>
        <w:t>九、其它事项</w:t>
      </w:r>
    </w:p>
    <w:p w14:paraId="6129BC56">
      <w:pPr>
        <w:widowControl/>
        <w:spacing w:line="440" w:lineRule="exact"/>
        <w:ind w:firstLine="440" w:firstLineChars="200"/>
        <w:jc w:val="left"/>
        <w:rPr>
          <w:rFonts w:ascii="宋体" w:hAnsi="宋体" w:cs="宋体"/>
          <w:sz w:val="22"/>
          <w:szCs w:val="22"/>
          <w:highlight w:val="none"/>
        </w:rPr>
      </w:pPr>
      <w:r>
        <w:rPr>
          <w:rFonts w:hint="eastAsia" w:ascii="宋体" w:hAnsi="宋体" w:cs="宋体"/>
          <w:sz w:val="22"/>
          <w:szCs w:val="22"/>
          <w:highlight w:val="none"/>
        </w:rPr>
        <w:t>1、乙方应严格按照甲方的规定及项目所在地政府的要求，做好环保工作。</w:t>
      </w:r>
    </w:p>
    <w:p w14:paraId="15DF542A">
      <w:pPr>
        <w:widowControl/>
        <w:spacing w:line="440" w:lineRule="exact"/>
        <w:ind w:firstLine="440" w:firstLineChars="200"/>
        <w:jc w:val="left"/>
        <w:rPr>
          <w:rFonts w:ascii="宋体" w:hAnsi="宋体" w:cs="宋体"/>
          <w:sz w:val="22"/>
          <w:szCs w:val="22"/>
          <w:highlight w:val="none"/>
        </w:rPr>
      </w:pPr>
      <w:r>
        <w:rPr>
          <w:rFonts w:hint="eastAsia" w:ascii="宋体" w:hAnsi="宋体" w:cs="宋体"/>
          <w:sz w:val="22"/>
          <w:szCs w:val="22"/>
          <w:highlight w:val="none"/>
        </w:rPr>
        <w:t>2、与本合同有关的一切争议，双方应协商解决；协商不成的，任何一方有权向甲方所在地人民法院提起诉讼。</w:t>
      </w:r>
    </w:p>
    <w:p w14:paraId="724D7DBC">
      <w:pPr>
        <w:widowControl/>
        <w:spacing w:line="440" w:lineRule="exact"/>
        <w:ind w:firstLine="440" w:firstLineChars="200"/>
        <w:jc w:val="left"/>
        <w:rPr>
          <w:rFonts w:ascii="宋体" w:hAnsi="宋体" w:cs="宋体"/>
          <w:sz w:val="22"/>
          <w:szCs w:val="22"/>
          <w:highlight w:val="none"/>
        </w:rPr>
      </w:pPr>
      <w:r>
        <w:rPr>
          <w:rFonts w:hint="eastAsia" w:ascii="宋体" w:hAnsi="宋体" w:cs="宋体"/>
          <w:sz w:val="22"/>
          <w:szCs w:val="22"/>
          <w:highlight w:val="none"/>
        </w:rPr>
        <w:t>3、对于合同中未受争议问题影响的其他条款，在争议解决过程中，双方仍应按合同约定履行。</w:t>
      </w:r>
    </w:p>
    <w:p w14:paraId="7ED846AF">
      <w:pPr>
        <w:widowControl/>
        <w:spacing w:line="440" w:lineRule="exact"/>
        <w:ind w:firstLine="440" w:firstLineChars="200"/>
        <w:jc w:val="left"/>
        <w:rPr>
          <w:rFonts w:ascii="宋体" w:hAnsi="宋体" w:cs="宋体"/>
          <w:sz w:val="22"/>
          <w:szCs w:val="22"/>
          <w:highlight w:val="none"/>
        </w:rPr>
      </w:pPr>
      <w:r>
        <w:rPr>
          <w:rFonts w:hint="eastAsia" w:ascii="宋体" w:hAnsi="宋体" w:cs="宋体"/>
          <w:sz w:val="22"/>
          <w:szCs w:val="22"/>
          <w:highlight w:val="none"/>
        </w:rPr>
        <w:t>4、本合同一式四份，甲方执两份，乙方执两份，本合同自双方盖章签字之日起生效。如果合同由法定代表人签署的，应提供加盖单位印章的法定代表人身份证明，由法定代表人授权的人签署的，应提供法定代表人签署并加盖单位印章的授权委托书原件并同时提供法定代表人身份证明，法定代表人应与单位营业执照上法定代表人一致。</w:t>
      </w:r>
    </w:p>
    <w:p w14:paraId="3A73CFD4">
      <w:pPr>
        <w:spacing w:line="440" w:lineRule="exact"/>
        <w:ind w:firstLine="440" w:firstLineChars="200"/>
        <w:rPr>
          <w:rFonts w:ascii="宋体" w:hAnsi="宋体" w:cs="宋体"/>
          <w:sz w:val="22"/>
          <w:szCs w:val="22"/>
          <w:highlight w:val="none"/>
        </w:rPr>
      </w:pPr>
      <w:r>
        <w:rPr>
          <w:rFonts w:hint="eastAsia" w:ascii="宋体" w:hAnsi="宋体" w:cs="宋体"/>
          <w:sz w:val="22"/>
          <w:szCs w:val="22"/>
          <w:highlight w:val="none"/>
        </w:rPr>
        <w:t>5、附件：</w:t>
      </w:r>
    </w:p>
    <w:p w14:paraId="74D5DAB3">
      <w:pPr>
        <w:spacing w:line="440" w:lineRule="exact"/>
        <w:ind w:firstLine="440" w:firstLineChars="200"/>
        <w:jc w:val="left"/>
        <w:rPr>
          <w:rFonts w:ascii="宋体" w:hAnsi="宋体" w:cs="宋体"/>
          <w:sz w:val="22"/>
          <w:szCs w:val="22"/>
          <w:highlight w:val="none"/>
        </w:rPr>
      </w:pPr>
    </w:p>
    <w:p w14:paraId="55F94F2B">
      <w:pPr>
        <w:spacing w:line="440" w:lineRule="exact"/>
        <w:ind w:firstLine="440" w:firstLineChars="200"/>
        <w:jc w:val="left"/>
        <w:rPr>
          <w:rFonts w:ascii="宋体" w:hAnsi="宋体" w:cs="宋体"/>
          <w:sz w:val="22"/>
          <w:szCs w:val="22"/>
          <w:highlight w:val="none"/>
        </w:rPr>
      </w:pPr>
      <w:r>
        <w:rPr>
          <w:rFonts w:hint="eastAsia" w:ascii="宋体" w:hAnsi="宋体" w:cs="宋体"/>
          <w:sz w:val="22"/>
          <w:szCs w:val="22"/>
          <w:highlight w:val="none"/>
        </w:rPr>
        <w:t>附件1：廉洁协议书</w:t>
      </w:r>
    </w:p>
    <w:p w14:paraId="534F3372">
      <w:pPr>
        <w:spacing w:line="440" w:lineRule="exact"/>
        <w:ind w:firstLine="440" w:firstLineChars="200"/>
        <w:jc w:val="left"/>
        <w:rPr>
          <w:rFonts w:ascii="宋体" w:hAnsi="宋体" w:cs="宋体"/>
          <w:sz w:val="22"/>
          <w:szCs w:val="22"/>
          <w:highlight w:val="none"/>
        </w:rPr>
      </w:pPr>
      <w:r>
        <w:rPr>
          <w:rFonts w:hint="eastAsia" w:ascii="宋体" w:hAnsi="宋体" w:cs="宋体"/>
          <w:sz w:val="22"/>
          <w:szCs w:val="22"/>
          <w:highlight w:val="none"/>
        </w:rPr>
        <w:t>附件2：合作伙伴合规承诺书</w:t>
      </w:r>
    </w:p>
    <w:p w14:paraId="1493F9A8">
      <w:pPr>
        <w:spacing w:line="440" w:lineRule="exact"/>
        <w:ind w:firstLine="440" w:firstLineChars="200"/>
        <w:jc w:val="left"/>
        <w:rPr>
          <w:rFonts w:ascii="宋体" w:hAnsi="宋体" w:cs="宋体"/>
          <w:sz w:val="22"/>
          <w:szCs w:val="22"/>
          <w:highlight w:val="none"/>
        </w:rPr>
      </w:pPr>
      <w:r>
        <w:rPr>
          <w:rFonts w:hint="eastAsia" w:ascii="宋体" w:hAnsi="宋体" w:cs="宋体"/>
          <w:sz w:val="22"/>
          <w:szCs w:val="22"/>
          <w:highlight w:val="none"/>
        </w:rPr>
        <w:t>附件3：安全生产管理协议书</w:t>
      </w:r>
    </w:p>
    <w:p w14:paraId="0596EF26">
      <w:pPr>
        <w:spacing w:line="440" w:lineRule="exact"/>
        <w:ind w:firstLine="440" w:firstLineChars="200"/>
        <w:jc w:val="left"/>
        <w:rPr>
          <w:rFonts w:ascii="宋体" w:hAnsi="宋体" w:cs="宋体"/>
          <w:sz w:val="22"/>
          <w:szCs w:val="22"/>
          <w:highlight w:val="none"/>
        </w:rPr>
      </w:pPr>
      <w:r>
        <w:rPr>
          <w:rFonts w:hint="eastAsia" w:ascii="宋体" w:hAnsi="宋体" w:cs="宋体"/>
          <w:sz w:val="22"/>
          <w:szCs w:val="22"/>
          <w:highlight w:val="none"/>
        </w:rPr>
        <w:t>附件4：消防安全管理协议书</w:t>
      </w:r>
    </w:p>
    <w:p w14:paraId="02AC4A4F">
      <w:pPr>
        <w:spacing w:line="440" w:lineRule="exact"/>
        <w:ind w:firstLine="440" w:firstLineChars="200"/>
        <w:jc w:val="left"/>
        <w:rPr>
          <w:rFonts w:ascii="宋体" w:hAnsi="宋体" w:cs="宋体"/>
          <w:sz w:val="22"/>
          <w:szCs w:val="22"/>
          <w:highlight w:val="none"/>
        </w:rPr>
      </w:pPr>
      <w:r>
        <w:rPr>
          <w:rFonts w:hint="eastAsia" w:ascii="宋体" w:hAnsi="宋体" w:cs="宋体"/>
          <w:sz w:val="22"/>
          <w:szCs w:val="22"/>
          <w:highlight w:val="none"/>
        </w:rPr>
        <w:t>附件5：环保卫生管理协议书</w:t>
      </w:r>
    </w:p>
    <w:p w14:paraId="6DB6C432">
      <w:pPr>
        <w:spacing w:line="440" w:lineRule="exact"/>
        <w:ind w:firstLine="440" w:firstLineChars="200"/>
        <w:jc w:val="left"/>
        <w:rPr>
          <w:rFonts w:ascii="宋体" w:hAnsi="宋体" w:cs="宋体"/>
          <w:sz w:val="22"/>
          <w:szCs w:val="22"/>
          <w:highlight w:val="none"/>
        </w:rPr>
      </w:pPr>
    </w:p>
    <w:p w14:paraId="6A757CD2">
      <w:pPr>
        <w:spacing w:line="440" w:lineRule="exact"/>
        <w:ind w:firstLine="440" w:firstLineChars="200"/>
        <w:jc w:val="left"/>
        <w:rPr>
          <w:rFonts w:ascii="宋体" w:hAnsi="宋体" w:cs="宋体"/>
          <w:sz w:val="22"/>
          <w:szCs w:val="22"/>
          <w:highlight w:val="none"/>
        </w:rPr>
      </w:pPr>
    </w:p>
    <w:p w14:paraId="37763759">
      <w:pPr>
        <w:adjustRightInd w:val="0"/>
        <w:snapToGrid w:val="0"/>
        <w:spacing w:line="440" w:lineRule="exact"/>
        <w:ind w:firstLine="440" w:firstLineChars="200"/>
        <w:rPr>
          <w:rFonts w:ascii="宋体" w:hAnsi="宋体" w:cs="宋体"/>
          <w:sz w:val="22"/>
          <w:szCs w:val="22"/>
          <w:highlight w:val="none"/>
        </w:rPr>
      </w:pPr>
      <w:r>
        <w:rPr>
          <w:rFonts w:hint="eastAsia" w:ascii="宋体" w:hAnsi="宋体" w:cs="宋体"/>
          <w:sz w:val="22"/>
          <w:szCs w:val="22"/>
          <w:highlight w:val="none"/>
        </w:rPr>
        <w:t>甲方（盖章）：                         乙方（盖章）：</w:t>
      </w:r>
    </w:p>
    <w:p w14:paraId="6ED8B049">
      <w:pPr>
        <w:adjustRightInd w:val="0"/>
        <w:snapToGrid w:val="0"/>
        <w:spacing w:line="440" w:lineRule="exact"/>
        <w:ind w:firstLine="440" w:firstLineChars="200"/>
        <w:rPr>
          <w:rFonts w:ascii="宋体" w:hAnsi="宋体" w:cs="宋体"/>
          <w:sz w:val="22"/>
          <w:szCs w:val="22"/>
          <w:highlight w:val="none"/>
        </w:rPr>
      </w:pPr>
    </w:p>
    <w:p w14:paraId="24C12F23">
      <w:pPr>
        <w:adjustRightInd w:val="0"/>
        <w:snapToGrid w:val="0"/>
        <w:spacing w:line="440" w:lineRule="exact"/>
        <w:ind w:firstLine="440" w:firstLineChars="200"/>
        <w:rPr>
          <w:rFonts w:ascii="宋体" w:hAnsi="宋体" w:cs="宋体"/>
          <w:sz w:val="22"/>
          <w:szCs w:val="22"/>
          <w:highlight w:val="none"/>
        </w:rPr>
      </w:pPr>
      <w:r>
        <w:rPr>
          <w:rFonts w:hint="eastAsia" w:ascii="宋体" w:hAnsi="宋体" w:cs="宋体"/>
          <w:sz w:val="22"/>
          <w:szCs w:val="22"/>
          <w:highlight w:val="none"/>
        </w:rPr>
        <w:t>法定代表人/授权代表（签字）：          法定代表人/授权代表（签字）：</w:t>
      </w:r>
    </w:p>
    <w:p w14:paraId="79CDCA26">
      <w:pPr>
        <w:adjustRightInd w:val="0"/>
        <w:snapToGrid w:val="0"/>
        <w:spacing w:line="440" w:lineRule="exact"/>
        <w:ind w:firstLine="440" w:firstLineChars="200"/>
        <w:rPr>
          <w:rFonts w:ascii="宋体" w:hAnsi="宋体" w:cs="宋体"/>
          <w:sz w:val="22"/>
          <w:szCs w:val="22"/>
          <w:highlight w:val="none"/>
        </w:rPr>
      </w:pPr>
    </w:p>
    <w:p w14:paraId="23E49BD4">
      <w:pPr>
        <w:adjustRightInd w:val="0"/>
        <w:snapToGrid w:val="0"/>
        <w:spacing w:line="440" w:lineRule="exact"/>
        <w:ind w:firstLine="440" w:firstLineChars="200"/>
        <w:rPr>
          <w:rFonts w:ascii="宋体" w:hAnsi="宋体" w:cs="宋体"/>
          <w:sz w:val="22"/>
          <w:szCs w:val="22"/>
          <w:highlight w:val="none"/>
        </w:rPr>
      </w:pPr>
      <w:r>
        <w:rPr>
          <w:rFonts w:hint="eastAsia" w:ascii="宋体" w:hAnsi="宋体" w:cs="宋体"/>
          <w:sz w:val="22"/>
          <w:szCs w:val="22"/>
          <w:highlight w:val="none"/>
        </w:rPr>
        <w:t>年   月   日                             年   月   日</w:t>
      </w:r>
    </w:p>
    <w:p w14:paraId="1E0EE3C2">
      <w:pPr>
        <w:spacing w:line="520" w:lineRule="exact"/>
        <w:rPr>
          <w:rFonts w:ascii="宋体" w:hAnsi="宋体" w:cs="宋体"/>
          <w:sz w:val="28"/>
          <w:szCs w:val="28"/>
          <w:highlight w:val="none"/>
        </w:rPr>
      </w:pPr>
      <w:r>
        <w:rPr>
          <w:rFonts w:hint="eastAsia"/>
          <w:highlight w:val="none"/>
        </w:rPr>
        <w:br w:type="page"/>
      </w:r>
      <w:r>
        <w:rPr>
          <w:rFonts w:hint="eastAsia" w:ascii="宋体" w:hAnsi="宋体" w:cs="宋体"/>
          <w:b/>
          <w:bCs/>
          <w:sz w:val="28"/>
          <w:szCs w:val="28"/>
          <w:highlight w:val="none"/>
        </w:rPr>
        <w:t>附件1</w:t>
      </w:r>
    </w:p>
    <w:p w14:paraId="5314F8B3">
      <w:pPr>
        <w:spacing w:line="440" w:lineRule="exact"/>
        <w:jc w:val="center"/>
        <w:rPr>
          <w:rFonts w:ascii="宋体" w:hAnsi="宋体"/>
          <w:b/>
          <w:sz w:val="28"/>
          <w:szCs w:val="28"/>
          <w:highlight w:val="none"/>
        </w:rPr>
      </w:pPr>
      <w:r>
        <w:rPr>
          <w:rFonts w:hint="eastAsia" w:ascii="宋体" w:hAnsi="宋体"/>
          <w:b/>
          <w:sz w:val="28"/>
          <w:szCs w:val="28"/>
          <w:highlight w:val="none"/>
        </w:rPr>
        <w:t>廉洁协议书</w:t>
      </w:r>
    </w:p>
    <w:p w14:paraId="769B9859">
      <w:pPr>
        <w:spacing w:line="440" w:lineRule="exact"/>
        <w:ind w:firstLine="440" w:firstLineChars="200"/>
        <w:rPr>
          <w:rFonts w:ascii="宋体" w:hAnsi="宋体" w:cs="宋体"/>
          <w:sz w:val="22"/>
          <w:szCs w:val="22"/>
          <w:highlight w:val="none"/>
        </w:rPr>
      </w:pPr>
      <w:r>
        <w:rPr>
          <w:rFonts w:hint="eastAsia" w:ascii="宋体" w:hAnsi="宋体" w:cs="宋体"/>
          <w:sz w:val="22"/>
          <w:szCs w:val="22"/>
          <w:highlight w:val="none"/>
        </w:rPr>
        <w:t>甲方：</w:t>
      </w:r>
      <w:r>
        <w:rPr>
          <w:rFonts w:hint="eastAsia" w:ascii="宋体" w:hAnsi="宋体" w:cs="宋体"/>
          <w:sz w:val="22"/>
          <w:szCs w:val="22"/>
          <w:highlight w:val="none"/>
          <w:u w:val="single"/>
        </w:rPr>
        <w:t>温州港集团有限公司龙湾港务分公司</w:t>
      </w:r>
      <w:r>
        <w:rPr>
          <w:rFonts w:hint="eastAsia" w:ascii="宋体" w:hAnsi="宋体" w:cs="宋体"/>
          <w:sz w:val="22"/>
          <w:szCs w:val="22"/>
          <w:highlight w:val="none"/>
        </w:rPr>
        <w:t>（以下简称甲方）</w:t>
      </w:r>
    </w:p>
    <w:p w14:paraId="4B7E759A">
      <w:pPr>
        <w:spacing w:line="440" w:lineRule="exact"/>
        <w:ind w:firstLine="440" w:firstLineChars="200"/>
        <w:rPr>
          <w:rFonts w:ascii="宋体" w:hAnsi="宋体" w:cs="宋体"/>
          <w:sz w:val="22"/>
          <w:szCs w:val="22"/>
          <w:highlight w:val="none"/>
        </w:rPr>
      </w:pPr>
      <w:r>
        <w:rPr>
          <w:rFonts w:hint="eastAsia" w:ascii="宋体" w:hAnsi="宋体" w:cs="宋体"/>
          <w:sz w:val="22"/>
          <w:szCs w:val="22"/>
          <w:highlight w:val="none"/>
        </w:rPr>
        <w:t>乙方：</w:t>
      </w:r>
    </w:p>
    <w:p w14:paraId="5109CD09">
      <w:pPr>
        <w:spacing w:line="440" w:lineRule="exact"/>
        <w:ind w:firstLine="440" w:firstLineChars="200"/>
        <w:rPr>
          <w:rFonts w:ascii="宋体" w:hAnsi="宋体" w:cs="宋体"/>
          <w:sz w:val="22"/>
          <w:szCs w:val="22"/>
          <w:highlight w:val="none"/>
        </w:rPr>
      </w:pPr>
      <w:r>
        <w:rPr>
          <w:rFonts w:hint="eastAsia" w:ascii="宋体" w:hAnsi="宋体" w:cs="宋体"/>
          <w:sz w:val="22"/>
          <w:szCs w:val="22"/>
          <w:highlight w:val="none"/>
        </w:rPr>
        <w:t>为进一步完善监督制约机制，防止发生各种谋取不正当利益的违法违纪行为，促使双方工作人员在合同履行过程中廉洁自律、诚实守信，保护双方合法权益，根据国家有关法律法规及廉洁建设的规定，甲乙双方自愿签订本廉洁协议书。</w:t>
      </w:r>
    </w:p>
    <w:p w14:paraId="3F12A2AF">
      <w:pPr>
        <w:spacing w:line="440" w:lineRule="exact"/>
        <w:ind w:firstLine="440" w:firstLineChars="200"/>
        <w:rPr>
          <w:rFonts w:ascii="宋体" w:hAnsi="宋体" w:cs="宋体"/>
          <w:sz w:val="22"/>
          <w:szCs w:val="22"/>
          <w:highlight w:val="none"/>
        </w:rPr>
      </w:pPr>
      <w:r>
        <w:rPr>
          <w:rFonts w:hint="eastAsia" w:ascii="宋体" w:hAnsi="宋体" w:cs="宋体"/>
          <w:sz w:val="22"/>
          <w:szCs w:val="22"/>
          <w:highlight w:val="none"/>
        </w:rPr>
        <w:t>第一条</w:t>
      </w:r>
      <w:r>
        <w:rPr>
          <w:rFonts w:ascii="宋体" w:hAnsi="宋体" w:cs="宋体"/>
          <w:sz w:val="22"/>
          <w:szCs w:val="22"/>
          <w:highlight w:val="none"/>
        </w:rPr>
        <w:t xml:space="preserve">  </w:t>
      </w:r>
      <w:r>
        <w:rPr>
          <w:rFonts w:hint="eastAsia" w:ascii="宋体" w:hAnsi="宋体" w:cs="宋体"/>
          <w:sz w:val="22"/>
          <w:szCs w:val="22"/>
          <w:highlight w:val="none"/>
        </w:rPr>
        <w:t>甲乙双方的共同责任</w:t>
      </w:r>
    </w:p>
    <w:p w14:paraId="29BEA854">
      <w:pPr>
        <w:spacing w:line="440" w:lineRule="exact"/>
        <w:ind w:firstLine="440" w:firstLineChars="200"/>
        <w:rPr>
          <w:rFonts w:ascii="宋体" w:hAnsi="宋体" w:cs="宋体"/>
          <w:sz w:val="22"/>
          <w:szCs w:val="22"/>
          <w:highlight w:val="none"/>
        </w:rPr>
      </w:pPr>
      <w:r>
        <w:rPr>
          <w:rFonts w:hint="eastAsia" w:ascii="宋体" w:hAnsi="宋体" w:cs="宋体"/>
          <w:sz w:val="22"/>
          <w:szCs w:val="22"/>
          <w:highlight w:val="none"/>
        </w:rPr>
        <w:t>（一）严格遵守合同对应的经济业务活动的法律法规及廉政建设的规定</w:t>
      </w:r>
    </w:p>
    <w:p w14:paraId="78B0F1BC">
      <w:pPr>
        <w:spacing w:line="440" w:lineRule="exact"/>
        <w:ind w:firstLine="440" w:firstLineChars="200"/>
        <w:rPr>
          <w:rFonts w:ascii="宋体" w:hAnsi="宋体" w:cs="宋体"/>
          <w:sz w:val="22"/>
          <w:szCs w:val="22"/>
          <w:highlight w:val="none"/>
        </w:rPr>
      </w:pPr>
      <w:r>
        <w:rPr>
          <w:rFonts w:hint="eastAsia" w:ascii="宋体" w:hAnsi="宋体" w:cs="宋体"/>
          <w:sz w:val="22"/>
          <w:szCs w:val="22"/>
          <w:highlight w:val="none"/>
        </w:rPr>
        <w:t>（二）严格履行合同约定，杜绝违约行为的发生</w:t>
      </w:r>
    </w:p>
    <w:p w14:paraId="0CBE2AEC">
      <w:pPr>
        <w:spacing w:line="440" w:lineRule="exact"/>
        <w:ind w:firstLine="440" w:firstLineChars="200"/>
        <w:rPr>
          <w:rFonts w:ascii="宋体" w:hAnsi="宋体" w:cs="宋体"/>
          <w:sz w:val="22"/>
          <w:szCs w:val="22"/>
          <w:highlight w:val="none"/>
        </w:rPr>
      </w:pPr>
      <w:r>
        <w:rPr>
          <w:rFonts w:hint="eastAsia" w:ascii="宋体" w:hAnsi="宋体" w:cs="宋体"/>
          <w:sz w:val="22"/>
          <w:szCs w:val="22"/>
          <w:highlight w:val="none"/>
        </w:rPr>
        <w:t>（三）建立健全的自我制约制度，开展廉洁教育，监督并认真查处违法违纪行为</w:t>
      </w:r>
    </w:p>
    <w:p w14:paraId="1FB8425A">
      <w:pPr>
        <w:spacing w:line="440" w:lineRule="exact"/>
        <w:ind w:firstLine="440" w:firstLineChars="200"/>
        <w:rPr>
          <w:rFonts w:ascii="宋体" w:hAnsi="宋体" w:cs="宋体"/>
          <w:sz w:val="22"/>
          <w:szCs w:val="22"/>
          <w:highlight w:val="none"/>
        </w:rPr>
      </w:pPr>
      <w:r>
        <w:rPr>
          <w:rFonts w:hint="eastAsia" w:ascii="宋体" w:hAnsi="宋体" w:cs="宋体"/>
          <w:sz w:val="22"/>
          <w:szCs w:val="22"/>
          <w:highlight w:val="none"/>
        </w:rPr>
        <w:t>（四）发现对方在经济业务活动中有违反本协议约定的违法违纪行为的，有及时提醒和督促对方纠正的权利和义务；情节严重的，有权向有关监察部门检举、揭发</w:t>
      </w:r>
    </w:p>
    <w:p w14:paraId="580DBAE3">
      <w:pPr>
        <w:spacing w:line="440" w:lineRule="exact"/>
        <w:ind w:firstLine="440" w:firstLineChars="200"/>
        <w:rPr>
          <w:rFonts w:ascii="宋体" w:hAnsi="宋体" w:cs="宋体"/>
          <w:sz w:val="22"/>
          <w:szCs w:val="22"/>
          <w:highlight w:val="none"/>
        </w:rPr>
      </w:pPr>
      <w:r>
        <w:rPr>
          <w:rFonts w:hint="eastAsia" w:ascii="宋体" w:hAnsi="宋体" w:cs="宋体"/>
          <w:sz w:val="22"/>
          <w:szCs w:val="22"/>
          <w:highlight w:val="none"/>
        </w:rPr>
        <w:t>第二条</w:t>
      </w:r>
      <w:r>
        <w:rPr>
          <w:rFonts w:ascii="宋体" w:hAnsi="宋体" w:cs="宋体"/>
          <w:sz w:val="22"/>
          <w:szCs w:val="22"/>
          <w:highlight w:val="none"/>
        </w:rPr>
        <w:t xml:space="preserve">  </w:t>
      </w:r>
      <w:r>
        <w:rPr>
          <w:rFonts w:hint="eastAsia" w:ascii="宋体" w:hAnsi="宋体" w:cs="宋体"/>
          <w:sz w:val="22"/>
          <w:szCs w:val="22"/>
          <w:highlight w:val="none"/>
        </w:rPr>
        <w:t>甲方的责任</w:t>
      </w:r>
    </w:p>
    <w:p w14:paraId="6C880F8B">
      <w:pPr>
        <w:spacing w:line="440" w:lineRule="exact"/>
        <w:ind w:firstLine="440" w:firstLineChars="200"/>
        <w:rPr>
          <w:rFonts w:ascii="宋体" w:hAnsi="宋体" w:cs="宋体"/>
          <w:sz w:val="22"/>
          <w:szCs w:val="22"/>
          <w:highlight w:val="none"/>
        </w:rPr>
      </w:pPr>
      <w:r>
        <w:rPr>
          <w:rFonts w:hint="eastAsia" w:ascii="宋体" w:hAnsi="宋体" w:cs="宋体"/>
          <w:sz w:val="22"/>
          <w:szCs w:val="22"/>
          <w:highlight w:val="none"/>
        </w:rPr>
        <w:t>（一）甲方工作人员应保持与乙方正常工作交往，不得接受乙方的礼金、有价证券和贵重物品，不得在乙方报销任何应由个人支付的费用，不得以任何形式向乙方索要和收受回扣或变相收受贿赂。</w:t>
      </w:r>
    </w:p>
    <w:p w14:paraId="22EA0B8F">
      <w:pPr>
        <w:spacing w:line="440" w:lineRule="exact"/>
        <w:ind w:firstLine="440" w:firstLineChars="200"/>
        <w:rPr>
          <w:rFonts w:ascii="宋体" w:hAnsi="宋体" w:cs="宋体"/>
          <w:sz w:val="22"/>
          <w:szCs w:val="22"/>
          <w:highlight w:val="none"/>
        </w:rPr>
      </w:pPr>
      <w:r>
        <w:rPr>
          <w:rFonts w:hint="eastAsia" w:ascii="宋体" w:hAnsi="宋体" w:cs="宋体"/>
          <w:sz w:val="22"/>
          <w:szCs w:val="22"/>
          <w:highlight w:val="none"/>
        </w:rPr>
        <w:t>（二）甲方工作人员不得参加有可能影响公正从业的乙方宴请和娱乐、健身等消费活动。 </w:t>
      </w:r>
    </w:p>
    <w:p w14:paraId="1C0DAC35">
      <w:pPr>
        <w:spacing w:line="440" w:lineRule="exact"/>
        <w:ind w:firstLine="440" w:firstLineChars="200"/>
        <w:rPr>
          <w:rFonts w:ascii="宋体" w:hAnsi="宋体" w:cs="宋体"/>
          <w:sz w:val="22"/>
          <w:szCs w:val="22"/>
          <w:highlight w:val="none"/>
        </w:rPr>
      </w:pPr>
      <w:r>
        <w:rPr>
          <w:rFonts w:hint="eastAsia" w:ascii="宋体" w:hAnsi="宋体" w:cs="宋体"/>
          <w:sz w:val="22"/>
          <w:szCs w:val="22"/>
          <w:highlight w:val="none"/>
        </w:rPr>
        <w:t>（三）甲方工作人员不得要求、暗示或者接收乙方为其住房装修、婚丧嫁娶、家属的工作安排以及出国等提供方便。</w:t>
      </w:r>
    </w:p>
    <w:p w14:paraId="3FCD1D87">
      <w:pPr>
        <w:spacing w:line="440" w:lineRule="exact"/>
        <w:ind w:firstLine="440" w:firstLineChars="200"/>
        <w:rPr>
          <w:rFonts w:ascii="宋体" w:hAnsi="宋体" w:cs="宋体"/>
          <w:sz w:val="22"/>
          <w:szCs w:val="22"/>
          <w:highlight w:val="none"/>
        </w:rPr>
      </w:pPr>
      <w:r>
        <w:rPr>
          <w:rFonts w:hint="eastAsia" w:ascii="宋体" w:hAnsi="宋体" w:cs="宋体"/>
          <w:sz w:val="22"/>
          <w:szCs w:val="22"/>
          <w:highlight w:val="none"/>
        </w:rPr>
        <w:t>（四）甲方工作人员不得向乙方介绍亲属或亲友从事与甲方工作有关的经济活动。</w:t>
      </w:r>
    </w:p>
    <w:p w14:paraId="7D798B76">
      <w:pPr>
        <w:spacing w:line="440" w:lineRule="exact"/>
        <w:ind w:firstLine="440" w:firstLineChars="200"/>
        <w:rPr>
          <w:rFonts w:ascii="宋体" w:hAnsi="宋体" w:cs="宋体"/>
          <w:sz w:val="22"/>
          <w:szCs w:val="22"/>
          <w:highlight w:val="none"/>
        </w:rPr>
      </w:pPr>
      <w:r>
        <w:rPr>
          <w:rFonts w:hint="eastAsia" w:ascii="宋体" w:hAnsi="宋体" w:cs="宋体"/>
          <w:sz w:val="22"/>
          <w:szCs w:val="22"/>
          <w:highlight w:val="none"/>
        </w:rPr>
        <w:t>第三条</w:t>
      </w:r>
      <w:r>
        <w:rPr>
          <w:rFonts w:ascii="宋体" w:hAnsi="宋体" w:cs="宋体"/>
          <w:sz w:val="22"/>
          <w:szCs w:val="22"/>
          <w:highlight w:val="none"/>
        </w:rPr>
        <w:t xml:space="preserve">  </w:t>
      </w:r>
      <w:r>
        <w:rPr>
          <w:rFonts w:hint="eastAsia" w:ascii="宋体" w:hAnsi="宋体" w:cs="宋体"/>
          <w:sz w:val="22"/>
          <w:szCs w:val="22"/>
          <w:highlight w:val="none"/>
        </w:rPr>
        <w:t>乙方的责任</w:t>
      </w:r>
    </w:p>
    <w:p w14:paraId="37921B06">
      <w:pPr>
        <w:spacing w:line="440" w:lineRule="exact"/>
        <w:ind w:firstLine="440" w:firstLineChars="200"/>
        <w:rPr>
          <w:rFonts w:ascii="宋体" w:hAnsi="宋体" w:cs="宋体"/>
          <w:sz w:val="22"/>
          <w:szCs w:val="22"/>
          <w:highlight w:val="none"/>
        </w:rPr>
      </w:pPr>
      <w:r>
        <w:rPr>
          <w:rFonts w:hint="eastAsia" w:ascii="宋体" w:hAnsi="宋体" w:cs="宋体"/>
          <w:sz w:val="22"/>
          <w:szCs w:val="22"/>
          <w:highlight w:val="none"/>
        </w:rPr>
        <w:t>（一）乙方应当通过正常途径开展相关业务工作，不得向甲方工作人员及其关联亲属赠送礼金、有价证券和贵重物品等。</w:t>
      </w:r>
    </w:p>
    <w:p w14:paraId="52F7029C">
      <w:pPr>
        <w:spacing w:line="440" w:lineRule="exact"/>
        <w:ind w:firstLine="440" w:firstLineChars="200"/>
        <w:rPr>
          <w:rFonts w:ascii="宋体" w:hAnsi="宋体" w:cs="宋体"/>
          <w:sz w:val="22"/>
          <w:szCs w:val="22"/>
          <w:highlight w:val="none"/>
        </w:rPr>
      </w:pPr>
      <w:r>
        <w:rPr>
          <w:rFonts w:hint="eastAsia" w:ascii="宋体" w:hAnsi="宋体" w:cs="宋体"/>
          <w:sz w:val="22"/>
          <w:szCs w:val="22"/>
          <w:highlight w:val="none"/>
        </w:rPr>
        <w:t>（二）乙方不得为谋取私利擅自与甲方工作人员及第三方单位就有关工作问题进行私下商谈或者达成默契。</w:t>
      </w:r>
    </w:p>
    <w:p w14:paraId="406961DB">
      <w:pPr>
        <w:spacing w:line="440" w:lineRule="exact"/>
        <w:ind w:firstLine="440" w:firstLineChars="200"/>
        <w:rPr>
          <w:rFonts w:ascii="宋体" w:hAnsi="宋体" w:cs="宋体"/>
          <w:sz w:val="22"/>
          <w:szCs w:val="22"/>
          <w:highlight w:val="none"/>
        </w:rPr>
      </w:pPr>
      <w:r>
        <w:rPr>
          <w:rFonts w:hint="eastAsia" w:ascii="宋体" w:hAnsi="宋体" w:cs="宋体"/>
          <w:sz w:val="22"/>
          <w:szCs w:val="22"/>
          <w:highlight w:val="none"/>
        </w:rPr>
        <w:t>（三）乙方不得以洽谈业务、签订合同为借口，邀请甲方工作人员外出旅游和进入营业性高消费娱乐场所。</w:t>
      </w:r>
    </w:p>
    <w:p w14:paraId="7C4E4889">
      <w:pPr>
        <w:spacing w:line="440" w:lineRule="exact"/>
        <w:ind w:firstLine="440" w:firstLineChars="200"/>
        <w:rPr>
          <w:rFonts w:ascii="宋体" w:hAnsi="宋体" w:cs="宋体"/>
          <w:sz w:val="22"/>
          <w:szCs w:val="22"/>
          <w:highlight w:val="none"/>
        </w:rPr>
      </w:pPr>
      <w:r>
        <w:rPr>
          <w:rFonts w:hint="eastAsia" w:ascii="宋体" w:hAnsi="宋体" w:cs="宋体"/>
          <w:sz w:val="22"/>
          <w:szCs w:val="22"/>
          <w:highlight w:val="none"/>
        </w:rPr>
        <w:t>（四）乙方不得为甲方工作人员购置或者提供通信、交通工具、家电、高档办公用品等。</w:t>
      </w:r>
    </w:p>
    <w:p w14:paraId="4BE39404">
      <w:pPr>
        <w:spacing w:line="440" w:lineRule="exact"/>
        <w:ind w:firstLine="440" w:firstLineChars="200"/>
        <w:rPr>
          <w:rFonts w:ascii="宋体" w:hAnsi="宋体" w:cs="宋体"/>
          <w:sz w:val="22"/>
          <w:szCs w:val="22"/>
          <w:highlight w:val="none"/>
        </w:rPr>
      </w:pPr>
      <w:r>
        <w:rPr>
          <w:rFonts w:hint="eastAsia" w:ascii="宋体" w:hAnsi="宋体" w:cs="宋体"/>
          <w:sz w:val="22"/>
          <w:szCs w:val="22"/>
          <w:highlight w:val="none"/>
        </w:rPr>
        <w:t>（五）乙方如发现甲方工作人员有违反上述规定者，应向甲方领导或者甲方监察部门举报，甲方不得找借口对乙方进行报复。</w:t>
      </w:r>
    </w:p>
    <w:p w14:paraId="62119679">
      <w:pPr>
        <w:spacing w:line="440" w:lineRule="exact"/>
        <w:ind w:firstLine="440" w:firstLineChars="200"/>
        <w:rPr>
          <w:rFonts w:ascii="宋体" w:hAnsi="宋体" w:cs="宋体"/>
          <w:sz w:val="22"/>
          <w:szCs w:val="22"/>
          <w:highlight w:val="none"/>
        </w:rPr>
      </w:pPr>
      <w:r>
        <w:rPr>
          <w:rFonts w:hint="eastAsia" w:ascii="宋体" w:hAnsi="宋体" w:cs="宋体"/>
          <w:sz w:val="22"/>
          <w:szCs w:val="22"/>
          <w:highlight w:val="none"/>
        </w:rPr>
        <w:t>第四条</w:t>
      </w:r>
      <w:r>
        <w:rPr>
          <w:rFonts w:ascii="宋体" w:hAnsi="宋体" w:cs="宋体"/>
          <w:sz w:val="22"/>
          <w:szCs w:val="22"/>
          <w:highlight w:val="none"/>
        </w:rPr>
        <w:t xml:space="preserve">  </w:t>
      </w:r>
      <w:r>
        <w:rPr>
          <w:rFonts w:hint="eastAsia" w:ascii="宋体" w:hAnsi="宋体" w:cs="宋体"/>
          <w:sz w:val="22"/>
          <w:szCs w:val="22"/>
          <w:highlight w:val="none"/>
        </w:rPr>
        <w:t>违约责任</w:t>
      </w:r>
    </w:p>
    <w:p w14:paraId="2CA703EF">
      <w:pPr>
        <w:spacing w:line="440" w:lineRule="exact"/>
        <w:ind w:firstLine="440" w:firstLineChars="200"/>
        <w:rPr>
          <w:rFonts w:ascii="宋体" w:hAnsi="宋体" w:cs="宋体"/>
          <w:sz w:val="22"/>
          <w:szCs w:val="22"/>
          <w:highlight w:val="none"/>
        </w:rPr>
      </w:pPr>
      <w:r>
        <w:rPr>
          <w:rFonts w:hint="eastAsia" w:ascii="宋体" w:hAnsi="宋体" w:cs="宋体"/>
          <w:sz w:val="22"/>
          <w:szCs w:val="22"/>
          <w:highlight w:val="none"/>
        </w:rPr>
        <w:t>（一）乙方违反本廉洁协议第三条规定的，一经查实，甲方有权立即解除主合同，停止一切合作，并由乙方承担解约的全部损失；涉嫌犯罪的，移送司法机关依法追究刑事责任。</w:t>
      </w:r>
    </w:p>
    <w:p w14:paraId="24D8F71A">
      <w:pPr>
        <w:spacing w:line="440" w:lineRule="exact"/>
        <w:ind w:firstLine="440" w:firstLineChars="200"/>
        <w:rPr>
          <w:rFonts w:ascii="宋体" w:hAnsi="宋体" w:cs="宋体"/>
          <w:sz w:val="22"/>
          <w:szCs w:val="22"/>
          <w:highlight w:val="none"/>
        </w:rPr>
      </w:pPr>
      <w:r>
        <w:rPr>
          <w:rFonts w:hint="eastAsia" w:ascii="宋体" w:hAnsi="宋体" w:cs="宋体"/>
          <w:sz w:val="22"/>
          <w:szCs w:val="22"/>
          <w:highlight w:val="none"/>
        </w:rPr>
        <w:t>（二）乙方发生两次以上违反廉洁协议约定内容，甲方有权将乙方列入黑名单，禁止3-5年内或终身进入甲方市场；给甲方造成经济损失、影响较大的，甲方有权立即单方面终止合同，且甲方不承担任何违约责任。</w:t>
      </w:r>
    </w:p>
    <w:p w14:paraId="550218AA">
      <w:pPr>
        <w:spacing w:line="440" w:lineRule="exact"/>
        <w:ind w:firstLine="440" w:firstLineChars="200"/>
        <w:rPr>
          <w:rFonts w:ascii="宋体" w:hAnsi="宋体" w:cs="宋体"/>
          <w:sz w:val="22"/>
          <w:szCs w:val="22"/>
          <w:highlight w:val="none"/>
        </w:rPr>
      </w:pPr>
      <w:r>
        <w:rPr>
          <w:rFonts w:hint="eastAsia" w:ascii="宋体" w:hAnsi="宋体" w:cs="宋体"/>
          <w:sz w:val="22"/>
          <w:szCs w:val="22"/>
          <w:highlight w:val="none"/>
        </w:rPr>
        <w:t>第五条</w:t>
      </w:r>
      <w:r>
        <w:rPr>
          <w:rFonts w:ascii="宋体" w:hAnsi="宋体" w:cs="宋体"/>
          <w:sz w:val="22"/>
          <w:szCs w:val="22"/>
          <w:highlight w:val="none"/>
        </w:rPr>
        <w:t xml:space="preserve">  </w:t>
      </w:r>
      <w:r>
        <w:rPr>
          <w:rFonts w:hint="eastAsia" w:ascii="宋体" w:hAnsi="宋体" w:cs="宋体"/>
          <w:sz w:val="22"/>
          <w:szCs w:val="22"/>
          <w:highlight w:val="none"/>
        </w:rPr>
        <w:t>其他</w:t>
      </w:r>
    </w:p>
    <w:p w14:paraId="3F03B4BA">
      <w:pPr>
        <w:spacing w:line="440" w:lineRule="exact"/>
        <w:ind w:firstLine="440" w:firstLineChars="200"/>
        <w:rPr>
          <w:rFonts w:ascii="宋体" w:hAnsi="宋体" w:cs="宋体"/>
          <w:sz w:val="22"/>
          <w:szCs w:val="22"/>
          <w:highlight w:val="none"/>
        </w:rPr>
      </w:pPr>
      <w:r>
        <w:rPr>
          <w:rFonts w:hint="eastAsia" w:ascii="宋体" w:hAnsi="宋体" w:cs="宋体"/>
          <w:sz w:val="22"/>
          <w:szCs w:val="22"/>
          <w:highlight w:val="none"/>
        </w:rPr>
        <w:t>（一）本协议不影响乙方按主合同其它条款承担相关责任。</w:t>
      </w:r>
    </w:p>
    <w:p w14:paraId="444BF475">
      <w:pPr>
        <w:spacing w:line="440" w:lineRule="exact"/>
        <w:ind w:firstLine="440" w:firstLineChars="200"/>
        <w:rPr>
          <w:rFonts w:ascii="宋体" w:hAnsi="宋体" w:cs="宋体"/>
          <w:sz w:val="22"/>
          <w:szCs w:val="22"/>
          <w:highlight w:val="none"/>
        </w:rPr>
      </w:pPr>
      <w:r>
        <w:rPr>
          <w:rFonts w:hint="eastAsia" w:ascii="宋体" w:hAnsi="宋体" w:cs="宋体"/>
          <w:sz w:val="22"/>
          <w:szCs w:val="22"/>
          <w:highlight w:val="none"/>
        </w:rPr>
        <w:t>（二）</w:t>
      </w:r>
      <w:r>
        <w:rPr>
          <w:rFonts w:ascii="宋体" w:hAnsi="宋体" w:cs="宋体"/>
          <w:sz w:val="22"/>
          <w:szCs w:val="22"/>
          <w:highlight w:val="none"/>
        </w:rPr>
        <w:t>此</w:t>
      </w:r>
      <w:r>
        <w:rPr>
          <w:rFonts w:hint="eastAsia" w:ascii="宋体" w:hAnsi="宋体" w:cs="宋体"/>
          <w:sz w:val="22"/>
          <w:szCs w:val="22"/>
          <w:highlight w:val="none"/>
        </w:rPr>
        <w:t>协议</w:t>
      </w:r>
      <w:r>
        <w:rPr>
          <w:rFonts w:ascii="宋体" w:hAnsi="宋体" w:cs="宋体"/>
          <w:sz w:val="22"/>
          <w:szCs w:val="22"/>
          <w:highlight w:val="none"/>
        </w:rPr>
        <w:t>书的未尽事宜或因国家及上级有关法规发生变更，甲、乙双方可共同协商修改</w:t>
      </w:r>
      <w:r>
        <w:rPr>
          <w:rFonts w:hint="eastAsia" w:ascii="宋体" w:hAnsi="宋体" w:cs="宋体"/>
          <w:sz w:val="22"/>
          <w:szCs w:val="22"/>
          <w:highlight w:val="none"/>
        </w:rPr>
        <w:t>协议</w:t>
      </w:r>
      <w:r>
        <w:rPr>
          <w:rFonts w:ascii="宋体" w:hAnsi="宋体" w:cs="宋体"/>
          <w:sz w:val="22"/>
          <w:szCs w:val="22"/>
          <w:highlight w:val="none"/>
        </w:rPr>
        <w:t>内容。</w:t>
      </w:r>
    </w:p>
    <w:p w14:paraId="46AA864F">
      <w:pPr>
        <w:spacing w:line="360" w:lineRule="auto"/>
        <w:ind w:firstLine="440" w:firstLineChars="200"/>
        <w:rPr>
          <w:rFonts w:ascii="宋体" w:hAnsi="宋体" w:cs="仿宋_GB2312"/>
          <w:sz w:val="22"/>
          <w:szCs w:val="22"/>
          <w:highlight w:val="none"/>
        </w:rPr>
      </w:pPr>
      <w:r>
        <w:rPr>
          <w:rFonts w:hint="eastAsia" w:ascii="宋体" w:hAnsi="宋体" w:cs="宋体"/>
          <w:sz w:val="22"/>
          <w:szCs w:val="22"/>
          <w:highlight w:val="none"/>
        </w:rPr>
        <w:t>（三）</w:t>
      </w:r>
      <w:r>
        <w:rPr>
          <w:rFonts w:ascii="宋体" w:hAnsi="宋体" w:cs="仿宋_GB2312"/>
          <w:sz w:val="22"/>
          <w:szCs w:val="22"/>
          <w:highlight w:val="none"/>
        </w:rPr>
        <w:t>对于因本合同</w:t>
      </w:r>
      <w:r>
        <w:rPr>
          <w:rFonts w:hint="eastAsia" w:ascii="宋体" w:hAnsi="宋体" w:cs="仿宋_GB2312"/>
          <w:sz w:val="22"/>
          <w:szCs w:val="22"/>
          <w:highlight w:val="none"/>
        </w:rPr>
        <w:t>产生的</w:t>
      </w:r>
      <w:r>
        <w:rPr>
          <w:rFonts w:ascii="宋体" w:hAnsi="宋体" w:cs="仿宋_GB2312"/>
          <w:sz w:val="22"/>
          <w:szCs w:val="22"/>
          <w:highlight w:val="none"/>
        </w:rPr>
        <w:t>或与</w:t>
      </w:r>
      <w:r>
        <w:rPr>
          <w:rFonts w:hint="eastAsia" w:ascii="宋体" w:hAnsi="宋体" w:cs="仿宋_GB2312"/>
          <w:sz w:val="22"/>
          <w:szCs w:val="22"/>
          <w:highlight w:val="none"/>
        </w:rPr>
        <w:t>本合同</w:t>
      </w:r>
      <w:r>
        <w:rPr>
          <w:rFonts w:ascii="宋体" w:hAnsi="宋体" w:cs="仿宋_GB2312"/>
          <w:sz w:val="22"/>
          <w:szCs w:val="22"/>
          <w:highlight w:val="none"/>
        </w:rPr>
        <w:t>相</w:t>
      </w:r>
      <w:r>
        <w:rPr>
          <w:rFonts w:hint="eastAsia" w:ascii="宋体" w:hAnsi="宋体" w:cs="仿宋_GB2312"/>
          <w:sz w:val="22"/>
          <w:szCs w:val="22"/>
          <w:highlight w:val="none"/>
        </w:rPr>
        <w:t>关</w:t>
      </w:r>
      <w:r>
        <w:rPr>
          <w:rFonts w:ascii="宋体" w:hAnsi="宋体" w:cs="仿宋_GB2312"/>
          <w:sz w:val="22"/>
          <w:szCs w:val="22"/>
          <w:highlight w:val="none"/>
        </w:rPr>
        <w:t>的任何争议，</w:t>
      </w:r>
      <w:r>
        <w:rPr>
          <w:rFonts w:hint="eastAsia" w:ascii="宋体" w:hAnsi="宋体" w:cs="仿宋_GB2312"/>
          <w:sz w:val="22"/>
          <w:szCs w:val="22"/>
          <w:highlight w:val="none"/>
        </w:rPr>
        <w:t>合同</w:t>
      </w:r>
      <w:r>
        <w:rPr>
          <w:rFonts w:ascii="宋体" w:hAnsi="宋体" w:cs="仿宋_GB2312"/>
          <w:sz w:val="22"/>
          <w:szCs w:val="22"/>
          <w:highlight w:val="none"/>
        </w:rPr>
        <w:t>当事方应当</w:t>
      </w:r>
      <w:r>
        <w:rPr>
          <w:rFonts w:hint="eastAsia" w:ascii="宋体" w:hAnsi="宋体" w:cs="仿宋_GB2312"/>
          <w:sz w:val="22"/>
          <w:szCs w:val="22"/>
          <w:highlight w:val="none"/>
        </w:rPr>
        <w:t>友好协商解决，协商不成的，任何一方有权向甲方所在地人民法院提起诉讼解决。</w:t>
      </w:r>
    </w:p>
    <w:p w14:paraId="61BEA1A1">
      <w:pPr>
        <w:spacing w:line="440" w:lineRule="exact"/>
        <w:ind w:firstLine="440" w:firstLineChars="200"/>
        <w:rPr>
          <w:rFonts w:ascii="宋体" w:hAnsi="宋体" w:cs="宋体"/>
          <w:sz w:val="22"/>
          <w:szCs w:val="22"/>
          <w:highlight w:val="none"/>
        </w:rPr>
      </w:pPr>
      <w:r>
        <w:rPr>
          <w:rFonts w:hint="eastAsia" w:ascii="宋体" w:hAnsi="宋体" w:cs="宋体"/>
          <w:sz w:val="22"/>
          <w:szCs w:val="22"/>
          <w:highlight w:val="none"/>
        </w:rPr>
        <w:t>（四）本协议一式肆份，双方各执贰份，自双方盖章并签字之日起生效，有效期与合同一致。本协议作为双方签订的主合同的附件，与主合同具有同等法律效力，在主合同有效期内不可撤销，主合同终止，此协议自动终止。</w:t>
      </w:r>
    </w:p>
    <w:p w14:paraId="0EF42BE5">
      <w:pPr>
        <w:spacing w:line="440" w:lineRule="exact"/>
        <w:ind w:firstLine="440" w:firstLineChars="200"/>
        <w:rPr>
          <w:rFonts w:ascii="宋体" w:hAnsi="宋体" w:cs="宋体"/>
          <w:sz w:val="22"/>
          <w:szCs w:val="22"/>
          <w:highlight w:val="none"/>
        </w:rPr>
      </w:pPr>
    </w:p>
    <w:p w14:paraId="2B316A9A">
      <w:pPr>
        <w:spacing w:line="440" w:lineRule="exact"/>
        <w:ind w:firstLine="440" w:firstLineChars="200"/>
        <w:rPr>
          <w:rFonts w:ascii="宋体" w:hAnsi="宋体" w:cs="宋体"/>
          <w:sz w:val="22"/>
          <w:szCs w:val="22"/>
          <w:highlight w:val="none"/>
        </w:rPr>
      </w:pPr>
      <w:r>
        <w:rPr>
          <w:rFonts w:hint="eastAsia" w:ascii="宋体" w:hAnsi="宋体" w:cs="宋体"/>
          <w:sz w:val="22"/>
          <w:szCs w:val="22"/>
          <w:highlight w:val="none"/>
        </w:rPr>
        <w:t>甲方：（盖章）</w:t>
      </w:r>
      <w:r>
        <w:rPr>
          <w:rFonts w:ascii="宋体" w:hAnsi="宋体" w:cs="宋体"/>
          <w:sz w:val="22"/>
          <w:szCs w:val="22"/>
          <w:highlight w:val="none"/>
        </w:rPr>
        <w:t xml:space="preserve">                 </w:t>
      </w:r>
      <w:r>
        <w:rPr>
          <w:rFonts w:hint="eastAsia" w:ascii="宋体" w:hAnsi="宋体" w:cs="宋体"/>
          <w:sz w:val="22"/>
          <w:szCs w:val="22"/>
          <w:highlight w:val="none"/>
        </w:rPr>
        <w:t xml:space="preserve">         </w:t>
      </w:r>
      <w:r>
        <w:rPr>
          <w:rFonts w:ascii="宋体" w:hAnsi="宋体" w:cs="宋体"/>
          <w:sz w:val="22"/>
          <w:szCs w:val="22"/>
          <w:highlight w:val="none"/>
        </w:rPr>
        <w:t xml:space="preserve"> </w:t>
      </w:r>
      <w:r>
        <w:rPr>
          <w:rFonts w:hint="eastAsia" w:ascii="宋体" w:hAnsi="宋体" w:cs="宋体"/>
          <w:sz w:val="22"/>
          <w:szCs w:val="22"/>
          <w:highlight w:val="none"/>
        </w:rPr>
        <w:t>乙方：（盖章）</w:t>
      </w:r>
    </w:p>
    <w:p w14:paraId="7318EC13">
      <w:pPr>
        <w:spacing w:line="440" w:lineRule="exact"/>
        <w:ind w:firstLine="440" w:firstLineChars="200"/>
        <w:rPr>
          <w:rFonts w:ascii="宋体" w:hAnsi="宋体" w:cs="宋体"/>
          <w:sz w:val="22"/>
          <w:szCs w:val="22"/>
          <w:highlight w:val="none"/>
        </w:rPr>
      </w:pPr>
      <w:r>
        <w:rPr>
          <w:rFonts w:hint="eastAsia" w:ascii="宋体" w:hAnsi="宋体"/>
          <w:sz w:val="22"/>
          <w:szCs w:val="22"/>
          <w:highlight w:val="none"/>
        </w:rPr>
        <w:t xml:space="preserve">             </w:t>
      </w:r>
    </w:p>
    <w:p w14:paraId="3B2C2183">
      <w:pPr>
        <w:spacing w:line="440" w:lineRule="exact"/>
        <w:ind w:firstLine="440" w:firstLineChars="200"/>
        <w:rPr>
          <w:rFonts w:ascii="宋体" w:hAnsi="宋体" w:cs="宋体"/>
          <w:sz w:val="22"/>
          <w:szCs w:val="22"/>
          <w:highlight w:val="none"/>
        </w:rPr>
      </w:pPr>
      <w:r>
        <w:rPr>
          <w:rFonts w:hint="eastAsia" w:ascii="宋体" w:hAnsi="宋体" w:cs="宋体"/>
          <w:sz w:val="22"/>
          <w:szCs w:val="22"/>
          <w:highlight w:val="none"/>
        </w:rPr>
        <w:t>法定代表人（或代理人）签字：</w:t>
      </w:r>
      <w:r>
        <w:rPr>
          <w:rFonts w:ascii="宋体" w:hAnsi="宋体" w:cs="宋体"/>
          <w:sz w:val="22"/>
          <w:szCs w:val="22"/>
          <w:highlight w:val="none"/>
        </w:rPr>
        <w:t xml:space="preserve">            </w:t>
      </w:r>
      <w:r>
        <w:rPr>
          <w:rFonts w:hint="eastAsia" w:ascii="宋体" w:hAnsi="宋体" w:cs="宋体"/>
          <w:sz w:val="22"/>
          <w:szCs w:val="22"/>
          <w:highlight w:val="none"/>
        </w:rPr>
        <w:t>法定代表人（或代理人）签字：</w:t>
      </w:r>
    </w:p>
    <w:p w14:paraId="6BA28BD6">
      <w:pPr>
        <w:spacing w:line="440" w:lineRule="exact"/>
        <w:ind w:firstLine="440" w:firstLineChars="200"/>
        <w:rPr>
          <w:rFonts w:ascii="宋体" w:hAnsi="宋体" w:cs="宋体"/>
          <w:sz w:val="22"/>
          <w:szCs w:val="22"/>
          <w:highlight w:val="none"/>
        </w:rPr>
      </w:pPr>
    </w:p>
    <w:p w14:paraId="2241938F">
      <w:pPr>
        <w:ind w:firstLine="220" w:firstLineChars="100"/>
        <w:rPr>
          <w:sz w:val="22"/>
          <w:szCs w:val="22"/>
          <w:highlight w:val="none"/>
        </w:rPr>
      </w:pPr>
    </w:p>
    <w:p w14:paraId="6C68914F">
      <w:pPr>
        <w:adjustRightInd w:val="0"/>
        <w:snapToGrid w:val="0"/>
        <w:spacing w:line="440" w:lineRule="exact"/>
        <w:ind w:firstLine="440" w:firstLineChars="200"/>
        <w:rPr>
          <w:rFonts w:ascii="宋体" w:hAnsi="宋体" w:cs="宋体"/>
          <w:sz w:val="22"/>
          <w:szCs w:val="22"/>
          <w:highlight w:val="none"/>
        </w:rPr>
      </w:pPr>
      <w:r>
        <w:rPr>
          <w:rFonts w:hint="eastAsia" w:ascii="宋体" w:hAnsi="宋体" w:cs="宋体"/>
          <w:sz w:val="22"/>
          <w:szCs w:val="22"/>
          <w:highlight w:val="none"/>
        </w:rPr>
        <w:t>签订日期：</w:t>
      </w:r>
      <w:r>
        <w:rPr>
          <w:rFonts w:ascii="宋体" w:hAnsi="宋体" w:cs="宋体"/>
          <w:sz w:val="22"/>
          <w:szCs w:val="22"/>
          <w:highlight w:val="none"/>
        </w:rPr>
        <w:t xml:space="preserve">    </w:t>
      </w:r>
      <w:r>
        <w:rPr>
          <w:rFonts w:hint="eastAsia" w:ascii="宋体" w:hAnsi="宋体" w:cs="宋体"/>
          <w:sz w:val="22"/>
          <w:szCs w:val="22"/>
          <w:highlight w:val="none"/>
        </w:rPr>
        <w:t>年  月  日</w:t>
      </w:r>
    </w:p>
    <w:p w14:paraId="0CE62BEB">
      <w:pPr>
        <w:rPr>
          <w:highlight w:val="none"/>
        </w:rPr>
      </w:pPr>
      <w:r>
        <w:rPr>
          <w:rFonts w:hint="eastAsia"/>
          <w:highlight w:val="none"/>
        </w:rPr>
        <w:br w:type="page"/>
      </w:r>
    </w:p>
    <w:p w14:paraId="672F2D38">
      <w:pPr>
        <w:spacing w:line="520" w:lineRule="exact"/>
        <w:rPr>
          <w:rFonts w:ascii="宋体" w:hAnsi="宋体" w:cs="宋体"/>
          <w:sz w:val="28"/>
          <w:szCs w:val="28"/>
          <w:highlight w:val="none"/>
        </w:rPr>
      </w:pPr>
      <w:r>
        <w:rPr>
          <w:rFonts w:hint="eastAsia" w:ascii="宋体" w:hAnsi="宋体" w:cs="宋体"/>
          <w:b/>
          <w:bCs/>
          <w:sz w:val="28"/>
          <w:szCs w:val="28"/>
          <w:highlight w:val="none"/>
        </w:rPr>
        <w:t>附件2</w:t>
      </w:r>
    </w:p>
    <w:p w14:paraId="6639754A">
      <w:pPr>
        <w:spacing w:line="440" w:lineRule="exact"/>
        <w:jc w:val="center"/>
        <w:outlineLvl w:val="2"/>
        <w:rPr>
          <w:rFonts w:ascii="宋体" w:hAnsi="宋体"/>
          <w:b/>
          <w:sz w:val="28"/>
          <w:szCs w:val="28"/>
          <w:highlight w:val="none"/>
        </w:rPr>
      </w:pPr>
      <w:bookmarkStart w:id="103" w:name="_Toc10515"/>
      <w:r>
        <w:rPr>
          <w:rFonts w:hint="eastAsia" w:ascii="宋体" w:hAnsi="宋体"/>
          <w:b/>
          <w:sz w:val="28"/>
          <w:szCs w:val="28"/>
          <w:highlight w:val="none"/>
        </w:rPr>
        <w:t>合作伙伴合规承诺书</w:t>
      </w:r>
      <w:bookmarkEnd w:id="103"/>
    </w:p>
    <w:p w14:paraId="177F824B">
      <w:pPr>
        <w:spacing w:line="420" w:lineRule="exact"/>
        <w:ind w:firstLine="440" w:firstLineChars="200"/>
        <w:jc w:val="left"/>
        <w:rPr>
          <w:rFonts w:ascii="宋体" w:hAnsi="宋体" w:cs="宋体"/>
          <w:color w:val="000000"/>
          <w:kern w:val="0"/>
          <w:sz w:val="22"/>
          <w:szCs w:val="22"/>
          <w:highlight w:val="none"/>
        </w:rPr>
      </w:pPr>
      <w:r>
        <w:rPr>
          <w:rFonts w:hint="eastAsia" w:ascii="宋体" w:hAnsi="宋体" w:cs="宋体"/>
          <w:color w:val="000000"/>
          <w:sz w:val="22"/>
          <w:szCs w:val="22"/>
          <w:highlight w:val="none"/>
        </w:rPr>
        <w:t>为满足</w:t>
      </w:r>
      <w:r>
        <w:rPr>
          <w:rFonts w:hint="eastAsia" w:ascii="宋体" w:hAnsi="宋体" w:cs="宋体"/>
          <w:color w:val="000000"/>
          <w:sz w:val="22"/>
          <w:szCs w:val="22"/>
          <w:highlight w:val="none"/>
          <w:u w:val="single"/>
        </w:rPr>
        <w:t xml:space="preserve"> 温州港集团有限公司龙湾港务分公司 </w:t>
      </w:r>
      <w:r>
        <w:rPr>
          <w:rFonts w:hint="eastAsia" w:ascii="宋体" w:hAnsi="宋体" w:cs="宋体"/>
          <w:color w:val="000000"/>
          <w:kern w:val="0"/>
          <w:sz w:val="22"/>
          <w:szCs w:val="22"/>
          <w:highlight w:val="none"/>
        </w:rPr>
        <w:t>合规管理要求，</w:t>
      </w:r>
      <w:r>
        <w:rPr>
          <w:rFonts w:hint="eastAsia" w:ascii="宋体" w:hAnsi="宋体" w:cs="宋体"/>
          <w:color w:val="000000"/>
          <w:sz w:val="22"/>
          <w:szCs w:val="22"/>
          <w:highlight w:val="none"/>
        </w:rPr>
        <w:t>规范本公司</w:t>
      </w:r>
      <w:r>
        <w:rPr>
          <w:rFonts w:hint="eastAsia" w:ascii="宋体" w:hAnsi="宋体" w:cs="宋体"/>
          <w:color w:val="000000"/>
          <w:kern w:val="0"/>
          <w:sz w:val="22"/>
          <w:szCs w:val="22"/>
          <w:highlight w:val="none"/>
        </w:rPr>
        <w:t>市场交易行为，促进公平、公正交易，本公司特作出以下承诺：</w:t>
      </w:r>
    </w:p>
    <w:p w14:paraId="4D6FD52B">
      <w:pPr>
        <w:spacing w:line="420" w:lineRule="exact"/>
        <w:ind w:firstLine="440" w:firstLineChars="200"/>
        <w:jc w:val="left"/>
        <w:rPr>
          <w:rFonts w:ascii="宋体" w:hAnsi="宋体" w:cs="宋体"/>
          <w:color w:val="000000"/>
          <w:sz w:val="22"/>
          <w:szCs w:val="22"/>
          <w:highlight w:val="none"/>
        </w:rPr>
      </w:pPr>
      <w:r>
        <w:rPr>
          <w:rFonts w:hint="eastAsia" w:ascii="宋体" w:hAnsi="宋体" w:cs="宋体"/>
          <w:color w:val="000000"/>
          <w:sz w:val="22"/>
          <w:szCs w:val="22"/>
          <w:highlight w:val="none"/>
        </w:rPr>
        <w:t>1.本公司理解</w:t>
      </w:r>
      <w:r>
        <w:rPr>
          <w:rFonts w:hint="eastAsia" w:ascii="宋体" w:hAnsi="宋体" w:cs="宋体"/>
          <w:color w:val="000000"/>
          <w:sz w:val="22"/>
          <w:szCs w:val="22"/>
          <w:highlight w:val="none"/>
          <w:u w:val="single"/>
        </w:rPr>
        <w:t xml:space="preserve"> </w:t>
      </w:r>
      <w:r>
        <w:rPr>
          <w:rFonts w:hint="eastAsia" w:ascii="宋体" w:hAnsi="宋体" w:cs="宋体"/>
          <w:sz w:val="22"/>
          <w:szCs w:val="22"/>
          <w:highlight w:val="none"/>
          <w:u w:val="single"/>
        </w:rPr>
        <w:t>温州港集团有限公司龙湾港务分公司</w:t>
      </w:r>
      <w:r>
        <w:rPr>
          <w:rFonts w:hint="eastAsia" w:ascii="宋体" w:hAnsi="宋体" w:cs="宋体"/>
          <w:color w:val="000000"/>
          <w:sz w:val="22"/>
          <w:szCs w:val="22"/>
          <w:highlight w:val="none"/>
          <w:u w:val="single"/>
        </w:rPr>
        <w:t xml:space="preserve"> </w:t>
      </w:r>
      <w:r>
        <w:rPr>
          <w:rFonts w:hint="eastAsia" w:ascii="宋体" w:hAnsi="宋体" w:cs="宋体"/>
          <w:color w:val="000000"/>
          <w:sz w:val="22"/>
          <w:szCs w:val="22"/>
          <w:highlight w:val="none"/>
        </w:rPr>
        <w:t>合规管理需求，在合作范围内遵守</w:t>
      </w:r>
      <w:r>
        <w:rPr>
          <w:rFonts w:hint="eastAsia" w:ascii="宋体" w:hAnsi="宋体" w:cs="宋体"/>
          <w:color w:val="000000"/>
          <w:sz w:val="22"/>
          <w:szCs w:val="22"/>
          <w:highlight w:val="none"/>
          <w:u w:val="single"/>
        </w:rPr>
        <w:t xml:space="preserve"> </w:t>
      </w:r>
      <w:r>
        <w:rPr>
          <w:rFonts w:hint="eastAsia" w:ascii="宋体" w:hAnsi="宋体" w:cs="宋体"/>
          <w:sz w:val="22"/>
          <w:szCs w:val="22"/>
          <w:highlight w:val="none"/>
          <w:u w:val="single"/>
        </w:rPr>
        <w:t>温州港集团有限公司龙湾港务分公司</w:t>
      </w:r>
      <w:r>
        <w:rPr>
          <w:rFonts w:hint="eastAsia" w:ascii="宋体" w:hAnsi="宋体" w:cs="宋体"/>
          <w:color w:val="000000"/>
          <w:sz w:val="22"/>
          <w:szCs w:val="22"/>
          <w:highlight w:val="none"/>
          <w:u w:val="single"/>
        </w:rPr>
        <w:t xml:space="preserve"> </w:t>
      </w:r>
      <w:r>
        <w:rPr>
          <w:rFonts w:hint="eastAsia" w:ascii="宋体" w:hAnsi="宋体" w:cs="宋体"/>
          <w:color w:val="000000"/>
          <w:sz w:val="22"/>
          <w:szCs w:val="22"/>
          <w:highlight w:val="none"/>
        </w:rPr>
        <w:t>对第三方的合规管理要求。</w:t>
      </w:r>
    </w:p>
    <w:p w14:paraId="556E1B64">
      <w:pPr>
        <w:spacing w:line="420" w:lineRule="exact"/>
        <w:ind w:firstLine="440" w:firstLineChars="200"/>
        <w:jc w:val="left"/>
        <w:rPr>
          <w:rFonts w:ascii="宋体" w:hAnsi="宋体" w:cs="宋体"/>
          <w:color w:val="000000"/>
          <w:sz w:val="22"/>
          <w:szCs w:val="22"/>
          <w:highlight w:val="none"/>
        </w:rPr>
      </w:pPr>
      <w:r>
        <w:rPr>
          <w:rFonts w:hint="eastAsia" w:ascii="宋体" w:hAnsi="宋体" w:cs="宋体"/>
          <w:color w:val="000000"/>
          <w:sz w:val="22"/>
          <w:szCs w:val="22"/>
          <w:highlight w:val="none"/>
        </w:rPr>
        <w:t>2.本公司具有合同订立的主体资格，具有良好的资信和履约能力，能够有效履行合同义务。</w:t>
      </w:r>
    </w:p>
    <w:p w14:paraId="69107871">
      <w:pPr>
        <w:spacing w:line="420" w:lineRule="exact"/>
        <w:ind w:firstLine="440" w:firstLineChars="200"/>
        <w:jc w:val="left"/>
        <w:rPr>
          <w:rFonts w:ascii="宋体" w:hAnsi="宋体" w:cs="宋体"/>
          <w:color w:val="000000"/>
          <w:sz w:val="22"/>
          <w:szCs w:val="22"/>
          <w:highlight w:val="none"/>
        </w:rPr>
      </w:pPr>
      <w:r>
        <w:rPr>
          <w:rFonts w:hint="eastAsia" w:ascii="宋体" w:hAnsi="宋体" w:cs="宋体"/>
          <w:color w:val="000000"/>
          <w:sz w:val="22"/>
          <w:szCs w:val="22"/>
          <w:highlight w:val="none"/>
        </w:rPr>
        <w:t>3.本公司严格遵守国家法律法规，恪守商业道德和职业道德规范，不从事并抵制任何不廉洁行为，严格履行以下合规义务：</w:t>
      </w:r>
    </w:p>
    <w:p w14:paraId="4F2EC422">
      <w:pPr>
        <w:spacing w:line="420" w:lineRule="exact"/>
        <w:ind w:firstLine="440" w:firstLineChars="200"/>
        <w:jc w:val="left"/>
        <w:rPr>
          <w:rFonts w:ascii="宋体" w:hAnsi="宋体" w:cs="宋体"/>
          <w:color w:val="000000"/>
          <w:sz w:val="22"/>
          <w:szCs w:val="22"/>
          <w:highlight w:val="none"/>
        </w:rPr>
      </w:pPr>
      <w:r>
        <w:rPr>
          <w:rFonts w:hint="eastAsia" w:ascii="宋体" w:hAnsi="宋体" w:cs="宋体"/>
          <w:color w:val="000000"/>
          <w:sz w:val="22"/>
          <w:szCs w:val="22"/>
          <w:highlight w:val="none"/>
        </w:rPr>
        <w:t>（一）本公司员工严格遵守《中华人民共和国反不正当竞争法》等有关商业贿赂行为的禁止性规定，坚决抵制商业贿赂。</w:t>
      </w:r>
    </w:p>
    <w:p w14:paraId="0597DE29">
      <w:pPr>
        <w:spacing w:line="420" w:lineRule="exact"/>
        <w:ind w:firstLine="440" w:firstLineChars="200"/>
        <w:jc w:val="left"/>
        <w:rPr>
          <w:rFonts w:ascii="宋体" w:hAnsi="宋体" w:cs="宋体"/>
          <w:color w:val="000000"/>
          <w:sz w:val="22"/>
          <w:szCs w:val="22"/>
          <w:highlight w:val="none"/>
        </w:rPr>
      </w:pPr>
      <w:r>
        <w:rPr>
          <w:rFonts w:hint="eastAsia" w:ascii="宋体" w:hAnsi="宋体" w:cs="宋体"/>
          <w:color w:val="000000"/>
          <w:sz w:val="22"/>
          <w:szCs w:val="22"/>
          <w:highlight w:val="none"/>
        </w:rPr>
        <w:t>（二）本公司员工不得给予</w:t>
      </w:r>
      <w:r>
        <w:rPr>
          <w:rFonts w:hint="eastAsia" w:ascii="宋体" w:hAnsi="宋体" w:cs="宋体"/>
          <w:color w:val="000000"/>
          <w:sz w:val="22"/>
          <w:szCs w:val="22"/>
          <w:highlight w:val="none"/>
          <w:u w:val="single"/>
        </w:rPr>
        <w:t xml:space="preserve"> </w:t>
      </w:r>
      <w:r>
        <w:rPr>
          <w:rFonts w:hint="eastAsia" w:ascii="宋体" w:hAnsi="宋体" w:cs="宋体"/>
          <w:sz w:val="22"/>
          <w:szCs w:val="22"/>
          <w:highlight w:val="none"/>
          <w:u w:val="single"/>
        </w:rPr>
        <w:t>温州港集团有限公司龙湾港务分公司</w:t>
      </w:r>
      <w:r>
        <w:rPr>
          <w:rFonts w:hint="eastAsia" w:ascii="宋体" w:hAnsi="宋体" w:cs="宋体"/>
          <w:color w:val="000000"/>
          <w:sz w:val="22"/>
          <w:szCs w:val="22"/>
          <w:highlight w:val="none"/>
          <w:u w:val="single"/>
        </w:rPr>
        <w:t xml:space="preserve"> </w:t>
      </w:r>
      <w:r>
        <w:rPr>
          <w:rFonts w:hint="eastAsia" w:ascii="宋体" w:hAnsi="宋体" w:cs="宋体"/>
          <w:color w:val="000000"/>
          <w:sz w:val="22"/>
          <w:szCs w:val="22"/>
          <w:highlight w:val="none"/>
        </w:rPr>
        <w:t>及相关单位或个人的任何不正当馈赠。</w:t>
      </w:r>
    </w:p>
    <w:p w14:paraId="1B6AEADE">
      <w:pPr>
        <w:spacing w:line="420" w:lineRule="exact"/>
        <w:ind w:firstLine="440" w:firstLineChars="200"/>
        <w:jc w:val="left"/>
        <w:rPr>
          <w:rFonts w:ascii="宋体" w:hAnsi="宋体" w:cs="宋体"/>
          <w:color w:val="000000"/>
          <w:sz w:val="22"/>
          <w:szCs w:val="22"/>
          <w:highlight w:val="none"/>
        </w:rPr>
      </w:pPr>
      <w:r>
        <w:rPr>
          <w:rFonts w:hint="eastAsia" w:ascii="宋体" w:hAnsi="宋体" w:cs="宋体"/>
          <w:color w:val="000000"/>
          <w:sz w:val="22"/>
          <w:szCs w:val="22"/>
          <w:highlight w:val="none"/>
        </w:rPr>
        <w:t>（三）本公司员工不得接受</w:t>
      </w:r>
      <w:r>
        <w:rPr>
          <w:rFonts w:hint="eastAsia" w:ascii="宋体" w:hAnsi="宋体" w:cs="宋体"/>
          <w:color w:val="000000"/>
          <w:sz w:val="22"/>
          <w:szCs w:val="22"/>
          <w:highlight w:val="none"/>
          <w:u w:val="single"/>
        </w:rPr>
        <w:t xml:space="preserve"> </w:t>
      </w:r>
      <w:r>
        <w:rPr>
          <w:rFonts w:hint="eastAsia" w:ascii="宋体" w:hAnsi="宋体" w:cs="宋体"/>
          <w:sz w:val="22"/>
          <w:szCs w:val="22"/>
          <w:highlight w:val="none"/>
          <w:u w:val="single"/>
        </w:rPr>
        <w:t>温州港集团有限公司龙湾港务分公司</w:t>
      </w:r>
      <w:r>
        <w:rPr>
          <w:rFonts w:hint="eastAsia" w:ascii="宋体" w:hAnsi="宋体" w:cs="宋体"/>
          <w:color w:val="000000"/>
          <w:sz w:val="22"/>
          <w:szCs w:val="22"/>
          <w:highlight w:val="none"/>
          <w:u w:val="single"/>
        </w:rPr>
        <w:t xml:space="preserve"> </w:t>
      </w:r>
      <w:r>
        <w:rPr>
          <w:rFonts w:hint="eastAsia" w:ascii="宋体" w:hAnsi="宋体" w:cs="宋体"/>
          <w:color w:val="000000"/>
          <w:sz w:val="22"/>
          <w:szCs w:val="22"/>
          <w:highlight w:val="none"/>
        </w:rPr>
        <w:t>及相关单位或个人的任何不正当馈赠。</w:t>
      </w:r>
    </w:p>
    <w:p w14:paraId="370B69A0">
      <w:pPr>
        <w:spacing w:line="420" w:lineRule="exact"/>
        <w:ind w:firstLine="440" w:firstLineChars="200"/>
        <w:jc w:val="left"/>
        <w:rPr>
          <w:rFonts w:ascii="宋体" w:hAnsi="宋体" w:cs="宋体"/>
          <w:color w:val="000000"/>
          <w:sz w:val="22"/>
          <w:szCs w:val="22"/>
          <w:highlight w:val="none"/>
        </w:rPr>
      </w:pPr>
      <w:r>
        <w:rPr>
          <w:rFonts w:hint="eastAsia" w:ascii="宋体" w:hAnsi="宋体" w:cs="宋体"/>
          <w:color w:val="000000"/>
          <w:sz w:val="22"/>
          <w:szCs w:val="22"/>
          <w:highlight w:val="none"/>
        </w:rPr>
        <w:t>（四）本公司员工不得参加</w:t>
      </w:r>
      <w:r>
        <w:rPr>
          <w:rFonts w:hint="eastAsia" w:ascii="宋体" w:hAnsi="宋体" w:cs="宋体"/>
          <w:color w:val="000000"/>
          <w:sz w:val="22"/>
          <w:szCs w:val="22"/>
          <w:highlight w:val="none"/>
          <w:u w:val="single"/>
        </w:rPr>
        <w:t xml:space="preserve"> </w:t>
      </w:r>
      <w:r>
        <w:rPr>
          <w:rFonts w:hint="eastAsia" w:ascii="宋体" w:hAnsi="宋体" w:cs="宋体"/>
          <w:sz w:val="22"/>
          <w:szCs w:val="22"/>
          <w:highlight w:val="none"/>
          <w:u w:val="single"/>
        </w:rPr>
        <w:t>温州港集团有限公司龙湾港务分公司</w:t>
      </w:r>
      <w:r>
        <w:rPr>
          <w:rFonts w:hint="eastAsia" w:ascii="宋体" w:hAnsi="宋体" w:cs="宋体"/>
          <w:color w:val="000000"/>
          <w:sz w:val="22"/>
          <w:szCs w:val="22"/>
          <w:highlight w:val="none"/>
          <w:u w:val="single"/>
        </w:rPr>
        <w:t xml:space="preserve"> </w:t>
      </w:r>
      <w:r>
        <w:rPr>
          <w:rFonts w:hint="eastAsia" w:ascii="宋体" w:hAnsi="宋体" w:cs="宋体"/>
          <w:color w:val="000000"/>
          <w:sz w:val="22"/>
          <w:szCs w:val="22"/>
          <w:highlight w:val="none"/>
        </w:rPr>
        <w:t>及有关单位安排的可能影响公正执行公务的宴请、旅游、考察等活动。</w:t>
      </w:r>
    </w:p>
    <w:p w14:paraId="56AC807A">
      <w:pPr>
        <w:spacing w:line="420" w:lineRule="exact"/>
        <w:ind w:firstLine="440" w:firstLineChars="200"/>
        <w:jc w:val="left"/>
        <w:rPr>
          <w:rFonts w:ascii="宋体" w:hAnsi="宋体" w:cs="宋体"/>
          <w:color w:val="000000"/>
          <w:sz w:val="22"/>
          <w:szCs w:val="22"/>
          <w:highlight w:val="none"/>
        </w:rPr>
      </w:pPr>
      <w:r>
        <w:rPr>
          <w:rFonts w:hint="eastAsia" w:ascii="宋体" w:hAnsi="宋体" w:cs="宋体"/>
          <w:color w:val="000000"/>
          <w:sz w:val="22"/>
          <w:szCs w:val="22"/>
          <w:highlight w:val="none"/>
        </w:rPr>
        <w:t>（五）本公司员工不得从事其他可能影响廉洁商业的行为。</w:t>
      </w:r>
    </w:p>
    <w:p w14:paraId="68E676FF">
      <w:pPr>
        <w:spacing w:line="420" w:lineRule="exact"/>
        <w:ind w:firstLine="440" w:firstLineChars="200"/>
        <w:jc w:val="left"/>
        <w:rPr>
          <w:rFonts w:ascii="宋体" w:hAnsi="宋体" w:cs="宋体"/>
          <w:color w:val="000000"/>
          <w:sz w:val="22"/>
          <w:szCs w:val="22"/>
          <w:highlight w:val="none"/>
        </w:rPr>
      </w:pPr>
      <w:r>
        <w:rPr>
          <w:rFonts w:hint="eastAsia" w:ascii="宋体" w:hAnsi="宋体" w:cs="宋体"/>
          <w:color w:val="000000"/>
          <w:sz w:val="22"/>
          <w:szCs w:val="22"/>
          <w:highlight w:val="none"/>
        </w:rPr>
        <w:t>4.本公司坚持诚信商业行为，依法依约保守</w:t>
      </w:r>
      <w:r>
        <w:rPr>
          <w:rFonts w:hint="eastAsia" w:ascii="宋体" w:hAnsi="宋体" w:cs="宋体"/>
          <w:color w:val="000000"/>
          <w:sz w:val="22"/>
          <w:szCs w:val="22"/>
          <w:highlight w:val="none"/>
          <w:u w:val="single"/>
        </w:rPr>
        <w:t xml:space="preserve"> </w:t>
      </w:r>
      <w:r>
        <w:rPr>
          <w:rFonts w:hint="eastAsia" w:ascii="宋体" w:hAnsi="宋体" w:cs="宋体"/>
          <w:sz w:val="22"/>
          <w:szCs w:val="22"/>
          <w:highlight w:val="none"/>
          <w:u w:val="single"/>
        </w:rPr>
        <w:t>温州港集团有限公司龙湾港务分公司</w:t>
      </w:r>
      <w:r>
        <w:rPr>
          <w:rFonts w:hint="eastAsia" w:ascii="宋体" w:hAnsi="宋体" w:cs="宋体"/>
          <w:color w:val="000000"/>
          <w:sz w:val="22"/>
          <w:szCs w:val="22"/>
          <w:highlight w:val="none"/>
          <w:u w:val="single"/>
        </w:rPr>
        <w:t xml:space="preserve"> </w:t>
      </w:r>
      <w:r>
        <w:rPr>
          <w:rFonts w:hint="eastAsia" w:ascii="宋体" w:hAnsi="宋体" w:cs="宋体"/>
          <w:color w:val="000000"/>
          <w:sz w:val="22"/>
          <w:szCs w:val="22"/>
          <w:highlight w:val="none"/>
        </w:rPr>
        <w:t>的商业秘密。</w:t>
      </w:r>
    </w:p>
    <w:p w14:paraId="167E7C2E">
      <w:pPr>
        <w:spacing w:line="420" w:lineRule="exact"/>
        <w:ind w:firstLine="440" w:firstLineChars="200"/>
        <w:jc w:val="left"/>
        <w:rPr>
          <w:rFonts w:ascii="宋体" w:hAnsi="宋体" w:cs="宋体"/>
          <w:color w:val="000000"/>
          <w:sz w:val="22"/>
          <w:szCs w:val="22"/>
          <w:highlight w:val="none"/>
        </w:rPr>
      </w:pPr>
      <w:r>
        <w:rPr>
          <w:rFonts w:hint="eastAsia" w:ascii="宋体" w:hAnsi="宋体" w:cs="宋体"/>
          <w:color w:val="000000"/>
          <w:sz w:val="22"/>
          <w:szCs w:val="22"/>
          <w:highlight w:val="none"/>
        </w:rPr>
        <w:t>5.本公司严守缔约精神，全面履行合同义务，不擅自变更、中止以及不履行合同，发生履约突发事件时将当及时通知</w:t>
      </w:r>
      <w:r>
        <w:rPr>
          <w:rFonts w:hint="eastAsia" w:ascii="宋体" w:hAnsi="宋体" w:cs="宋体"/>
          <w:color w:val="000000"/>
          <w:sz w:val="22"/>
          <w:szCs w:val="22"/>
          <w:highlight w:val="none"/>
          <w:u w:val="single"/>
        </w:rPr>
        <w:t xml:space="preserve"> </w:t>
      </w:r>
      <w:r>
        <w:rPr>
          <w:rFonts w:hint="eastAsia" w:ascii="宋体" w:hAnsi="宋体" w:cs="宋体"/>
          <w:sz w:val="22"/>
          <w:szCs w:val="22"/>
          <w:highlight w:val="none"/>
          <w:u w:val="single"/>
        </w:rPr>
        <w:t>温州港集团有限公司龙湾港务分公司</w:t>
      </w:r>
      <w:r>
        <w:rPr>
          <w:rFonts w:hint="eastAsia" w:ascii="宋体" w:hAnsi="宋体" w:cs="宋体"/>
          <w:color w:val="000000"/>
          <w:sz w:val="22"/>
          <w:szCs w:val="22"/>
          <w:highlight w:val="none"/>
          <w:u w:val="single"/>
        </w:rPr>
        <w:t xml:space="preserve"> </w:t>
      </w:r>
      <w:r>
        <w:rPr>
          <w:rFonts w:hint="eastAsia" w:ascii="宋体" w:hAnsi="宋体" w:cs="宋体"/>
          <w:color w:val="000000"/>
          <w:sz w:val="22"/>
          <w:szCs w:val="22"/>
          <w:highlight w:val="none"/>
        </w:rPr>
        <w:t>。</w:t>
      </w:r>
    </w:p>
    <w:p w14:paraId="5BA83A89">
      <w:pPr>
        <w:spacing w:line="420" w:lineRule="exact"/>
        <w:ind w:firstLine="440" w:firstLineChars="200"/>
        <w:jc w:val="left"/>
        <w:rPr>
          <w:rFonts w:ascii="宋体" w:hAnsi="宋体" w:cs="宋体"/>
          <w:color w:val="000000"/>
          <w:sz w:val="22"/>
          <w:szCs w:val="22"/>
          <w:highlight w:val="none"/>
        </w:rPr>
      </w:pPr>
      <w:r>
        <w:rPr>
          <w:rFonts w:hint="eastAsia" w:ascii="宋体" w:hAnsi="宋体" w:cs="宋体"/>
          <w:color w:val="000000"/>
          <w:sz w:val="22"/>
          <w:szCs w:val="22"/>
          <w:highlight w:val="none"/>
        </w:rPr>
        <w:t>6.本公司同意在合同目的范围内配合</w:t>
      </w:r>
      <w:r>
        <w:rPr>
          <w:rFonts w:hint="eastAsia" w:ascii="宋体" w:hAnsi="宋体" w:cs="宋体"/>
          <w:color w:val="000000"/>
          <w:sz w:val="22"/>
          <w:szCs w:val="22"/>
          <w:highlight w:val="none"/>
          <w:u w:val="single"/>
        </w:rPr>
        <w:t xml:space="preserve"> </w:t>
      </w:r>
      <w:r>
        <w:rPr>
          <w:rFonts w:hint="eastAsia" w:ascii="宋体" w:hAnsi="宋体" w:cs="宋体"/>
          <w:sz w:val="22"/>
          <w:szCs w:val="22"/>
          <w:highlight w:val="none"/>
          <w:u w:val="single"/>
        </w:rPr>
        <w:t>温州港集团有限公司龙湾港务分公司</w:t>
      </w:r>
      <w:r>
        <w:rPr>
          <w:rFonts w:hint="eastAsia" w:ascii="宋体" w:hAnsi="宋体" w:cs="宋体"/>
          <w:color w:val="000000"/>
          <w:sz w:val="22"/>
          <w:szCs w:val="22"/>
          <w:highlight w:val="none"/>
          <w:u w:val="single"/>
        </w:rPr>
        <w:t xml:space="preserve"> </w:t>
      </w:r>
      <w:r>
        <w:rPr>
          <w:rFonts w:hint="eastAsia" w:ascii="宋体" w:hAnsi="宋体" w:cs="宋体"/>
          <w:color w:val="000000"/>
          <w:sz w:val="22"/>
          <w:szCs w:val="22"/>
          <w:highlight w:val="none"/>
        </w:rPr>
        <w:t>的合规检查，不得隐瞒可能造成</w:t>
      </w:r>
      <w:r>
        <w:rPr>
          <w:rFonts w:hint="eastAsia" w:ascii="宋体" w:hAnsi="宋体" w:cs="宋体"/>
          <w:color w:val="000000"/>
          <w:sz w:val="22"/>
          <w:szCs w:val="22"/>
          <w:highlight w:val="none"/>
          <w:u w:val="single"/>
        </w:rPr>
        <w:t xml:space="preserve"> </w:t>
      </w:r>
      <w:r>
        <w:rPr>
          <w:rFonts w:hint="eastAsia" w:ascii="宋体" w:hAnsi="宋体" w:cs="宋体"/>
          <w:sz w:val="22"/>
          <w:szCs w:val="22"/>
          <w:highlight w:val="none"/>
          <w:u w:val="single"/>
        </w:rPr>
        <w:t>温州港集团有限公司龙湾港务分公司</w:t>
      </w:r>
      <w:r>
        <w:rPr>
          <w:rFonts w:hint="eastAsia" w:ascii="宋体" w:hAnsi="宋体" w:cs="宋体"/>
          <w:color w:val="000000"/>
          <w:sz w:val="22"/>
          <w:szCs w:val="22"/>
          <w:highlight w:val="none"/>
          <w:u w:val="single"/>
        </w:rPr>
        <w:t xml:space="preserve"> </w:t>
      </w:r>
      <w:r>
        <w:rPr>
          <w:rFonts w:hint="eastAsia" w:ascii="宋体" w:hAnsi="宋体" w:cs="宋体"/>
          <w:color w:val="000000"/>
          <w:sz w:val="22"/>
          <w:szCs w:val="22"/>
          <w:highlight w:val="none"/>
        </w:rPr>
        <w:t>利益受损的信息。</w:t>
      </w:r>
    </w:p>
    <w:p w14:paraId="355F55C0">
      <w:pPr>
        <w:spacing w:line="420" w:lineRule="exact"/>
        <w:ind w:firstLine="440" w:firstLineChars="200"/>
        <w:jc w:val="left"/>
        <w:rPr>
          <w:rFonts w:ascii="宋体" w:hAnsi="宋体" w:cs="宋体"/>
          <w:color w:val="000000"/>
          <w:sz w:val="22"/>
          <w:szCs w:val="22"/>
          <w:highlight w:val="none"/>
        </w:rPr>
      </w:pPr>
      <w:r>
        <w:rPr>
          <w:rFonts w:hint="eastAsia" w:ascii="宋体" w:hAnsi="宋体" w:cs="宋体"/>
          <w:color w:val="000000"/>
          <w:sz w:val="22"/>
          <w:szCs w:val="22"/>
          <w:highlight w:val="none"/>
        </w:rPr>
        <w:t>7.本公司承诺对本承诺书执行情况进行监督检查，本公司及员工未遵守承诺事项，本公司承诺自愿赔偿由此给</w:t>
      </w:r>
      <w:r>
        <w:rPr>
          <w:rFonts w:hint="eastAsia" w:ascii="宋体" w:hAnsi="宋体" w:cs="宋体"/>
          <w:color w:val="000000"/>
          <w:sz w:val="22"/>
          <w:szCs w:val="22"/>
          <w:highlight w:val="none"/>
          <w:u w:val="single"/>
        </w:rPr>
        <w:t xml:space="preserve"> </w:t>
      </w:r>
      <w:r>
        <w:rPr>
          <w:rFonts w:hint="eastAsia" w:ascii="宋体" w:hAnsi="宋体" w:cs="宋体"/>
          <w:sz w:val="22"/>
          <w:szCs w:val="22"/>
          <w:highlight w:val="none"/>
          <w:u w:val="single"/>
        </w:rPr>
        <w:t>温州港集团有限公司龙湾港务分公司</w:t>
      </w:r>
      <w:r>
        <w:rPr>
          <w:rFonts w:hint="eastAsia" w:ascii="宋体" w:hAnsi="宋体" w:cs="宋体"/>
          <w:color w:val="000000"/>
          <w:sz w:val="22"/>
          <w:szCs w:val="22"/>
          <w:highlight w:val="none"/>
          <w:u w:val="single"/>
        </w:rPr>
        <w:t xml:space="preserve"> </w:t>
      </w:r>
      <w:r>
        <w:rPr>
          <w:rFonts w:hint="eastAsia" w:ascii="宋体" w:hAnsi="宋体" w:cs="宋体"/>
          <w:color w:val="000000"/>
          <w:sz w:val="22"/>
          <w:szCs w:val="22"/>
          <w:highlight w:val="none"/>
        </w:rPr>
        <w:t>造成的损失，或按相关合同约定承担违约责任，且</w:t>
      </w:r>
      <w:r>
        <w:rPr>
          <w:rFonts w:hint="eastAsia" w:ascii="宋体" w:hAnsi="宋体" w:cs="宋体"/>
          <w:color w:val="000000"/>
          <w:sz w:val="22"/>
          <w:szCs w:val="22"/>
          <w:highlight w:val="none"/>
          <w:u w:val="single"/>
        </w:rPr>
        <w:t xml:space="preserve"> </w:t>
      </w:r>
      <w:r>
        <w:rPr>
          <w:rFonts w:hint="eastAsia" w:ascii="宋体" w:hAnsi="宋体" w:cs="宋体"/>
          <w:sz w:val="22"/>
          <w:szCs w:val="22"/>
          <w:highlight w:val="none"/>
          <w:u w:val="single"/>
        </w:rPr>
        <w:t>温州港集团有限公司龙湾港务分公司</w:t>
      </w:r>
      <w:r>
        <w:rPr>
          <w:rFonts w:hint="eastAsia" w:ascii="宋体" w:hAnsi="宋体" w:cs="宋体"/>
          <w:color w:val="000000"/>
          <w:sz w:val="22"/>
          <w:szCs w:val="22"/>
          <w:highlight w:val="none"/>
          <w:u w:val="single"/>
        </w:rPr>
        <w:t xml:space="preserve"> </w:t>
      </w:r>
      <w:r>
        <w:rPr>
          <w:rFonts w:hint="eastAsia" w:ascii="宋体" w:hAnsi="宋体" w:cs="宋体"/>
          <w:color w:val="000000"/>
          <w:sz w:val="22"/>
          <w:szCs w:val="22"/>
          <w:highlight w:val="none"/>
        </w:rPr>
        <w:t>有权终止相关合同。</w:t>
      </w:r>
    </w:p>
    <w:p w14:paraId="3D86EEF7">
      <w:pPr>
        <w:spacing w:line="420" w:lineRule="exact"/>
        <w:ind w:firstLine="440" w:firstLineChars="200"/>
        <w:jc w:val="left"/>
        <w:rPr>
          <w:rFonts w:ascii="宋体" w:hAnsi="宋体" w:cs="宋体"/>
          <w:color w:val="000000"/>
          <w:sz w:val="22"/>
          <w:szCs w:val="22"/>
          <w:highlight w:val="none"/>
        </w:rPr>
      </w:pPr>
      <w:r>
        <w:rPr>
          <w:rFonts w:hint="eastAsia" w:ascii="宋体" w:hAnsi="宋体" w:cs="宋体"/>
          <w:color w:val="000000"/>
          <w:sz w:val="22"/>
          <w:szCs w:val="22"/>
          <w:highlight w:val="none"/>
        </w:rPr>
        <w:t>本承诺函一式两份，经承诺人签字/盖章后生效，由承诺人和</w:t>
      </w:r>
      <w:r>
        <w:rPr>
          <w:rFonts w:hint="eastAsia" w:ascii="宋体" w:hAnsi="宋体" w:cs="宋体"/>
          <w:color w:val="000000"/>
          <w:sz w:val="22"/>
          <w:szCs w:val="22"/>
          <w:highlight w:val="none"/>
          <w:u w:val="single"/>
        </w:rPr>
        <w:t xml:space="preserve"> </w:t>
      </w:r>
      <w:r>
        <w:rPr>
          <w:rFonts w:hint="eastAsia" w:ascii="宋体" w:hAnsi="宋体" w:cs="宋体"/>
          <w:sz w:val="22"/>
          <w:szCs w:val="22"/>
          <w:highlight w:val="none"/>
          <w:u w:val="single"/>
        </w:rPr>
        <w:t>温州港集团有限公司龙湾港务分公司</w:t>
      </w:r>
      <w:r>
        <w:rPr>
          <w:rFonts w:hint="eastAsia" w:ascii="宋体" w:hAnsi="宋体" w:cs="宋体"/>
          <w:color w:val="000000"/>
          <w:sz w:val="22"/>
          <w:szCs w:val="22"/>
          <w:highlight w:val="none"/>
          <w:u w:val="single"/>
        </w:rPr>
        <w:t xml:space="preserve"> </w:t>
      </w:r>
      <w:r>
        <w:rPr>
          <w:rFonts w:hint="eastAsia" w:ascii="宋体" w:hAnsi="宋体" w:cs="宋体"/>
          <w:color w:val="000000"/>
          <w:sz w:val="22"/>
          <w:szCs w:val="22"/>
          <w:highlight w:val="none"/>
        </w:rPr>
        <w:t>各保留一份。</w:t>
      </w:r>
    </w:p>
    <w:p w14:paraId="1724B8C5">
      <w:pPr>
        <w:spacing w:line="440" w:lineRule="exact"/>
        <w:ind w:firstLine="4620" w:firstLineChars="2100"/>
        <w:jc w:val="left"/>
        <w:rPr>
          <w:rFonts w:ascii="宋体" w:hAnsi="宋体" w:cs="宋体"/>
          <w:sz w:val="22"/>
          <w:szCs w:val="22"/>
          <w:highlight w:val="none"/>
          <w:u w:val="single"/>
        </w:rPr>
      </w:pPr>
      <w:r>
        <w:rPr>
          <w:rFonts w:hint="eastAsia" w:ascii="宋体" w:hAnsi="宋体" w:cs="宋体"/>
          <w:sz w:val="22"/>
          <w:szCs w:val="22"/>
          <w:highlight w:val="none"/>
        </w:rPr>
        <w:t>承诺人（签字/盖章）：</w:t>
      </w:r>
      <w:r>
        <w:rPr>
          <w:rFonts w:hint="eastAsia" w:ascii="宋体" w:hAnsi="宋体" w:cs="宋体"/>
          <w:sz w:val="22"/>
          <w:szCs w:val="22"/>
          <w:highlight w:val="none"/>
          <w:u w:val="single"/>
        </w:rPr>
        <w:t xml:space="preserve">           </w:t>
      </w:r>
    </w:p>
    <w:p w14:paraId="3AB612E9">
      <w:pPr>
        <w:spacing w:line="440" w:lineRule="exact"/>
        <w:ind w:firstLine="6600" w:firstLineChars="3000"/>
        <w:jc w:val="left"/>
        <w:rPr>
          <w:rFonts w:ascii="宋体" w:hAnsi="宋体" w:cs="宋体"/>
          <w:b/>
          <w:sz w:val="22"/>
          <w:szCs w:val="22"/>
          <w:highlight w:val="none"/>
        </w:rPr>
      </w:pPr>
      <w:r>
        <w:rPr>
          <w:rFonts w:hint="eastAsia" w:ascii="宋体" w:hAnsi="宋体" w:cs="宋体"/>
          <w:sz w:val="22"/>
          <w:szCs w:val="22"/>
          <w:highlight w:val="none"/>
        </w:rPr>
        <w:t>年</w:t>
      </w:r>
      <w:r>
        <w:rPr>
          <w:rFonts w:hint="eastAsia" w:ascii="宋体" w:hAnsi="宋体" w:cs="宋体"/>
          <w:sz w:val="22"/>
          <w:szCs w:val="22"/>
          <w:highlight w:val="none"/>
          <w:u w:val="single"/>
        </w:rPr>
        <w:t xml:space="preserve">    </w:t>
      </w:r>
      <w:r>
        <w:rPr>
          <w:rFonts w:hint="eastAsia" w:ascii="宋体" w:hAnsi="宋体" w:cs="宋体"/>
          <w:sz w:val="22"/>
          <w:szCs w:val="22"/>
          <w:highlight w:val="none"/>
        </w:rPr>
        <w:t>月</w:t>
      </w:r>
      <w:r>
        <w:rPr>
          <w:rFonts w:hint="eastAsia" w:ascii="宋体" w:hAnsi="宋体" w:cs="宋体"/>
          <w:sz w:val="22"/>
          <w:szCs w:val="22"/>
          <w:highlight w:val="none"/>
          <w:u w:val="single"/>
        </w:rPr>
        <w:t xml:space="preserve">    </w:t>
      </w:r>
      <w:r>
        <w:rPr>
          <w:rFonts w:hint="eastAsia" w:ascii="宋体" w:hAnsi="宋体" w:cs="宋体"/>
          <w:sz w:val="22"/>
          <w:szCs w:val="22"/>
          <w:highlight w:val="none"/>
        </w:rPr>
        <w:t>日</w:t>
      </w:r>
    </w:p>
    <w:p w14:paraId="7DFAF772">
      <w:pPr>
        <w:rPr>
          <w:highlight w:val="none"/>
        </w:rPr>
      </w:pPr>
      <w:r>
        <w:rPr>
          <w:rFonts w:hint="eastAsia"/>
          <w:highlight w:val="none"/>
        </w:rPr>
        <w:br w:type="page"/>
      </w:r>
    </w:p>
    <w:p w14:paraId="745039BE">
      <w:pPr>
        <w:spacing w:line="520" w:lineRule="exact"/>
        <w:rPr>
          <w:rFonts w:ascii="宋体" w:hAnsi="宋体" w:cs="宋体"/>
          <w:sz w:val="28"/>
          <w:szCs w:val="28"/>
          <w:highlight w:val="none"/>
        </w:rPr>
      </w:pPr>
      <w:r>
        <w:rPr>
          <w:rFonts w:hint="eastAsia" w:ascii="宋体" w:hAnsi="宋体" w:cs="宋体"/>
          <w:b/>
          <w:bCs/>
          <w:sz w:val="28"/>
          <w:szCs w:val="28"/>
          <w:highlight w:val="none"/>
        </w:rPr>
        <w:t>附件3</w:t>
      </w:r>
    </w:p>
    <w:p w14:paraId="401E813E">
      <w:pPr>
        <w:spacing w:line="440" w:lineRule="exact"/>
        <w:jc w:val="center"/>
        <w:rPr>
          <w:rFonts w:ascii="仿宋_GB2312" w:eastAsia="仿宋_GB2312"/>
          <w:sz w:val="24"/>
          <w:highlight w:val="none"/>
        </w:rPr>
      </w:pPr>
      <w:r>
        <w:rPr>
          <w:rFonts w:hint="eastAsia" w:ascii="宋体" w:hAnsi="宋体"/>
          <w:b/>
          <w:sz w:val="28"/>
          <w:szCs w:val="28"/>
          <w:highlight w:val="none"/>
        </w:rPr>
        <w:t>安全生产管理协议书</w:t>
      </w:r>
      <w:r>
        <w:rPr>
          <w:rFonts w:hint="eastAsia" w:ascii="仿宋_GB2312" w:eastAsia="仿宋_GB2312"/>
          <w:sz w:val="24"/>
          <w:highlight w:val="none"/>
        </w:rPr>
        <w:t xml:space="preserve">  </w:t>
      </w:r>
    </w:p>
    <w:p w14:paraId="538B71AD">
      <w:pPr>
        <w:spacing w:line="440" w:lineRule="exact"/>
        <w:ind w:firstLine="440" w:firstLineChars="200"/>
        <w:rPr>
          <w:rFonts w:ascii="宋体" w:hAnsi="宋体" w:cs="宋体"/>
          <w:sz w:val="22"/>
          <w:szCs w:val="22"/>
          <w:highlight w:val="none"/>
        </w:rPr>
      </w:pPr>
      <w:r>
        <w:rPr>
          <w:rFonts w:hint="eastAsia" w:ascii="宋体" w:hAnsi="宋体" w:cs="宋体"/>
          <w:sz w:val="22"/>
          <w:szCs w:val="22"/>
          <w:highlight w:val="none"/>
        </w:rPr>
        <w:t>甲方：温州港集团有限公司龙湾港务分公司（以下简称甲方）</w:t>
      </w:r>
    </w:p>
    <w:p w14:paraId="68BF2E73">
      <w:pPr>
        <w:spacing w:line="440" w:lineRule="exact"/>
        <w:ind w:firstLine="440" w:firstLineChars="200"/>
        <w:rPr>
          <w:rFonts w:ascii="宋体" w:hAnsi="宋体" w:cs="宋体"/>
          <w:sz w:val="22"/>
          <w:szCs w:val="22"/>
          <w:highlight w:val="none"/>
        </w:rPr>
      </w:pPr>
      <w:r>
        <w:rPr>
          <w:rFonts w:hint="eastAsia" w:ascii="宋体" w:hAnsi="宋体" w:cs="宋体"/>
          <w:sz w:val="22"/>
          <w:szCs w:val="22"/>
          <w:highlight w:val="none"/>
        </w:rPr>
        <w:t>住所地：浙江省温州</w:t>
      </w:r>
      <w:r>
        <w:rPr>
          <w:rFonts w:ascii="宋体" w:hAnsi="宋体" w:cs="宋体"/>
          <w:sz w:val="22"/>
          <w:szCs w:val="22"/>
          <w:highlight w:val="none"/>
        </w:rPr>
        <w:t>市龙湾区机场大道万吨码头</w:t>
      </w:r>
    </w:p>
    <w:p w14:paraId="665A1CD9">
      <w:pPr>
        <w:spacing w:line="440" w:lineRule="exact"/>
        <w:ind w:firstLine="440" w:firstLineChars="200"/>
        <w:rPr>
          <w:rFonts w:ascii="宋体" w:hAnsi="宋体" w:cs="宋体"/>
          <w:sz w:val="22"/>
          <w:szCs w:val="22"/>
          <w:highlight w:val="none"/>
        </w:rPr>
      </w:pPr>
      <w:r>
        <w:rPr>
          <w:rFonts w:hint="eastAsia" w:ascii="宋体" w:hAnsi="宋体" w:cs="宋体"/>
          <w:sz w:val="22"/>
          <w:szCs w:val="22"/>
          <w:highlight w:val="none"/>
        </w:rPr>
        <w:t xml:space="preserve">联系人：     </w:t>
      </w:r>
      <w:r>
        <w:rPr>
          <w:rFonts w:ascii="宋体" w:hAnsi="宋体" w:cs="宋体"/>
          <w:sz w:val="22"/>
          <w:szCs w:val="22"/>
          <w:highlight w:val="none"/>
        </w:rPr>
        <w:t xml:space="preserve">     </w:t>
      </w:r>
      <w:r>
        <w:rPr>
          <w:rFonts w:hint="eastAsia" w:ascii="宋体" w:hAnsi="宋体" w:cs="宋体"/>
          <w:sz w:val="22"/>
          <w:szCs w:val="22"/>
          <w:highlight w:val="none"/>
        </w:rPr>
        <w:t>电话：</w:t>
      </w:r>
      <w:r>
        <w:rPr>
          <w:rFonts w:ascii="宋体" w:hAnsi="宋体" w:cs="宋体"/>
          <w:sz w:val="22"/>
          <w:szCs w:val="22"/>
          <w:highlight w:val="none"/>
        </w:rPr>
        <w:t xml:space="preserve">  </w:t>
      </w:r>
      <w:r>
        <w:rPr>
          <w:rFonts w:hint="eastAsia" w:ascii="宋体" w:hAnsi="宋体" w:cs="宋体"/>
          <w:sz w:val="22"/>
          <w:szCs w:val="22"/>
          <w:highlight w:val="none"/>
        </w:rPr>
        <w:t xml:space="preserve"> </w:t>
      </w:r>
      <w:r>
        <w:rPr>
          <w:rFonts w:ascii="宋体" w:hAnsi="宋体" w:cs="宋体"/>
          <w:sz w:val="22"/>
          <w:szCs w:val="22"/>
          <w:highlight w:val="none"/>
        </w:rPr>
        <w:t xml:space="preserve">    </w:t>
      </w:r>
    </w:p>
    <w:p w14:paraId="611DE6DE">
      <w:pPr>
        <w:spacing w:line="440" w:lineRule="exact"/>
        <w:ind w:firstLine="440" w:firstLineChars="200"/>
        <w:rPr>
          <w:rFonts w:ascii="宋体" w:hAnsi="宋体" w:cs="宋体"/>
          <w:sz w:val="22"/>
          <w:szCs w:val="22"/>
          <w:highlight w:val="none"/>
        </w:rPr>
      </w:pPr>
    </w:p>
    <w:p w14:paraId="1156E115">
      <w:pPr>
        <w:spacing w:line="440" w:lineRule="exact"/>
        <w:ind w:firstLine="440" w:firstLineChars="200"/>
        <w:rPr>
          <w:rFonts w:ascii="宋体" w:hAnsi="宋体" w:cs="宋体"/>
          <w:sz w:val="22"/>
          <w:szCs w:val="22"/>
          <w:highlight w:val="none"/>
        </w:rPr>
      </w:pPr>
      <w:r>
        <w:rPr>
          <w:rFonts w:hint="eastAsia" w:ascii="宋体" w:hAnsi="宋体" w:cs="宋体"/>
          <w:sz w:val="22"/>
          <w:szCs w:val="22"/>
          <w:highlight w:val="none"/>
        </w:rPr>
        <w:t>乙方：</w:t>
      </w:r>
      <w:r>
        <w:rPr>
          <w:rFonts w:ascii="宋体" w:hAnsi="宋体" w:cs="宋体"/>
          <w:sz w:val="22"/>
          <w:szCs w:val="22"/>
          <w:highlight w:val="none"/>
        </w:rPr>
        <w:t xml:space="preserve"> </w:t>
      </w:r>
    </w:p>
    <w:p w14:paraId="2E66DC4A">
      <w:pPr>
        <w:spacing w:line="440" w:lineRule="exact"/>
        <w:ind w:firstLine="440" w:firstLineChars="200"/>
        <w:rPr>
          <w:rFonts w:ascii="宋体" w:hAnsi="宋体" w:cs="宋体"/>
          <w:sz w:val="22"/>
          <w:szCs w:val="22"/>
          <w:highlight w:val="none"/>
        </w:rPr>
      </w:pPr>
      <w:r>
        <w:rPr>
          <w:rFonts w:hint="eastAsia" w:ascii="宋体" w:hAnsi="宋体" w:cs="宋体"/>
          <w:sz w:val="22"/>
          <w:szCs w:val="22"/>
          <w:highlight w:val="none"/>
        </w:rPr>
        <w:t>住所地：</w:t>
      </w:r>
      <w:r>
        <w:rPr>
          <w:rFonts w:ascii="宋体" w:hAnsi="宋体" w:cs="宋体"/>
          <w:sz w:val="22"/>
          <w:szCs w:val="22"/>
          <w:highlight w:val="none"/>
        </w:rPr>
        <w:t xml:space="preserve"> </w:t>
      </w:r>
    </w:p>
    <w:p w14:paraId="449619D6">
      <w:pPr>
        <w:spacing w:line="440" w:lineRule="exact"/>
        <w:ind w:firstLine="440" w:firstLineChars="200"/>
        <w:rPr>
          <w:rFonts w:ascii="宋体" w:hAnsi="宋体" w:cs="宋体"/>
          <w:sz w:val="22"/>
          <w:szCs w:val="22"/>
          <w:highlight w:val="none"/>
        </w:rPr>
      </w:pPr>
      <w:r>
        <w:rPr>
          <w:rFonts w:hint="eastAsia" w:ascii="宋体" w:hAnsi="宋体" w:cs="宋体"/>
          <w:sz w:val="22"/>
          <w:szCs w:val="22"/>
          <w:highlight w:val="none"/>
        </w:rPr>
        <w:t>联系人：</w:t>
      </w:r>
      <w:r>
        <w:rPr>
          <w:rFonts w:ascii="宋体" w:hAnsi="宋体" w:cs="宋体"/>
          <w:sz w:val="22"/>
          <w:szCs w:val="22"/>
          <w:highlight w:val="none"/>
        </w:rPr>
        <w:t xml:space="preserve">    </w:t>
      </w:r>
      <w:r>
        <w:rPr>
          <w:rFonts w:hint="eastAsia" w:ascii="宋体" w:hAnsi="宋体" w:cs="宋体"/>
          <w:sz w:val="22"/>
          <w:szCs w:val="22"/>
          <w:highlight w:val="none"/>
        </w:rPr>
        <w:t xml:space="preserve">    </w:t>
      </w:r>
      <w:r>
        <w:rPr>
          <w:rFonts w:ascii="宋体" w:hAnsi="宋体" w:cs="宋体"/>
          <w:sz w:val="22"/>
          <w:szCs w:val="22"/>
          <w:highlight w:val="none"/>
        </w:rPr>
        <w:t xml:space="preserve"> </w:t>
      </w:r>
      <w:r>
        <w:rPr>
          <w:rFonts w:hint="eastAsia" w:ascii="宋体" w:hAnsi="宋体" w:cs="宋体"/>
          <w:sz w:val="22"/>
          <w:szCs w:val="22"/>
          <w:highlight w:val="none"/>
        </w:rPr>
        <w:t xml:space="preserve"> 电话：</w:t>
      </w:r>
      <w:r>
        <w:rPr>
          <w:rFonts w:ascii="宋体" w:hAnsi="宋体" w:cs="宋体"/>
          <w:sz w:val="22"/>
          <w:szCs w:val="22"/>
          <w:highlight w:val="none"/>
        </w:rPr>
        <w:t xml:space="preserve">   </w:t>
      </w:r>
      <w:r>
        <w:rPr>
          <w:rFonts w:hint="eastAsia" w:ascii="宋体" w:hAnsi="宋体" w:cs="宋体"/>
          <w:sz w:val="22"/>
          <w:szCs w:val="22"/>
          <w:highlight w:val="none"/>
        </w:rPr>
        <w:t xml:space="preserve"> </w:t>
      </w:r>
    </w:p>
    <w:p w14:paraId="05389549">
      <w:pPr>
        <w:spacing w:line="440" w:lineRule="exact"/>
        <w:ind w:firstLine="440" w:firstLineChars="200"/>
        <w:rPr>
          <w:rFonts w:ascii="宋体" w:hAnsi="宋体" w:cs="宋体"/>
          <w:sz w:val="22"/>
          <w:szCs w:val="22"/>
          <w:highlight w:val="none"/>
        </w:rPr>
      </w:pPr>
      <w:r>
        <w:rPr>
          <w:rFonts w:hint="eastAsia" w:ascii="宋体" w:hAnsi="宋体" w:cs="宋体"/>
          <w:sz w:val="22"/>
          <w:szCs w:val="22"/>
          <w:highlight w:val="none"/>
        </w:rPr>
        <w:t>为明确甲乙双方在合同履行过程中的安全管理职责和应采取的安全管控措施，落实双方安全管理责任，防止和减少生产安全事故的发生，根据《中华人民共和国安全生产法》《浙江省安全生产条例》等相关法律法规及主合同的规定，经甲、乙双方协商一致，订立以下安全管理协议。</w:t>
      </w:r>
    </w:p>
    <w:p w14:paraId="234AC0FB">
      <w:pPr>
        <w:spacing w:line="560" w:lineRule="exact"/>
        <w:ind w:left="420"/>
        <w:rPr>
          <w:rFonts w:ascii="仿宋_GB2312" w:eastAsia="仿宋_GB2312"/>
          <w:b/>
          <w:sz w:val="24"/>
          <w:highlight w:val="none"/>
        </w:rPr>
      </w:pPr>
      <w:r>
        <w:rPr>
          <w:rFonts w:hint="eastAsia" w:ascii="仿宋_GB2312" w:eastAsia="仿宋_GB2312"/>
          <w:b/>
          <w:sz w:val="24"/>
          <w:highlight w:val="none"/>
        </w:rPr>
        <w:t>一、甲方安全职责</w:t>
      </w:r>
    </w:p>
    <w:p w14:paraId="4003121D">
      <w:pPr>
        <w:spacing w:line="440" w:lineRule="exact"/>
        <w:ind w:firstLine="440" w:firstLineChars="200"/>
        <w:rPr>
          <w:rFonts w:ascii="宋体" w:hAnsi="宋体" w:cs="宋体"/>
          <w:sz w:val="22"/>
          <w:szCs w:val="22"/>
          <w:highlight w:val="none"/>
        </w:rPr>
      </w:pPr>
      <w:r>
        <w:rPr>
          <w:rFonts w:hint="eastAsia" w:ascii="宋体" w:hAnsi="宋体" w:cs="宋体"/>
          <w:sz w:val="22"/>
          <w:szCs w:val="22"/>
          <w:highlight w:val="none"/>
        </w:rPr>
        <w:t>1.应依法制定全员安全生产责任制、安全生产管理制度以及安全技术操作规程。</w:t>
      </w:r>
    </w:p>
    <w:p w14:paraId="1F641E39">
      <w:pPr>
        <w:spacing w:line="440" w:lineRule="exact"/>
        <w:ind w:firstLine="440" w:firstLineChars="200"/>
        <w:rPr>
          <w:rFonts w:ascii="宋体" w:hAnsi="宋体" w:cs="宋体"/>
          <w:sz w:val="22"/>
          <w:szCs w:val="22"/>
          <w:highlight w:val="none"/>
        </w:rPr>
      </w:pPr>
      <w:r>
        <w:rPr>
          <w:rFonts w:hint="eastAsia" w:ascii="宋体" w:hAnsi="宋体" w:cs="宋体"/>
          <w:sz w:val="22"/>
          <w:szCs w:val="22"/>
          <w:highlight w:val="none"/>
        </w:rPr>
        <w:t>2.应依法制定安全事故应急预案，建立健全应急救援体系，并保障组织实施。</w:t>
      </w:r>
    </w:p>
    <w:p w14:paraId="54E746DF">
      <w:pPr>
        <w:spacing w:line="440" w:lineRule="exact"/>
        <w:ind w:firstLine="440" w:firstLineChars="200"/>
        <w:rPr>
          <w:rFonts w:ascii="宋体" w:hAnsi="宋体" w:cs="宋体"/>
          <w:sz w:val="22"/>
          <w:szCs w:val="22"/>
          <w:highlight w:val="none"/>
        </w:rPr>
      </w:pPr>
      <w:r>
        <w:rPr>
          <w:rFonts w:hint="eastAsia" w:ascii="宋体" w:hAnsi="宋体" w:cs="宋体"/>
          <w:sz w:val="22"/>
          <w:szCs w:val="22"/>
          <w:highlight w:val="none"/>
        </w:rPr>
        <w:t>3.应向乙方提供甲方的安全生产管理制度、安全技术操作规程以及安全事故应急预案。</w:t>
      </w:r>
    </w:p>
    <w:p w14:paraId="3D7DF616">
      <w:pPr>
        <w:spacing w:line="440" w:lineRule="exact"/>
        <w:ind w:firstLine="440" w:firstLineChars="200"/>
        <w:rPr>
          <w:rFonts w:ascii="宋体" w:hAnsi="宋体" w:cs="宋体"/>
          <w:sz w:val="22"/>
          <w:szCs w:val="22"/>
          <w:highlight w:val="none"/>
        </w:rPr>
      </w:pPr>
      <w:r>
        <w:rPr>
          <w:rFonts w:hint="eastAsia" w:ascii="宋体" w:hAnsi="宋体" w:cs="宋体"/>
          <w:sz w:val="22"/>
          <w:szCs w:val="22"/>
          <w:highlight w:val="none"/>
        </w:rPr>
        <w:t>4.有权检查乙方进港作业人员是否符合具有国家法律法规要求的作业资格，对不具备作业资格或不符合甲方安全生产要求的，有权拒绝其进入甲方区域。</w:t>
      </w:r>
    </w:p>
    <w:p w14:paraId="656C9E32">
      <w:pPr>
        <w:spacing w:line="440" w:lineRule="exact"/>
        <w:ind w:firstLine="440" w:firstLineChars="200"/>
        <w:rPr>
          <w:rFonts w:ascii="宋体" w:hAnsi="宋体" w:cs="宋体"/>
          <w:sz w:val="22"/>
          <w:szCs w:val="22"/>
          <w:highlight w:val="none"/>
        </w:rPr>
      </w:pPr>
      <w:r>
        <w:rPr>
          <w:rFonts w:hint="eastAsia" w:ascii="宋体" w:hAnsi="宋体" w:cs="宋体"/>
          <w:sz w:val="22"/>
          <w:szCs w:val="22"/>
          <w:highlight w:val="none"/>
        </w:rPr>
        <w:t>5.有权检查乙方进港作业设备、工具是否符合国家有关安全标准，并有权拒绝不符合国家有关安全标准或甲方安全生产要求的设备、工具进入甲方区域。</w:t>
      </w:r>
    </w:p>
    <w:p w14:paraId="6174FA32">
      <w:pPr>
        <w:spacing w:line="440" w:lineRule="exact"/>
        <w:ind w:firstLine="440" w:firstLineChars="200"/>
        <w:rPr>
          <w:rFonts w:ascii="宋体" w:hAnsi="宋体" w:cs="宋体"/>
          <w:sz w:val="22"/>
          <w:szCs w:val="22"/>
          <w:highlight w:val="none"/>
        </w:rPr>
      </w:pPr>
      <w:r>
        <w:rPr>
          <w:rFonts w:hint="eastAsia" w:ascii="宋体" w:hAnsi="宋体" w:cs="宋体"/>
          <w:sz w:val="22"/>
          <w:szCs w:val="22"/>
          <w:highlight w:val="none"/>
        </w:rPr>
        <w:t>6.有权对乙方的安全管理进行监督指导，对乙方存在的安全管理缺陷，责令限期整改，如乙方未按要求进行整改，甲方有权按照相关规定进行处理。</w:t>
      </w:r>
    </w:p>
    <w:p w14:paraId="015C9DCA">
      <w:pPr>
        <w:spacing w:line="440" w:lineRule="exact"/>
        <w:ind w:firstLine="440" w:firstLineChars="200"/>
        <w:rPr>
          <w:rFonts w:ascii="宋体" w:hAnsi="宋体" w:cs="宋体"/>
          <w:sz w:val="22"/>
          <w:szCs w:val="22"/>
          <w:highlight w:val="none"/>
        </w:rPr>
      </w:pPr>
      <w:r>
        <w:rPr>
          <w:rFonts w:hint="eastAsia" w:ascii="宋体" w:hAnsi="宋体" w:cs="宋体"/>
          <w:sz w:val="22"/>
          <w:szCs w:val="22"/>
          <w:highlight w:val="none"/>
        </w:rPr>
        <w:t>7.有权对乙方在甲方区域的作业进行监督、检查，有权对其违章、隐患及事故按照相关规定进行处理。</w:t>
      </w:r>
    </w:p>
    <w:p w14:paraId="75E6FDA1">
      <w:pPr>
        <w:spacing w:line="560" w:lineRule="exact"/>
        <w:ind w:left="420"/>
        <w:rPr>
          <w:rFonts w:ascii="仿宋_GB2312" w:eastAsia="仿宋_GB2312"/>
          <w:b/>
          <w:sz w:val="24"/>
          <w:highlight w:val="none"/>
        </w:rPr>
      </w:pPr>
      <w:r>
        <w:rPr>
          <w:rFonts w:hint="eastAsia" w:ascii="仿宋_GB2312" w:eastAsia="仿宋_GB2312"/>
          <w:b/>
          <w:sz w:val="24"/>
          <w:highlight w:val="none"/>
        </w:rPr>
        <w:t>二、乙方安全职责</w:t>
      </w:r>
    </w:p>
    <w:p w14:paraId="6A5EF09D">
      <w:pPr>
        <w:spacing w:line="440" w:lineRule="exact"/>
        <w:ind w:firstLine="440" w:firstLineChars="200"/>
        <w:rPr>
          <w:rFonts w:ascii="宋体" w:hAnsi="宋体" w:cs="宋体"/>
          <w:sz w:val="22"/>
          <w:szCs w:val="22"/>
          <w:highlight w:val="none"/>
        </w:rPr>
      </w:pPr>
      <w:r>
        <w:rPr>
          <w:rFonts w:hint="eastAsia" w:ascii="宋体" w:hAnsi="宋体" w:cs="宋体"/>
          <w:sz w:val="22"/>
          <w:szCs w:val="22"/>
          <w:highlight w:val="none"/>
        </w:rPr>
        <w:t xml:space="preserve">1.乙方是本合同安全生产管理的责任主体，必须严格遵守《中华人民共和国安全生产法》《浙江省安全生产条例》等相关法律法规，和甲方的各项规章制度，对本单位的安全生产工作全面负责。 </w:t>
      </w:r>
    </w:p>
    <w:p w14:paraId="434562C9">
      <w:pPr>
        <w:spacing w:line="440" w:lineRule="exact"/>
        <w:ind w:firstLine="440" w:firstLineChars="200"/>
        <w:rPr>
          <w:rFonts w:ascii="宋体" w:hAnsi="宋体" w:cs="宋体"/>
          <w:sz w:val="22"/>
          <w:szCs w:val="22"/>
          <w:highlight w:val="none"/>
        </w:rPr>
      </w:pPr>
      <w:r>
        <w:rPr>
          <w:rFonts w:hint="eastAsia" w:ascii="宋体" w:hAnsi="宋体" w:cs="宋体"/>
          <w:sz w:val="22"/>
          <w:szCs w:val="22"/>
          <w:highlight w:val="none"/>
        </w:rPr>
        <w:t>2.负责提供符合甲方要求的人员及企业资质证明文件，应根据国家相关法律法规设置安全生产管理机构或配备专（兼）职安全生产管理人员，同时根据甲方安全规章制度，制定乙方安全生产责任制、安全生产管理制度和安全技术操作规程，并督促其从业人员严格按相关规定执行。</w:t>
      </w:r>
    </w:p>
    <w:p w14:paraId="6C596C90">
      <w:pPr>
        <w:spacing w:line="440" w:lineRule="exact"/>
        <w:ind w:firstLine="440" w:firstLineChars="200"/>
        <w:rPr>
          <w:rFonts w:ascii="宋体" w:hAnsi="宋体" w:cs="宋体"/>
          <w:sz w:val="22"/>
          <w:szCs w:val="22"/>
          <w:highlight w:val="none"/>
        </w:rPr>
      </w:pPr>
      <w:r>
        <w:rPr>
          <w:rFonts w:ascii="宋体" w:hAnsi="宋体" w:cs="宋体"/>
          <w:sz w:val="22"/>
          <w:szCs w:val="22"/>
          <w:highlight w:val="none"/>
        </w:rPr>
        <w:t>3</w:t>
      </w:r>
      <w:r>
        <w:rPr>
          <w:rFonts w:hint="eastAsia" w:ascii="宋体" w:hAnsi="宋体" w:cs="宋体"/>
          <w:sz w:val="22"/>
          <w:szCs w:val="22"/>
          <w:highlight w:val="none"/>
        </w:rPr>
        <w:t>.乙方需设立一名现场安全管理责任人，配合甲方管理部门的安全管理，一旦出现任何安全事故或潜在风险，该管理人应承担相应的安全管理职责。</w:t>
      </w:r>
    </w:p>
    <w:p w14:paraId="3439D42E">
      <w:pPr>
        <w:spacing w:line="440" w:lineRule="exact"/>
        <w:ind w:firstLine="440" w:firstLineChars="200"/>
        <w:rPr>
          <w:rFonts w:ascii="宋体" w:hAnsi="宋体" w:cs="宋体"/>
          <w:sz w:val="22"/>
          <w:szCs w:val="22"/>
          <w:highlight w:val="none"/>
        </w:rPr>
      </w:pPr>
      <w:r>
        <w:rPr>
          <w:rFonts w:ascii="宋体" w:hAnsi="宋体" w:cs="宋体"/>
          <w:sz w:val="22"/>
          <w:szCs w:val="22"/>
          <w:highlight w:val="none"/>
        </w:rPr>
        <w:t>4</w:t>
      </w:r>
      <w:r>
        <w:rPr>
          <w:rFonts w:hint="eastAsia" w:ascii="宋体" w:hAnsi="宋体" w:cs="宋体"/>
          <w:sz w:val="22"/>
          <w:szCs w:val="22"/>
          <w:highlight w:val="none"/>
        </w:rPr>
        <w:t xml:space="preserve">.对所属人员进行全面的安全培训、考核，并配备满足岗位要求的安全防护用品； </w:t>
      </w:r>
    </w:p>
    <w:p w14:paraId="2646AB34">
      <w:pPr>
        <w:spacing w:line="440" w:lineRule="exact"/>
        <w:ind w:firstLine="440" w:firstLineChars="200"/>
        <w:rPr>
          <w:rFonts w:ascii="宋体" w:hAnsi="宋体" w:cs="宋体"/>
          <w:sz w:val="22"/>
          <w:szCs w:val="22"/>
          <w:highlight w:val="none"/>
        </w:rPr>
      </w:pPr>
      <w:r>
        <w:rPr>
          <w:rFonts w:ascii="宋体" w:hAnsi="宋体" w:cs="宋体"/>
          <w:sz w:val="22"/>
          <w:szCs w:val="22"/>
          <w:highlight w:val="none"/>
        </w:rPr>
        <w:t>5</w:t>
      </w:r>
      <w:r>
        <w:rPr>
          <w:rFonts w:hint="eastAsia" w:ascii="宋体" w:hAnsi="宋体" w:cs="宋体"/>
          <w:sz w:val="22"/>
          <w:szCs w:val="22"/>
          <w:highlight w:val="none"/>
        </w:rPr>
        <w:t xml:space="preserve">.辨识现场安全风险，制定确保现场安全生产的措施； </w:t>
      </w:r>
    </w:p>
    <w:p w14:paraId="668D7F0A">
      <w:pPr>
        <w:spacing w:line="440" w:lineRule="exact"/>
        <w:ind w:firstLine="440" w:firstLineChars="200"/>
        <w:rPr>
          <w:rFonts w:ascii="宋体" w:hAnsi="宋体" w:cs="宋体"/>
          <w:sz w:val="22"/>
          <w:szCs w:val="22"/>
          <w:highlight w:val="none"/>
        </w:rPr>
      </w:pPr>
      <w:r>
        <w:rPr>
          <w:rFonts w:ascii="宋体" w:hAnsi="宋体" w:cs="宋体"/>
          <w:sz w:val="22"/>
          <w:szCs w:val="22"/>
          <w:highlight w:val="none"/>
        </w:rPr>
        <w:t>6</w:t>
      </w:r>
      <w:r>
        <w:rPr>
          <w:rFonts w:hint="eastAsia" w:ascii="宋体" w:hAnsi="宋体" w:cs="宋体"/>
          <w:sz w:val="22"/>
          <w:szCs w:val="22"/>
          <w:highlight w:val="none"/>
        </w:rPr>
        <w:t xml:space="preserve">.积极配合开展事故调查； </w:t>
      </w:r>
    </w:p>
    <w:p w14:paraId="4CED4BB6">
      <w:pPr>
        <w:spacing w:line="440" w:lineRule="exact"/>
        <w:ind w:firstLine="440" w:firstLineChars="200"/>
        <w:rPr>
          <w:rFonts w:ascii="宋体" w:hAnsi="宋体" w:cs="宋体"/>
          <w:sz w:val="22"/>
          <w:szCs w:val="22"/>
          <w:highlight w:val="none"/>
        </w:rPr>
      </w:pPr>
      <w:r>
        <w:rPr>
          <w:rFonts w:ascii="宋体" w:hAnsi="宋体" w:cs="宋体"/>
          <w:sz w:val="22"/>
          <w:szCs w:val="22"/>
          <w:highlight w:val="none"/>
        </w:rPr>
        <w:t>7</w:t>
      </w:r>
      <w:r>
        <w:rPr>
          <w:rFonts w:hint="eastAsia" w:ascii="宋体" w:hAnsi="宋体" w:cs="宋体"/>
          <w:sz w:val="22"/>
          <w:szCs w:val="22"/>
          <w:highlight w:val="none"/>
        </w:rPr>
        <w:t>.制定安全检查计划定期进行自检自纠，配合开展各类安全检查，对发现的问题按期完成整改。</w:t>
      </w:r>
    </w:p>
    <w:p w14:paraId="6F30AB56">
      <w:pPr>
        <w:spacing w:line="440" w:lineRule="exact"/>
        <w:ind w:firstLine="440" w:firstLineChars="200"/>
        <w:rPr>
          <w:rFonts w:ascii="宋体" w:hAnsi="宋体" w:cs="宋体"/>
          <w:sz w:val="22"/>
          <w:szCs w:val="22"/>
          <w:highlight w:val="none"/>
        </w:rPr>
      </w:pPr>
      <w:r>
        <w:rPr>
          <w:rFonts w:ascii="宋体" w:hAnsi="宋体" w:cs="宋体"/>
          <w:sz w:val="22"/>
          <w:szCs w:val="22"/>
          <w:highlight w:val="none"/>
        </w:rPr>
        <w:t>8</w:t>
      </w:r>
      <w:r>
        <w:rPr>
          <w:rFonts w:hint="eastAsia" w:ascii="宋体" w:hAnsi="宋体" w:cs="宋体"/>
          <w:sz w:val="22"/>
          <w:szCs w:val="22"/>
          <w:highlight w:val="none"/>
        </w:rPr>
        <w:t>.进入港区必须办理相关通行手续，不得伪造通行手续。乙方车辆、人员进入港区必须服从现场管理人员指挥，主动接受安全检查，不得携带未经甲方同意的港区物资出港，严禁带无关人员进入甲方区域。</w:t>
      </w:r>
    </w:p>
    <w:p w14:paraId="499ABEF3">
      <w:pPr>
        <w:spacing w:line="440" w:lineRule="exact"/>
        <w:ind w:firstLine="440" w:firstLineChars="200"/>
        <w:rPr>
          <w:rFonts w:ascii="宋体" w:hAnsi="宋体" w:cs="宋体"/>
          <w:sz w:val="22"/>
          <w:szCs w:val="22"/>
          <w:highlight w:val="none"/>
        </w:rPr>
      </w:pPr>
      <w:r>
        <w:rPr>
          <w:rFonts w:ascii="宋体" w:hAnsi="宋体" w:cs="宋体"/>
          <w:sz w:val="22"/>
          <w:szCs w:val="22"/>
          <w:highlight w:val="none"/>
        </w:rPr>
        <w:t>9</w:t>
      </w:r>
      <w:r>
        <w:rPr>
          <w:rFonts w:hint="eastAsia" w:ascii="宋体" w:hAnsi="宋体" w:cs="宋体"/>
          <w:sz w:val="22"/>
          <w:szCs w:val="22"/>
          <w:highlight w:val="none"/>
        </w:rPr>
        <w:t>.乙方应服从甲方安全生产监管，严格遵守甲方的安全生产管理制度、安全技术操作规程及安全应急管理要求，提供适合岗位的从业人员，有权向甲方提出合理的安全生产建议，有权拒绝甲方的违章指挥，并不得强令冒险作业。</w:t>
      </w:r>
    </w:p>
    <w:p w14:paraId="7954B45B">
      <w:pPr>
        <w:spacing w:line="440" w:lineRule="exact"/>
        <w:ind w:firstLine="440" w:firstLineChars="200"/>
        <w:rPr>
          <w:rFonts w:ascii="宋体" w:hAnsi="宋体" w:cs="宋体"/>
          <w:sz w:val="22"/>
          <w:szCs w:val="22"/>
          <w:highlight w:val="none"/>
        </w:rPr>
      </w:pPr>
      <w:r>
        <w:rPr>
          <w:rFonts w:hint="eastAsia" w:ascii="宋体" w:hAnsi="宋体" w:cs="宋体"/>
          <w:sz w:val="22"/>
          <w:szCs w:val="22"/>
          <w:highlight w:val="none"/>
        </w:rPr>
        <w:t>1</w:t>
      </w:r>
      <w:r>
        <w:rPr>
          <w:rFonts w:ascii="宋体" w:hAnsi="宋体" w:cs="宋体"/>
          <w:sz w:val="22"/>
          <w:szCs w:val="22"/>
          <w:highlight w:val="none"/>
        </w:rPr>
        <w:t>0</w:t>
      </w:r>
      <w:r>
        <w:rPr>
          <w:rFonts w:hint="eastAsia" w:ascii="宋体" w:hAnsi="宋体" w:cs="宋体"/>
          <w:sz w:val="22"/>
          <w:szCs w:val="22"/>
          <w:highlight w:val="none"/>
        </w:rPr>
        <w:t>.乙方有业务让其从业人员熟悉甲方的安全事故应急预案，提高其从业人员对突发事件和复杂情况的应变与处置能力。</w:t>
      </w:r>
    </w:p>
    <w:p w14:paraId="5DCA743F">
      <w:pPr>
        <w:spacing w:line="440" w:lineRule="exact"/>
        <w:ind w:firstLine="440" w:firstLineChars="200"/>
        <w:rPr>
          <w:rFonts w:ascii="宋体" w:hAnsi="宋体" w:cs="宋体"/>
          <w:sz w:val="22"/>
          <w:szCs w:val="22"/>
          <w:highlight w:val="none"/>
        </w:rPr>
      </w:pPr>
      <w:r>
        <w:rPr>
          <w:rFonts w:hint="eastAsia" w:ascii="宋体" w:hAnsi="宋体" w:cs="宋体"/>
          <w:sz w:val="22"/>
          <w:szCs w:val="22"/>
          <w:highlight w:val="none"/>
        </w:rPr>
        <w:t>1</w:t>
      </w:r>
      <w:r>
        <w:rPr>
          <w:rFonts w:ascii="宋体" w:hAnsi="宋体" w:cs="宋体"/>
          <w:sz w:val="22"/>
          <w:szCs w:val="22"/>
          <w:highlight w:val="none"/>
        </w:rPr>
        <w:t>1</w:t>
      </w:r>
      <w:r>
        <w:rPr>
          <w:rFonts w:hint="eastAsia" w:ascii="宋体" w:hAnsi="宋体" w:cs="宋体"/>
          <w:sz w:val="22"/>
          <w:szCs w:val="22"/>
          <w:highlight w:val="none"/>
        </w:rPr>
        <w:t>.乙方应对从业人员做好培训工作，上岗前必须通过“三级”安全教育培训，并严格落实日常的安全教育培训活动，保证从业人员具备必要的安全生产知识，熟悉有关安全生产管理制度、安全技术操作规程及本岗位安全风险。未经安全教育培训或培训不合格的从业人员，不得上岗作业。</w:t>
      </w:r>
    </w:p>
    <w:p w14:paraId="723EAEB1">
      <w:pPr>
        <w:spacing w:line="440" w:lineRule="exact"/>
        <w:ind w:firstLine="440" w:firstLineChars="200"/>
        <w:rPr>
          <w:rFonts w:ascii="宋体" w:hAnsi="宋体" w:cs="宋体"/>
          <w:sz w:val="22"/>
          <w:szCs w:val="22"/>
          <w:highlight w:val="none"/>
        </w:rPr>
      </w:pPr>
      <w:r>
        <w:rPr>
          <w:rFonts w:hint="eastAsia" w:ascii="宋体" w:hAnsi="宋体" w:cs="宋体"/>
          <w:sz w:val="22"/>
          <w:szCs w:val="22"/>
          <w:highlight w:val="none"/>
        </w:rPr>
        <w:t>1</w:t>
      </w:r>
      <w:r>
        <w:rPr>
          <w:rFonts w:ascii="宋体" w:hAnsi="宋体" w:cs="宋体"/>
          <w:sz w:val="22"/>
          <w:szCs w:val="22"/>
          <w:highlight w:val="none"/>
        </w:rPr>
        <w:t>2</w:t>
      </w:r>
      <w:r>
        <w:rPr>
          <w:rFonts w:hint="eastAsia" w:ascii="宋体" w:hAnsi="宋体" w:cs="宋体"/>
          <w:sz w:val="22"/>
          <w:szCs w:val="22"/>
          <w:highlight w:val="none"/>
        </w:rPr>
        <w:t>.乙方的特种作业人员必须按照国家有关规定经专门的安全作业培训，取得特种作业操作资格证书，方可上岗作业。</w:t>
      </w:r>
    </w:p>
    <w:p w14:paraId="5C9C7D66">
      <w:pPr>
        <w:spacing w:line="440" w:lineRule="exact"/>
        <w:ind w:firstLine="440" w:firstLineChars="200"/>
        <w:rPr>
          <w:rFonts w:ascii="宋体" w:hAnsi="宋体" w:cs="宋体"/>
          <w:sz w:val="22"/>
          <w:szCs w:val="22"/>
          <w:highlight w:val="none"/>
        </w:rPr>
      </w:pPr>
      <w:r>
        <w:rPr>
          <w:rFonts w:hint="eastAsia" w:ascii="宋体" w:hAnsi="宋体" w:cs="宋体"/>
          <w:sz w:val="22"/>
          <w:szCs w:val="22"/>
          <w:highlight w:val="none"/>
        </w:rPr>
        <w:t>1</w:t>
      </w:r>
      <w:r>
        <w:rPr>
          <w:rFonts w:ascii="宋体" w:hAnsi="宋体" w:cs="宋体"/>
          <w:sz w:val="22"/>
          <w:szCs w:val="22"/>
          <w:highlight w:val="none"/>
        </w:rPr>
        <w:t>3</w:t>
      </w:r>
      <w:r>
        <w:rPr>
          <w:rFonts w:hint="eastAsia" w:ascii="宋体" w:hAnsi="宋体" w:cs="宋体"/>
          <w:sz w:val="22"/>
          <w:szCs w:val="22"/>
          <w:highlight w:val="none"/>
        </w:rPr>
        <w:t>.乙方应对其安全生产进行经常性检查，发现事故隐患应及时消除，并严格落实事故隐患闭环管理，检查及隐患处理情况应当记录在案备查。</w:t>
      </w:r>
    </w:p>
    <w:p w14:paraId="2C606DD0">
      <w:pPr>
        <w:spacing w:line="440" w:lineRule="exact"/>
        <w:ind w:firstLine="440" w:firstLineChars="200"/>
        <w:rPr>
          <w:rFonts w:ascii="宋体" w:hAnsi="宋体" w:cs="宋体"/>
          <w:sz w:val="22"/>
          <w:szCs w:val="22"/>
          <w:highlight w:val="none"/>
        </w:rPr>
      </w:pPr>
      <w:r>
        <w:rPr>
          <w:rFonts w:hint="eastAsia" w:ascii="宋体" w:hAnsi="宋体" w:cs="宋体"/>
          <w:sz w:val="22"/>
          <w:szCs w:val="22"/>
          <w:highlight w:val="none"/>
        </w:rPr>
        <w:t>1</w:t>
      </w:r>
      <w:r>
        <w:rPr>
          <w:rFonts w:ascii="宋体" w:hAnsi="宋体" w:cs="宋体"/>
          <w:sz w:val="22"/>
          <w:szCs w:val="22"/>
          <w:highlight w:val="none"/>
        </w:rPr>
        <w:t>4</w:t>
      </w:r>
      <w:r>
        <w:rPr>
          <w:rFonts w:hint="eastAsia" w:ascii="宋体" w:hAnsi="宋体" w:cs="宋体"/>
          <w:sz w:val="22"/>
          <w:szCs w:val="22"/>
          <w:highlight w:val="none"/>
        </w:rPr>
        <w:t>.乙方设备设施必须符合国家相关安全标准，确保设备设施完好并在有效使用期内，不得使用国家明令淘汰、禁止的设备设施。</w:t>
      </w:r>
    </w:p>
    <w:p w14:paraId="0B474C38">
      <w:pPr>
        <w:spacing w:line="440" w:lineRule="exact"/>
        <w:ind w:firstLine="440" w:firstLineChars="200"/>
        <w:rPr>
          <w:rFonts w:ascii="宋体" w:hAnsi="宋体" w:cs="宋体"/>
          <w:sz w:val="22"/>
          <w:szCs w:val="22"/>
          <w:highlight w:val="none"/>
        </w:rPr>
      </w:pPr>
      <w:r>
        <w:rPr>
          <w:rFonts w:hint="eastAsia" w:ascii="宋体" w:hAnsi="宋体" w:cs="宋体"/>
          <w:sz w:val="22"/>
          <w:szCs w:val="22"/>
          <w:highlight w:val="none"/>
        </w:rPr>
        <w:t>1</w:t>
      </w:r>
      <w:r>
        <w:rPr>
          <w:rFonts w:ascii="宋体" w:hAnsi="宋体" w:cs="宋体"/>
          <w:sz w:val="22"/>
          <w:szCs w:val="22"/>
          <w:highlight w:val="none"/>
        </w:rPr>
        <w:t>5</w:t>
      </w:r>
      <w:r>
        <w:rPr>
          <w:rFonts w:hint="eastAsia" w:ascii="宋体" w:hAnsi="宋体" w:cs="宋体"/>
          <w:sz w:val="22"/>
          <w:szCs w:val="22"/>
          <w:highlight w:val="none"/>
        </w:rPr>
        <w:t>.乙方在合同履行过程中发生的一切安全事故，应当立即向甲方汇报，不得瞒报、谎报、迟报，同时，及时采取一切措施防止损失、损害的扩大，对相关后果承担法律责任。</w:t>
      </w:r>
    </w:p>
    <w:p w14:paraId="5FDBF6BD">
      <w:pPr>
        <w:spacing w:line="440" w:lineRule="exact"/>
        <w:ind w:firstLine="440" w:firstLineChars="200"/>
        <w:rPr>
          <w:rFonts w:ascii="宋体" w:hAnsi="宋体" w:cs="宋体"/>
          <w:sz w:val="22"/>
          <w:szCs w:val="22"/>
          <w:highlight w:val="none"/>
        </w:rPr>
      </w:pPr>
      <w:r>
        <w:rPr>
          <w:rFonts w:hint="eastAsia" w:ascii="宋体" w:hAnsi="宋体" w:cs="宋体"/>
          <w:sz w:val="22"/>
          <w:szCs w:val="22"/>
          <w:highlight w:val="none"/>
        </w:rPr>
        <w:t>1</w:t>
      </w:r>
      <w:r>
        <w:rPr>
          <w:rFonts w:ascii="宋体" w:hAnsi="宋体" w:cs="宋体"/>
          <w:sz w:val="22"/>
          <w:szCs w:val="22"/>
          <w:highlight w:val="none"/>
        </w:rPr>
        <w:t>6</w:t>
      </w:r>
      <w:r>
        <w:rPr>
          <w:rFonts w:hint="eastAsia" w:ascii="宋体" w:hAnsi="宋体" w:cs="宋体"/>
          <w:sz w:val="22"/>
          <w:szCs w:val="22"/>
          <w:highlight w:val="none"/>
        </w:rPr>
        <w:t>.乙方在合同履行过程中,无论是否在甲方总体管辖的范围内，乙方均是该现场安全事故的第一责任人。</w:t>
      </w:r>
    </w:p>
    <w:p w14:paraId="49651C11">
      <w:pPr>
        <w:spacing w:line="560" w:lineRule="exact"/>
        <w:ind w:left="420"/>
        <w:rPr>
          <w:rFonts w:ascii="仿宋_GB2312" w:eastAsia="仿宋_GB2312"/>
          <w:b/>
          <w:sz w:val="24"/>
          <w:highlight w:val="none"/>
        </w:rPr>
      </w:pPr>
      <w:r>
        <w:rPr>
          <w:rFonts w:hint="eastAsia" w:ascii="仿宋_GB2312" w:eastAsia="仿宋_GB2312"/>
          <w:b/>
          <w:sz w:val="24"/>
          <w:highlight w:val="none"/>
        </w:rPr>
        <w:t>三、安全责任考核</w:t>
      </w:r>
    </w:p>
    <w:p w14:paraId="5EC6F532">
      <w:pPr>
        <w:spacing w:line="440" w:lineRule="exact"/>
        <w:ind w:firstLine="440" w:firstLineChars="200"/>
        <w:rPr>
          <w:rFonts w:ascii="宋体" w:hAnsi="宋体" w:cs="宋体"/>
          <w:sz w:val="22"/>
          <w:szCs w:val="22"/>
          <w:highlight w:val="none"/>
        </w:rPr>
      </w:pPr>
      <w:r>
        <w:rPr>
          <w:rFonts w:hint="eastAsia" w:ascii="宋体" w:hAnsi="宋体" w:cs="宋体"/>
          <w:sz w:val="22"/>
          <w:szCs w:val="22"/>
          <w:highlight w:val="none"/>
        </w:rPr>
        <w:t>1.乙方在合同履行过程中未按照甲方要求进行作业的或乙方作业人员发生其他违规作业现象的，应按照甲方的相关规定进行处理。</w:t>
      </w:r>
    </w:p>
    <w:p w14:paraId="7473C68C">
      <w:pPr>
        <w:spacing w:line="440" w:lineRule="exact"/>
        <w:ind w:firstLine="440" w:firstLineChars="200"/>
        <w:rPr>
          <w:rFonts w:ascii="宋体" w:hAnsi="宋体" w:cs="宋体"/>
          <w:sz w:val="22"/>
          <w:szCs w:val="22"/>
          <w:highlight w:val="none"/>
        </w:rPr>
      </w:pPr>
      <w:r>
        <w:rPr>
          <w:rFonts w:hint="eastAsia" w:ascii="宋体" w:hAnsi="宋体" w:cs="宋体"/>
          <w:sz w:val="22"/>
          <w:szCs w:val="22"/>
          <w:highlight w:val="none"/>
        </w:rPr>
        <w:t>2.乙方在合同履行过程中发生事故，应按照“四不放过”原则跟进，并参照甲方的事故报告调查处理相关规定进行处理。由乙方原因造成的安全生产责任事故的，由乙方承担一切责任。</w:t>
      </w:r>
    </w:p>
    <w:p w14:paraId="2F4ACDBC">
      <w:pPr>
        <w:spacing w:line="440" w:lineRule="exact"/>
        <w:ind w:firstLine="440" w:firstLineChars="200"/>
        <w:rPr>
          <w:rFonts w:ascii="宋体" w:hAnsi="宋体" w:cs="宋体"/>
          <w:sz w:val="22"/>
          <w:szCs w:val="22"/>
          <w:highlight w:val="none"/>
        </w:rPr>
      </w:pPr>
      <w:r>
        <w:rPr>
          <w:rFonts w:hint="eastAsia" w:ascii="宋体" w:hAnsi="宋体" w:cs="宋体"/>
          <w:sz w:val="22"/>
          <w:szCs w:val="22"/>
          <w:highlight w:val="none"/>
        </w:rPr>
        <w:t>3.事故责任及经济赔偿，因双方责任发生的生产安全事故，根据事故责任划分（以交警、安全管理部门或当地政府事故处理责任部门出具的事故责任判定书为准），由双方承担相应事故责任及经济赔偿。</w:t>
      </w:r>
    </w:p>
    <w:p w14:paraId="05DE0CF1">
      <w:pPr>
        <w:spacing w:line="440" w:lineRule="exact"/>
        <w:ind w:firstLine="440" w:firstLineChars="200"/>
        <w:rPr>
          <w:rFonts w:ascii="宋体" w:hAnsi="宋体" w:cs="宋体"/>
          <w:sz w:val="22"/>
          <w:szCs w:val="22"/>
          <w:highlight w:val="none"/>
        </w:rPr>
      </w:pPr>
      <w:r>
        <w:rPr>
          <w:rFonts w:hint="eastAsia" w:ascii="宋体" w:hAnsi="宋体" w:cs="宋体"/>
          <w:sz w:val="22"/>
          <w:szCs w:val="22"/>
          <w:highlight w:val="none"/>
        </w:rPr>
        <w:t>4.由于乙方及乙方人员的原因造成甲方财产损失、人员伤害的，乙方应承担由此引起的一切损失（损失包括但不限于赔付损失、垫付损失、诉讼费、律师费、保全费、担保费、鉴定费、公证费等，该损失定义适用本合同）。</w:t>
      </w:r>
    </w:p>
    <w:p w14:paraId="5B309624">
      <w:pPr>
        <w:spacing w:line="440" w:lineRule="exact"/>
        <w:ind w:firstLine="440" w:firstLineChars="200"/>
        <w:rPr>
          <w:rFonts w:ascii="宋体" w:hAnsi="宋体" w:cs="宋体"/>
          <w:sz w:val="22"/>
          <w:szCs w:val="22"/>
          <w:highlight w:val="none"/>
        </w:rPr>
      </w:pPr>
      <w:r>
        <w:rPr>
          <w:rFonts w:hint="eastAsia" w:ascii="宋体" w:hAnsi="宋体" w:cs="宋体"/>
          <w:sz w:val="22"/>
          <w:szCs w:val="22"/>
          <w:highlight w:val="none"/>
        </w:rPr>
        <w:t>5.乙方作业人员和管理人员出现以下情形之一的，甲方有权立即启动清退程序：</w:t>
      </w:r>
    </w:p>
    <w:p w14:paraId="4332F30C">
      <w:pPr>
        <w:spacing w:line="440" w:lineRule="exact"/>
        <w:ind w:firstLine="440" w:firstLineChars="200"/>
        <w:rPr>
          <w:rFonts w:ascii="宋体" w:hAnsi="宋体" w:cs="宋体"/>
          <w:sz w:val="22"/>
          <w:szCs w:val="22"/>
          <w:highlight w:val="none"/>
        </w:rPr>
      </w:pPr>
      <w:r>
        <w:rPr>
          <w:rFonts w:hint="eastAsia" w:ascii="宋体" w:hAnsi="宋体" w:cs="宋体"/>
          <w:sz w:val="22"/>
          <w:szCs w:val="22"/>
          <w:highlight w:val="none"/>
        </w:rPr>
        <w:t>5.1合同期内，作业人员因违章指挥、违规作业或违反劳动纪律等行为，导致发生重伤及以上责任事故的。</w:t>
      </w:r>
    </w:p>
    <w:p w14:paraId="13592A47">
      <w:pPr>
        <w:spacing w:line="440" w:lineRule="exact"/>
        <w:ind w:firstLine="440" w:firstLineChars="200"/>
        <w:rPr>
          <w:rFonts w:ascii="宋体" w:hAnsi="宋体" w:cs="宋体"/>
          <w:sz w:val="22"/>
          <w:szCs w:val="22"/>
          <w:highlight w:val="none"/>
        </w:rPr>
      </w:pPr>
      <w:r>
        <w:rPr>
          <w:rFonts w:hint="eastAsia" w:ascii="宋体" w:hAnsi="宋体" w:cs="宋体"/>
          <w:sz w:val="22"/>
          <w:szCs w:val="22"/>
          <w:highlight w:val="none"/>
        </w:rPr>
        <w:t>5.2违章冒险作业情节严重，存在较大亡人风险，且现场拒不停止作业的。</w:t>
      </w:r>
    </w:p>
    <w:p w14:paraId="442CA969">
      <w:pPr>
        <w:spacing w:line="440" w:lineRule="exact"/>
        <w:ind w:firstLine="440" w:firstLineChars="200"/>
        <w:rPr>
          <w:rFonts w:ascii="宋体" w:hAnsi="宋体" w:cs="宋体"/>
          <w:sz w:val="22"/>
          <w:szCs w:val="22"/>
          <w:highlight w:val="none"/>
        </w:rPr>
      </w:pPr>
      <w:r>
        <w:rPr>
          <w:rFonts w:hint="eastAsia" w:ascii="宋体" w:hAnsi="宋体" w:cs="宋体"/>
          <w:sz w:val="22"/>
          <w:szCs w:val="22"/>
          <w:highlight w:val="none"/>
        </w:rPr>
        <w:t>5.3合同期内，作业人员吸毒或携带违禁物品进入作业现场，经现场抽查或举报查实的。</w:t>
      </w:r>
    </w:p>
    <w:p w14:paraId="1E41C5FA">
      <w:pPr>
        <w:spacing w:line="440" w:lineRule="exact"/>
        <w:ind w:firstLine="440" w:firstLineChars="200"/>
        <w:rPr>
          <w:rFonts w:ascii="宋体" w:hAnsi="宋体" w:cs="宋体"/>
          <w:sz w:val="22"/>
          <w:szCs w:val="22"/>
          <w:highlight w:val="none"/>
        </w:rPr>
      </w:pPr>
      <w:r>
        <w:rPr>
          <w:rFonts w:hint="eastAsia" w:ascii="宋体" w:hAnsi="宋体" w:cs="宋体"/>
          <w:sz w:val="22"/>
          <w:szCs w:val="22"/>
          <w:highlight w:val="none"/>
        </w:rPr>
        <w:t>5.4作业人员持用虚假证件、冒名顶替、伪造履历入职，或隐瞒重大职业健康禁忌，经查实的。</w:t>
      </w:r>
    </w:p>
    <w:p w14:paraId="1AD5709B">
      <w:pPr>
        <w:spacing w:line="440" w:lineRule="exact"/>
        <w:ind w:firstLine="440" w:firstLineChars="200"/>
        <w:rPr>
          <w:rFonts w:ascii="宋体" w:hAnsi="宋体" w:cs="宋体"/>
          <w:sz w:val="22"/>
          <w:szCs w:val="22"/>
          <w:highlight w:val="none"/>
        </w:rPr>
      </w:pPr>
      <w:r>
        <w:rPr>
          <w:rFonts w:hint="eastAsia" w:ascii="宋体" w:hAnsi="宋体" w:cs="宋体"/>
          <w:sz w:val="22"/>
          <w:szCs w:val="22"/>
          <w:highlight w:val="none"/>
        </w:rPr>
        <w:t>5.5合同期内，作业人员接连发生习惯性违章行为，屡教不改的。</w:t>
      </w:r>
    </w:p>
    <w:p w14:paraId="0D6C9DC7">
      <w:pPr>
        <w:spacing w:line="440" w:lineRule="exact"/>
        <w:ind w:firstLine="440" w:firstLineChars="200"/>
        <w:rPr>
          <w:rFonts w:ascii="宋体" w:hAnsi="宋体" w:cs="宋体"/>
          <w:sz w:val="22"/>
          <w:szCs w:val="22"/>
          <w:highlight w:val="none"/>
        </w:rPr>
      </w:pPr>
      <w:r>
        <w:rPr>
          <w:rFonts w:hint="eastAsia" w:ascii="宋体" w:hAnsi="宋体" w:cs="宋体"/>
          <w:sz w:val="22"/>
          <w:szCs w:val="22"/>
          <w:highlight w:val="none"/>
        </w:rPr>
        <w:t>5.6合同期内，作业人员因故意或过失，导致甲方遭受50万元及以上直接经济损失或造成负面舆情影响的。</w:t>
      </w:r>
    </w:p>
    <w:p w14:paraId="459ED67C">
      <w:pPr>
        <w:spacing w:line="440" w:lineRule="exact"/>
        <w:ind w:firstLine="440" w:firstLineChars="200"/>
        <w:rPr>
          <w:rFonts w:ascii="宋体" w:hAnsi="宋体" w:cs="宋体"/>
          <w:sz w:val="22"/>
          <w:szCs w:val="22"/>
          <w:highlight w:val="none"/>
        </w:rPr>
      </w:pPr>
      <w:r>
        <w:rPr>
          <w:rFonts w:hint="eastAsia" w:ascii="宋体" w:hAnsi="宋体" w:cs="宋体"/>
          <w:sz w:val="22"/>
          <w:szCs w:val="22"/>
          <w:highlight w:val="none"/>
        </w:rPr>
        <w:t>5.7合同期内，专（兼）安全生产管理人员未按规定履行安全生产管理职责，存在未开展现场检查并形成检查记录、未开展安全教育并形成教育记录等履职不到位情形且不配合整改的。</w:t>
      </w:r>
    </w:p>
    <w:p w14:paraId="0997FC9F">
      <w:pPr>
        <w:spacing w:line="440" w:lineRule="exact"/>
        <w:ind w:firstLine="440" w:firstLineChars="200"/>
        <w:rPr>
          <w:rFonts w:ascii="宋体" w:hAnsi="宋体" w:cs="宋体"/>
          <w:sz w:val="22"/>
          <w:szCs w:val="22"/>
          <w:highlight w:val="none"/>
        </w:rPr>
      </w:pPr>
      <w:r>
        <w:rPr>
          <w:rFonts w:hint="eastAsia" w:ascii="宋体" w:hAnsi="宋体" w:cs="宋体"/>
          <w:sz w:val="22"/>
          <w:szCs w:val="22"/>
          <w:highlight w:val="none"/>
        </w:rPr>
        <w:t>5.8合同期内，管理人员未按公司合理要求落实整改或拒不整改的。</w:t>
      </w:r>
    </w:p>
    <w:p w14:paraId="41FE8018">
      <w:pPr>
        <w:spacing w:line="440" w:lineRule="exact"/>
        <w:ind w:firstLine="440" w:firstLineChars="200"/>
        <w:rPr>
          <w:rFonts w:ascii="宋体" w:hAnsi="宋体" w:cs="宋体"/>
          <w:sz w:val="22"/>
          <w:szCs w:val="22"/>
          <w:highlight w:val="none"/>
        </w:rPr>
      </w:pPr>
      <w:r>
        <w:rPr>
          <w:rFonts w:hint="eastAsia" w:ascii="宋体" w:hAnsi="宋体" w:cs="宋体"/>
          <w:sz w:val="22"/>
          <w:szCs w:val="22"/>
          <w:highlight w:val="none"/>
        </w:rPr>
        <w:t>5.9发生其他法定禁止行为的。</w:t>
      </w:r>
    </w:p>
    <w:p w14:paraId="2F60A03A">
      <w:pPr>
        <w:spacing w:line="440" w:lineRule="exact"/>
        <w:ind w:firstLine="440" w:firstLineChars="200"/>
        <w:rPr>
          <w:rFonts w:ascii="宋体" w:hAnsi="宋体" w:cs="宋体"/>
          <w:sz w:val="22"/>
          <w:szCs w:val="22"/>
          <w:highlight w:val="none"/>
        </w:rPr>
      </w:pPr>
      <w:r>
        <w:rPr>
          <w:rFonts w:hint="eastAsia" w:ascii="宋体" w:hAnsi="宋体" w:cs="宋体"/>
          <w:sz w:val="22"/>
          <w:szCs w:val="22"/>
          <w:highlight w:val="none"/>
        </w:rPr>
        <w:t>6.乙方出现以下情形之一的，甲方有权立即启动清退程序：</w:t>
      </w:r>
    </w:p>
    <w:p w14:paraId="377C0F02">
      <w:pPr>
        <w:spacing w:line="440" w:lineRule="exact"/>
        <w:ind w:firstLine="440" w:firstLineChars="200"/>
        <w:jc w:val="left"/>
        <w:rPr>
          <w:rFonts w:ascii="宋体" w:hAnsi="宋体" w:cs="宋体"/>
          <w:sz w:val="22"/>
          <w:szCs w:val="22"/>
          <w:highlight w:val="none"/>
        </w:rPr>
      </w:pPr>
      <w:r>
        <w:rPr>
          <w:rFonts w:ascii="宋体" w:hAnsi="宋体" w:cs="宋体"/>
          <w:sz w:val="22"/>
          <w:szCs w:val="22"/>
          <w:highlight w:val="none"/>
        </w:rPr>
        <w:t>6.</w:t>
      </w:r>
      <w:r>
        <w:rPr>
          <w:rFonts w:hint="eastAsia" w:ascii="宋体" w:hAnsi="宋体" w:cs="宋体"/>
          <w:sz w:val="22"/>
          <w:szCs w:val="22"/>
          <w:highlight w:val="none"/>
        </w:rPr>
        <w:t>1合同期内，累计造成 2 名及以上人员重伤责任事故的。</w:t>
      </w:r>
    </w:p>
    <w:p w14:paraId="40387CFA">
      <w:pPr>
        <w:spacing w:line="440" w:lineRule="exact"/>
        <w:ind w:firstLine="440" w:firstLineChars="200"/>
        <w:jc w:val="left"/>
        <w:rPr>
          <w:rFonts w:ascii="宋体" w:hAnsi="宋体" w:cs="宋体"/>
          <w:sz w:val="22"/>
          <w:szCs w:val="22"/>
          <w:highlight w:val="none"/>
        </w:rPr>
      </w:pPr>
      <w:r>
        <w:rPr>
          <w:rFonts w:ascii="宋体" w:hAnsi="宋体" w:cs="宋体"/>
          <w:sz w:val="22"/>
          <w:szCs w:val="22"/>
          <w:highlight w:val="none"/>
        </w:rPr>
        <w:t>6.2</w:t>
      </w:r>
      <w:r>
        <w:rPr>
          <w:rFonts w:hint="eastAsia" w:ascii="宋体" w:hAnsi="宋体" w:cs="宋体"/>
          <w:sz w:val="22"/>
          <w:szCs w:val="22"/>
          <w:highlight w:val="none"/>
        </w:rPr>
        <w:t>合同期内，造成 1 名及以上人员死亡责任事故的。</w:t>
      </w:r>
    </w:p>
    <w:p w14:paraId="44A92B04">
      <w:pPr>
        <w:spacing w:line="440" w:lineRule="exact"/>
        <w:ind w:firstLine="440" w:firstLineChars="200"/>
        <w:jc w:val="left"/>
        <w:rPr>
          <w:rFonts w:ascii="宋体" w:hAnsi="宋体" w:cs="宋体"/>
          <w:sz w:val="22"/>
          <w:szCs w:val="22"/>
          <w:highlight w:val="none"/>
        </w:rPr>
      </w:pPr>
      <w:r>
        <w:rPr>
          <w:rFonts w:ascii="宋体" w:hAnsi="宋体" w:cs="宋体"/>
          <w:sz w:val="22"/>
          <w:szCs w:val="22"/>
          <w:highlight w:val="none"/>
        </w:rPr>
        <w:t>6.3</w:t>
      </w:r>
      <w:r>
        <w:rPr>
          <w:rFonts w:hint="eastAsia" w:ascii="宋体" w:hAnsi="宋体" w:cs="宋体"/>
          <w:sz w:val="22"/>
          <w:szCs w:val="22"/>
          <w:highlight w:val="none"/>
        </w:rPr>
        <w:t>合同期内，累计被查处 5 名及以上人员经常性严重违章行为的。</w:t>
      </w:r>
    </w:p>
    <w:p w14:paraId="14DF219F">
      <w:pPr>
        <w:spacing w:line="440" w:lineRule="exact"/>
        <w:ind w:firstLine="440" w:firstLineChars="200"/>
        <w:jc w:val="left"/>
        <w:rPr>
          <w:rFonts w:ascii="宋体" w:hAnsi="宋体" w:cs="宋体"/>
          <w:sz w:val="22"/>
          <w:szCs w:val="22"/>
          <w:highlight w:val="none"/>
        </w:rPr>
      </w:pPr>
      <w:r>
        <w:rPr>
          <w:rFonts w:ascii="宋体" w:hAnsi="宋体" w:cs="宋体"/>
          <w:sz w:val="22"/>
          <w:szCs w:val="22"/>
          <w:highlight w:val="none"/>
        </w:rPr>
        <w:t>6.4</w:t>
      </w:r>
      <w:r>
        <w:rPr>
          <w:rFonts w:hint="eastAsia" w:ascii="宋体" w:hAnsi="宋体" w:cs="宋体"/>
          <w:sz w:val="22"/>
          <w:szCs w:val="22"/>
          <w:highlight w:val="none"/>
        </w:rPr>
        <w:t>合同期内造成事故，导致甲方遭受100万元及以上直接经济损失或造成负面舆情影响的。</w:t>
      </w:r>
    </w:p>
    <w:p w14:paraId="5C32045B">
      <w:pPr>
        <w:spacing w:line="440" w:lineRule="exact"/>
        <w:ind w:firstLine="440" w:firstLineChars="200"/>
        <w:jc w:val="left"/>
        <w:rPr>
          <w:rFonts w:ascii="宋体" w:hAnsi="宋体" w:cs="宋体"/>
          <w:sz w:val="22"/>
          <w:szCs w:val="22"/>
          <w:highlight w:val="none"/>
        </w:rPr>
      </w:pPr>
      <w:r>
        <w:rPr>
          <w:rFonts w:ascii="宋体" w:hAnsi="宋体" w:cs="宋体"/>
          <w:sz w:val="22"/>
          <w:szCs w:val="22"/>
          <w:highlight w:val="none"/>
        </w:rPr>
        <w:t>6.5</w:t>
      </w:r>
      <w:r>
        <w:rPr>
          <w:rFonts w:hint="eastAsia" w:ascii="宋体" w:hAnsi="宋体" w:cs="宋体"/>
          <w:sz w:val="22"/>
          <w:szCs w:val="22"/>
          <w:highlight w:val="none"/>
        </w:rPr>
        <w:t>提供虚假资质材料、业绩证明，骗取准入资格或合作机会的。</w:t>
      </w:r>
    </w:p>
    <w:p w14:paraId="42A11DD9">
      <w:pPr>
        <w:spacing w:line="440" w:lineRule="exact"/>
        <w:ind w:firstLine="440" w:firstLineChars="200"/>
        <w:jc w:val="left"/>
        <w:rPr>
          <w:rFonts w:ascii="宋体" w:hAnsi="宋体" w:cs="宋体"/>
          <w:sz w:val="22"/>
          <w:szCs w:val="22"/>
          <w:highlight w:val="none"/>
        </w:rPr>
      </w:pPr>
      <w:r>
        <w:rPr>
          <w:rFonts w:ascii="宋体" w:hAnsi="宋体" w:cs="宋体"/>
          <w:sz w:val="22"/>
          <w:szCs w:val="22"/>
          <w:highlight w:val="none"/>
        </w:rPr>
        <w:t>6.6</w:t>
      </w:r>
      <w:r>
        <w:rPr>
          <w:rFonts w:hint="eastAsia" w:ascii="宋体" w:hAnsi="宋体" w:cs="宋体"/>
          <w:sz w:val="22"/>
          <w:szCs w:val="22"/>
          <w:highlight w:val="none"/>
        </w:rPr>
        <w:t>未按合同要求缴纳相关履约保证金，或保证金被扣减后未在规定时限内补足的。</w:t>
      </w:r>
    </w:p>
    <w:p w14:paraId="7F61C80A">
      <w:pPr>
        <w:spacing w:line="440" w:lineRule="exact"/>
        <w:ind w:firstLine="440" w:firstLineChars="200"/>
        <w:jc w:val="left"/>
        <w:rPr>
          <w:rFonts w:ascii="宋体" w:hAnsi="宋体" w:cs="宋体"/>
          <w:sz w:val="22"/>
          <w:szCs w:val="22"/>
          <w:highlight w:val="none"/>
        </w:rPr>
      </w:pPr>
      <w:r>
        <w:rPr>
          <w:rFonts w:ascii="宋体" w:hAnsi="宋体" w:cs="宋体"/>
          <w:sz w:val="22"/>
          <w:szCs w:val="22"/>
          <w:highlight w:val="none"/>
        </w:rPr>
        <w:t>6.7</w:t>
      </w:r>
      <w:r>
        <w:rPr>
          <w:rFonts w:hint="eastAsia" w:ascii="宋体" w:hAnsi="宋体" w:cs="宋体"/>
          <w:sz w:val="22"/>
          <w:szCs w:val="22"/>
          <w:highlight w:val="none"/>
        </w:rPr>
        <w:t>违反外包合同及安全协议约定，擅自转包、分包外包业务的。</w:t>
      </w:r>
    </w:p>
    <w:p w14:paraId="1D0F71C4">
      <w:pPr>
        <w:spacing w:line="440" w:lineRule="exact"/>
        <w:ind w:firstLine="440" w:firstLineChars="200"/>
        <w:jc w:val="left"/>
        <w:rPr>
          <w:rFonts w:ascii="宋体" w:hAnsi="宋体" w:cs="宋体"/>
          <w:sz w:val="22"/>
          <w:szCs w:val="22"/>
          <w:highlight w:val="none"/>
        </w:rPr>
      </w:pPr>
      <w:r>
        <w:rPr>
          <w:rFonts w:ascii="宋体" w:hAnsi="宋体" w:cs="宋体"/>
          <w:sz w:val="22"/>
          <w:szCs w:val="22"/>
          <w:highlight w:val="none"/>
        </w:rPr>
        <w:t>6.8</w:t>
      </w:r>
      <w:r>
        <w:rPr>
          <w:rFonts w:hint="eastAsia" w:ascii="宋体" w:hAnsi="宋体" w:cs="宋体"/>
          <w:sz w:val="22"/>
          <w:szCs w:val="22"/>
          <w:highlight w:val="none"/>
        </w:rPr>
        <w:t>存在严重违法违规行为（如伪造设备检测报告），被行业主管部门列入失信名单的。</w:t>
      </w:r>
    </w:p>
    <w:p w14:paraId="1CFB21EA">
      <w:pPr>
        <w:spacing w:line="440" w:lineRule="exact"/>
        <w:ind w:firstLine="440" w:firstLineChars="200"/>
        <w:jc w:val="left"/>
        <w:rPr>
          <w:rFonts w:ascii="宋体" w:hAnsi="宋体" w:cs="宋体"/>
          <w:sz w:val="22"/>
          <w:szCs w:val="22"/>
          <w:highlight w:val="none"/>
        </w:rPr>
      </w:pPr>
      <w:r>
        <w:rPr>
          <w:rFonts w:ascii="宋体" w:hAnsi="宋体" w:cs="宋体"/>
          <w:sz w:val="22"/>
          <w:szCs w:val="22"/>
          <w:highlight w:val="none"/>
        </w:rPr>
        <w:t>6.9</w:t>
      </w:r>
      <w:r>
        <w:rPr>
          <w:rFonts w:hint="eastAsia" w:ascii="宋体" w:hAnsi="宋体" w:cs="宋体"/>
          <w:sz w:val="22"/>
          <w:szCs w:val="22"/>
          <w:highlight w:val="none"/>
        </w:rPr>
        <w:t>拒绝接受甲方安全监管的。</w:t>
      </w:r>
    </w:p>
    <w:p w14:paraId="684C6261">
      <w:pPr>
        <w:spacing w:line="440" w:lineRule="exact"/>
        <w:ind w:firstLine="440" w:firstLineChars="200"/>
        <w:jc w:val="left"/>
        <w:rPr>
          <w:rFonts w:ascii="宋体" w:hAnsi="宋体" w:cs="宋体"/>
          <w:sz w:val="22"/>
          <w:szCs w:val="22"/>
          <w:highlight w:val="none"/>
        </w:rPr>
      </w:pPr>
      <w:r>
        <w:rPr>
          <w:rFonts w:ascii="宋体" w:hAnsi="宋体" w:cs="宋体"/>
          <w:sz w:val="22"/>
          <w:szCs w:val="22"/>
          <w:highlight w:val="none"/>
        </w:rPr>
        <w:t>6.10</w:t>
      </w:r>
      <w:r>
        <w:rPr>
          <w:rFonts w:hint="eastAsia" w:ascii="宋体" w:hAnsi="宋体" w:cs="宋体"/>
          <w:sz w:val="22"/>
          <w:szCs w:val="22"/>
          <w:highlight w:val="none"/>
        </w:rPr>
        <w:t>无正当理由，隐患整改不及时或拒不整改的。</w:t>
      </w:r>
    </w:p>
    <w:p w14:paraId="41287DE2">
      <w:pPr>
        <w:spacing w:line="440" w:lineRule="exact"/>
        <w:ind w:firstLine="440" w:firstLineChars="200"/>
        <w:jc w:val="left"/>
        <w:rPr>
          <w:rFonts w:ascii="宋体" w:hAnsi="宋体" w:cs="宋体"/>
          <w:sz w:val="22"/>
          <w:szCs w:val="22"/>
          <w:highlight w:val="none"/>
        </w:rPr>
      </w:pPr>
      <w:r>
        <w:rPr>
          <w:rFonts w:ascii="宋体" w:hAnsi="宋体" w:cs="宋体"/>
          <w:sz w:val="22"/>
          <w:szCs w:val="22"/>
          <w:highlight w:val="none"/>
        </w:rPr>
        <w:t>6.11</w:t>
      </w:r>
      <w:r>
        <w:rPr>
          <w:rFonts w:hint="eastAsia" w:ascii="宋体" w:hAnsi="宋体" w:cs="宋体"/>
          <w:sz w:val="22"/>
          <w:szCs w:val="22"/>
          <w:highlight w:val="none"/>
        </w:rPr>
        <w:t>发生其他法定禁止行为的。</w:t>
      </w:r>
    </w:p>
    <w:p w14:paraId="434FA529">
      <w:pPr>
        <w:spacing w:line="440" w:lineRule="exact"/>
        <w:ind w:firstLine="440" w:firstLineChars="200"/>
        <w:rPr>
          <w:rFonts w:ascii="宋体" w:hAnsi="宋体" w:cs="宋体"/>
          <w:sz w:val="22"/>
          <w:szCs w:val="22"/>
          <w:highlight w:val="none"/>
        </w:rPr>
      </w:pPr>
      <w:r>
        <w:rPr>
          <w:rFonts w:ascii="宋体" w:hAnsi="宋体" w:cs="宋体"/>
          <w:sz w:val="22"/>
          <w:szCs w:val="22"/>
          <w:highlight w:val="none"/>
        </w:rPr>
        <w:t>7</w:t>
      </w:r>
      <w:r>
        <w:rPr>
          <w:rFonts w:hint="eastAsia" w:ascii="宋体" w:hAnsi="宋体" w:cs="宋体"/>
          <w:sz w:val="22"/>
          <w:szCs w:val="22"/>
          <w:highlight w:val="none"/>
        </w:rPr>
        <w:t>.黑名单管理</w:t>
      </w:r>
    </w:p>
    <w:p w14:paraId="4A76D5F3">
      <w:pPr>
        <w:spacing w:line="440" w:lineRule="exact"/>
        <w:ind w:firstLine="440" w:firstLineChars="200"/>
        <w:rPr>
          <w:rFonts w:ascii="宋体" w:hAnsi="宋体" w:cs="宋体"/>
          <w:sz w:val="22"/>
          <w:szCs w:val="22"/>
          <w:highlight w:val="none"/>
        </w:rPr>
      </w:pPr>
      <w:r>
        <w:rPr>
          <w:rFonts w:ascii="宋体" w:hAnsi="宋体" w:cs="宋体"/>
          <w:sz w:val="22"/>
          <w:szCs w:val="22"/>
          <w:highlight w:val="none"/>
        </w:rPr>
        <w:t>7</w:t>
      </w:r>
      <w:r>
        <w:rPr>
          <w:rFonts w:hint="eastAsia" w:ascii="宋体" w:hAnsi="宋体" w:cs="宋体"/>
          <w:sz w:val="22"/>
          <w:szCs w:val="22"/>
          <w:highlight w:val="none"/>
        </w:rPr>
        <w:t>.1被清退的乙方员工，自清退之日起5年内不得参与甲方任何业务外包工作。</w:t>
      </w:r>
    </w:p>
    <w:p w14:paraId="0DA4D7E8">
      <w:pPr>
        <w:spacing w:line="440" w:lineRule="exact"/>
        <w:ind w:firstLine="440" w:firstLineChars="200"/>
        <w:rPr>
          <w:rFonts w:ascii="宋体" w:hAnsi="宋体" w:cs="宋体"/>
          <w:sz w:val="22"/>
          <w:szCs w:val="22"/>
          <w:highlight w:val="none"/>
        </w:rPr>
      </w:pPr>
      <w:r>
        <w:rPr>
          <w:rFonts w:ascii="宋体" w:hAnsi="宋体" w:cs="宋体"/>
          <w:sz w:val="22"/>
          <w:szCs w:val="22"/>
          <w:highlight w:val="none"/>
        </w:rPr>
        <w:t>7</w:t>
      </w:r>
      <w:r>
        <w:rPr>
          <w:rFonts w:hint="eastAsia" w:ascii="宋体" w:hAnsi="宋体" w:cs="宋体"/>
          <w:sz w:val="22"/>
          <w:szCs w:val="22"/>
          <w:highlight w:val="none"/>
        </w:rPr>
        <w:t>.2被清退的乙方及其主要负责人以及实际控制人、安全负责人、安全管理人员，以及对生产安全责任事故负有责任的人员一并纳入黑名单，自清退之日起2年内不得参与甲方任何外包业务投标或合作。</w:t>
      </w:r>
    </w:p>
    <w:p w14:paraId="2AF81679">
      <w:pPr>
        <w:tabs>
          <w:tab w:val="left" w:pos="2160"/>
        </w:tabs>
        <w:spacing w:line="560" w:lineRule="exact"/>
        <w:ind w:firstLine="420"/>
        <w:rPr>
          <w:rFonts w:ascii="仿宋_GB2312" w:eastAsia="仿宋_GB2312"/>
          <w:b/>
          <w:sz w:val="24"/>
          <w:highlight w:val="none"/>
        </w:rPr>
      </w:pPr>
      <w:r>
        <w:rPr>
          <w:rFonts w:hint="eastAsia" w:ascii="仿宋_GB2312" w:eastAsia="仿宋_GB2312"/>
          <w:b/>
          <w:sz w:val="24"/>
          <w:highlight w:val="none"/>
        </w:rPr>
        <w:t>四、其他</w:t>
      </w:r>
    </w:p>
    <w:p w14:paraId="6471DB14">
      <w:pPr>
        <w:spacing w:line="440" w:lineRule="exact"/>
        <w:ind w:firstLine="440" w:firstLineChars="200"/>
        <w:rPr>
          <w:rFonts w:ascii="宋体" w:hAnsi="宋体" w:cs="宋体"/>
          <w:sz w:val="22"/>
          <w:szCs w:val="22"/>
          <w:highlight w:val="none"/>
        </w:rPr>
      </w:pPr>
      <w:r>
        <w:rPr>
          <w:rFonts w:hint="eastAsia" w:ascii="宋体" w:hAnsi="宋体" w:cs="宋体"/>
          <w:sz w:val="22"/>
          <w:szCs w:val="22"/>
          <w:highlight w:val="none"/>
        </w:rPr>
        <w:t>1.</w:t>
      </w:r>
      <w:r>
        <w:rPr>
          <w:rFonts w:ascii="宋体" w:hAnsi="宋体" w:cs="宋体"/>
          <w:sz w:val="22"/>
          <w:szCs w:val="22"/>
          <w:highlight w:val="none"/>
        </w:rPr>
        <w:t>对于因本协议产生的或与本协议相关的任何争议，协议当事方应当友好协商解决，也可以在第三方主持下调解解决，也可以将该争议提交甲方所在地法院通过诉讼解决，本约定如与法律规定的专门管辖或专属管辖相冲突的，应服从法律的规定。</w:t>
      </w:r>
    </w:p>
    <w:p w14:paraId="097B225A">
      <w:pPr>
        <w:spacing w:line="440" w:lineRule="exact"/>
        <w:ind w:firstLine="440" w:firstLineChars="200"/>
        <w:rPr>
          <w:rFonts w:ascii="宋体" w:hAnsi="宋体" w:cs="宋体"/>
          <w:sz w:val="22"/>
          <w:szCs w:val="22"/>
          <w:highlight w:val="none"/>
        </w:rPr>
      </w:pPr>
      <w:r>
        <w:rPr>
          <w:rFonts w:hint="eastAsia" w:ascii="宋体" w:hAnsi="宋体" w:cs="宋体"/>
          <w:sz w:val="22"/>
          <w:szCs w:val="22"/>
          <w:highlight w:val="none"/>
        </w:rPr>
        <w:t>2.</w:t>
      </w:r>
      <w:r>
        <w:rPr>
          <w:rFonts w:ascii="宋体" w:hAnsi="宋体" w:cs="宋体"/>
          <w:sz w:val="22"/>
          <w:szCs w:val="22"/>
          <w:highlight w:val="none"/>
        </w:rPr>
        <w:t>对于协议中未受争议问题影响的其他条款，在争议解决过程中，双方仍应按本协议约定履行。</w:t>
      </w:r>
    </w:p>
    <w:p w14:paraId="7BFBE986">
      <w:pPr>
        <w:spacing w:line="440" w:lineRule="exact"/>
        <w:ind w:firstLine="440" w:firstLineChars="200"/>
        <w:rPr>
          <w:rFonts w:ascii="宋体" w:hAnsi="宋体" w:cs="宋体"/>
          <w:sz w:val="22"/>
          <w:szCs w:val="22"/>
          <w:highlight w:val="none"/>
        </w:rPr>
      </w:pPr>
      <w:r>
        <w:rPr>
          <w:rFonts w:hint="eastAsia" w:ascii="宋体" w:hAnsi="宋体" w:cs="宋体"/>
          <w:sz w:val="22"/>
          <w:szCs w:val="22"/>
          <w:highlight w:val="none"/>
        </w:rPr>
        <w:t>3.</w:t>
      </w:r>
      <w:r>
        <w:rPr>
          <w:rFonts w:ascii="宋体" w:hAnsi="宋体" w:cs="宋体"/>
          <w:sz w:val="22"/>
          <w:szCs w:val="22"/>
          <w:highlight w:val="none"/>
        </w:rPr>
        <w:t>本协议自甲方、乙方签署之日起生效，协议份数与业务协议一致，协议期限与业务协议一致或</w:t>
      </w:r>
      <w:r>
        <w:rPr>
          <w:rFonts w:hint="eastAsia" w:ascii="宋体" w:hAnsi="宋体" w:cs="宋体"/>
          <w:sz w:val="22"/>
          <w:szCs w:val="22"/>
          <w:highlight w:val="none"/>
        </w:rPr>
        <w:t>至</w:t>
      </w:r>
      <w:r>
        <w:rPr>
          <w:rFonts w:ascii="宋体" w:hAnsi="宋体" w:cs="宋体"/>
          <w:sz w:val="22"/>
          <w:szCs w:val="22"/>
          <w:highlight w:val="none"/>
        </w:rPr>
        <w:t>下一次协议签订时止。如果由法定代表人签署的，应提供加盖单位印章的法定代表人身份证明，由法定代表人授权的人签署的，应提供法定代表人签署并加盖单位印章的授权委托书原件并同时提供法定代表人身份证明，法定代表人应与单位营业执照上法定代表人一致。</w:t>
      </w:r>
    </w:p>
    <w:p w14:paraId="5BC02BD3">
      <w:pPr>
        <w:spacing w:line="420" w:lineRule="exact"/>
        <w:rPr>
          <w:rFonts w:ascii="仿宋_GB2312" w:eastAsia="仿宋_GB2312"/>
          <w:sz w:val="24"/>
          <w:highlight w:val="none"/>
        </w:rPr>
      </w:pPr>
    </w:p>
    <w:p w14:paraId="6118A789">
      <w:pPr>
        <w:spacing w:line="420" w:lineRule="exact"/>
        <w:rPr>
          <w:rFonts w:ascii="宋体" w:hAnsi="宋体" w:cs="宋体"/>
          <w:sz w:val="22"/>
          <w:szCs w:val="22"/>
          <w:highlight w:val="none"/>
        </w:rPr>
      </w:pPr>
      <w:r>
        <w:rPr>
          <w:rFonts w:hint="eastAsia" w:ascii="宋体" w:hAnsi="宋体" w:cs="宋体"/>
          <w:sz w:val="22"/>
          <w:szCs w:val="22"/>
          <w:highlight w:val="none"/>
        </w:rPr>
        <w:t>甲方（盖章）：</w:t>
      </w:r>
      <w:r>
        <w:rPr>
          <w:rFonts w:hint="eastAsia" w:ascii="宋体" w:hAnsi="宋体" w:cs="宋体"/>
          <w:sz w:val="22"/>
          <w:szCs w:val="22"/>
          <w:highlight w:val="none"/>
        </w:rPr>
        <w:tab/>
      </w:r>
      <w:r>
        <w:rPr>
          <w:rFonts w:ascii="宋体" w:hAnsi="宋体" w:cs="宋体"/>
          <w:sz w:val="22"/>
          <w:szCs w:val="22"/>
          <w:highlight w:val="none"/>
        </w:rPr>
        <w:t xml:space="preserve">                         </w:t>
      </w:r>
      <w:r>
        <w:rPr>
          <w:rFonts w:hint="eastAsia" w:ascii="宋体" w:hAnsi="宋体" w:cs="宋体"/>
          <w:sz w:val="22"/>
          <w:szCs w:val="22"/>
          <w:highlight w:val="none"/>
        </w:rPr>
        <w:t xml:space="preserve">   乙方（盖章）：</w:t>
      </w:r>
    </w:p>
    <w:p w14:paraId="446984AA">
      <w:pPr>
        <w:spacing w:line="420" w:lineRule="exact"/>
        <w:rPr>
          <w:rFonts w:ascii="宋体" w:hAnsi="宋体" w:cs="宋体"/>
          <w:sz w:val="22"/>
          <w:szCs w:val="22"/>
          <w:highlight w:val="none"/>
        </w:rPr>
      </w:pPr>
    </w:p>
    <w:p w14:paraId="3A3AEC31">
      <w:pPr>
        <w:spacing w:line="420" w:lineRule="exact"/>
        <w:rPr>
          <w:rFonts w:ascii="宋体" w:hAnsi="宋体" w:cs="宋体"/>
          <w:sz w:val="22"/>
          <w:szCs w:val="22"/>
          <w:highlight w:val="none"/>
        </w:rPr>
      </w:pPr>
      <w:r>
        <w:rPr>
          <w:rFonts w:hint="eastAsia" w:ascii="宋体" w:hAnsi="宋体" w:cs="宋体"/>
          <w:sz w:val="22"/>
          <w:szCs w:val="22"/>
          <w:highlight w:val="none"/>
        </w:rPr>
        <w:t>代表人(签字或盖章)：</w:t>
      </w:r>
      <w:r>
        <w:rPr>
          <w:rFonts w:hint="eastAsia" w:ascii="宋体" w:hAnsi="宋体" w:cs="宋体"/>
          <w:sz w:val="22"/>
          <w:szCs w:val="22"/>
          <w:highlight w:val="none"/>
        </w:rPr>
        <w:tab/>
      </w:r>
      <w:r>
        <w:rPr>
          <w:rFonts w:hint="eastAsia" w:ascii="宋体" w:hAnsi="宋体" w:cs="宋体"/>
          <w:sz w:val="22"/>
          <w:szCs w:val="22"/>
          <w:highlight w:val="none"/>
        </w:rPr>
        <w:t xml:space="preserve">                     代表人(签字或盖章)：</w:t>
      </w:r>
    </w:p>
    <w:p w14:paraId="6DE5E969">
      <w:pPr>
        <w:spacing w:line="420" w:lineRule="exact"/>
        <w:rPr>
          <w:rFonts w:ascii="宋体" w:hAnsi="宋体" w:cs="宋体"/>
          <w:sz w:val="22"/>
          <w:szCs w:val="22"/>
          <w:highlight w:val="none"/>
        </w:rPr>
      </w:pPr>
    </w:p>
    <w:p w14:paraId="5CA4B456">
      <w:pPr>
        <w:spacing w:line="420" w:lineRule="exact"/>
        <w:rPr>
          <w:rFonts w:ascii="宋体" w:hAnsi="宋体" w:cs="宋体"/>
          <w:sz w:val="22"/>
          <w:szCs w:val="22"/>
          <w:highlight w:val="none"/>
        </w:rPr>
      </w:pPr>
      <w:r>
        <w:rPr>
          <w:rFonts w:hint="eastAsia" w:ascii="宋体" w:hAnsi="宋体" w:cs="宋体"/>
          <w:sz w:val="22"/>
          <w:szCs w:val="22"/>
          <w:highlight w:val="none"/>
        </w:rPr>
        <w:t xml:space="preserve">                                             签订日期：   年   月   日</w:t>
      </w:r>
    </w:p>
    <w:p w14:paraId="721F07AC">
      <w:pPr>
        <w:spacing w:line="520" w:lineRule="exact"/>
        <w:rPr>
          <w:rFonts w:ascii="宋体" w:hAnsi="宋体" w:cs="宋体"/>
          <w:sz w:val="28"/>
          <w:szCs w:val="28"/>
          <w:highlight w:val="none"/>
        </w:rPr>
      </w:pPr>
      <w:r>
        <w:rPr>
          <w:rFonts w:hint="eastAsia"/>
          <w:highlight w:val="none"/>
        </w:rPr>
        <w:br w:type="page"/>
      </w:r>
      <w:r>
        <w:rPr>
          <w:rFonts w:hint="eastAsia" w:ascii="宋体" w:hAnsi="宋体" w:cs="宋体"/>
          <w:b/>
          <w:bCs/>
          <w:sz w:val="28"/>
          <w:szCs w:val="28"/>
          <w:highlight w:val="none"/>
        </w:rPr>
        <w:t>附件4</w:t>
      </w:r>
    </w:p>
    <w:p w14:paraId="55DB78D9">
      <w:pPr>
        <w:spacing w:line="440" w:lineRule="exact"/>
        <w:jc w:val="center"/>
        <w:rPr>
          <w:rFonts w:ascii="宋体" w:hAnsi="宋体"/>
          <w:b/>
          <w:sz w:val="28"/>
          <w:szCs w:val="28"/>
          <w:highlight w:val="none"/>
        </w:rPr>
      </w:pPr>
      <w:r>
        <w:rPr>
          <w:rFonts w:hint="eastAsia" w:ascii="宋体" w:hAnsi="宋体"/>
          <w:b/>
          <w:sz w:val="28"/>
          <w:szCs w:val="28"/>
          <w:highlight w:val="none"/>
        </w:rPr>
        <w:t xml:space="preserve">消防安全管理协议书  </w:t>
      </w:r>
    </w:p>
    <w:p w14:paraId="49947EEA">
      <w:pPr>
        <w:spacing w:line="420" w:lineRule="exact"/>
        <w:rPr>
          <w:rFonts w:ascii="仿宋_GB2312" w:eastAsia="仿宋_GB2312"/>
          <w:sz w:val="24"/>
          <w:highlight w:val="none"/>
        </w:rPr>
      </w:pPr>
      <w:r>
        <w:rPr>
          <w:rFonts w:hint="eastAsia" w:ascii="仿宋_GB2312" w:eastAsia="仿宋_GB2312"/>
          <w:sz w:val="24"/>
          <w:highlight w:val="none"/>
        </w:rPr>
        <w:t>甲方：温州港集团有限公司龙湾港务分公司（以下简称甲方）</w:t>
      </w:r>
    </w:p>
    <w:p w14:paraId="08315991">
      <w:pPr>
        <w:spacing w:line="420" w:lineRule="exact"/>
        <w:rPr>
          <w:rFonts w:ascii="仿宋_GB2312" w:eastAsia="仿宋_GB2312"/>
          <w:sz w:val="24"/>
          <w:highlight w:val="none"/>
        </w:rPr>
      </w:pPr>
      <w:r>
        <w:rPr>
          <w:rFonts w:hint="eastAsia" w:ascii="仿宋_GB2312" w:eastAsia="仿宋_GB2312"/>
          <w:sz w:val="24"/>
          <w:highlight w:val="none"/>
        </w:rPr>
        <w:t>住所地：浙江省温州</w:t>
      </w:r>
      <w:r>
        <w:rPr>
          <w:rFonts w:ascii="仿宋_GB2312" w:eastAsia="仿宋_GB2312"/>
          <w:sz w:val="24"/>
          <w:highlight w:val="none"/>
        </w:rPr>
        <w:t>市龙湾区机场大道万吨码头</w:t>
      </w:r>
    </w:p>
    <w:p w14:paraId="53F63650">
      <w:pPr>
        <w:spacing w:line="420" w:lineRule="exact"/>
        <w:rPr>
          <w:rFonts w:ascii="仿宋_GB2312" w:eastAsia="仿宋_GB2312"/>
          <w:sz w:val="24"/>
          <w:highlight w:val="none"/>
        </w:rPr>
      </w:pPr>
      <w:r>
        <w:rPr>
          <w:rFonts w:hint="eastAsia" w:ascii="仿宋_GB2312" w:eastAsia="仿宋_GB2312"/>
          <w:sz w:val="24"/>
          <w:highlight w:val="none"/>
        </w:rPr>
        <w:t xml:space="preserve">联系人：      </w:t>
      </w:r>
      <w:r>
        <w:rPr>
          <w:rFonts w:ascii="仿宋_GB2312" w:eastAsia="仿宋_GB2312"/>
          <w:sz w:val="24"/>
          <w:highlight w:val="none"/>
        </w:rPr>
        <w:t xml:space="preserve">   </w:t>
      </w:r>
      <w:r>
        <w:rPr>
          <w:rFonts w:hint="eastAsia" w:ascii="仿宋_GB2312" w:eastAsia="仿宋_GB2312"/>
          <w:sz w:val="24"/>
          <w:highlight w:val="none"/>
        </w:rPr>
        <w:t>电话：</w:t>
      </w:r>
      <w:r>
        <w:rPr>
          <w:rFonts w:ascii="仿宋_GB2312" w:eastAsia="仿宋_GB2312"/>
          <w:sz w:val="24"/>
          <w:highlight w:val="none"/>
        </w:rPr>
        <w:t xml:space="preserve">   </w:t>
      </w:r>
      <w:r>
        <w:rPr>
          <w:rFonts w:hint="eastAsia" w:ascii="仿宋_GB2312" w:eastAsia="仿宋_GB2312"/>
          <w:sz w:val="24"/>
          <w:highlight w:val="none"/>
        </w:rPr>
        <w:t xml:space="preserve"> </w:t>
      </w:r>
      <w:r>
        <w:rPr>
          <w:rFonts w:ascii="仿宋_GB2312" w:eastAsia="仿宋_GB2312"/>
          <w:sz w:val="24"/>
          <w:highlight w:val="none"/>
        </w:rPr>
        <w:t xml:space="preserve">    </w:t>
      </w:r>
    </w:p>
    <w:p w14:paraId="31CCD760">
      <w:pPr>
        <w:spacing w:line="420" w:lineRule="exact"/>
        <w:ind w:firstLine="480" w:firstLineChars="200"/>
        <w:rPr>
          <w:rFonts w:ascii="仿宋_GB2312" w:eastAsia="仿宋_GB2312"/>
          <w:sz w:val="24"/>
          <w:highlight w:val="none"/>
        </w:rPr>
      </w:pPr>
    </w:p>
    <w:p w14:paraId="678ECDDD">
      <w:pPr>
        <w:spacing w:line="420" w:lineRule="exact"/>
        <w:rPr>
          <w:rFonts w:ascii="仿宋_GB2312" w:eastAsia="仿宋_GB2312"/>
          <w:sz w:val="24"/>
          <w:highlight w:val="none"/>
        </w:rPr>
      </w:pPr>
      <w:r>
        <w:rPr>
          <w:rFonts w:hint="eastAsia" w:ascii="仿宋_GB2312" w:eastAsia="仿宋_GB2312"/>
          <w:sz w:val="24"/>
          <w:highlight w:val="none"/>
        </w:rPr>
        <w:t>乙方：</w:t>
      </w:r>
      <w:r>
        <w:rPr>
          <w:rFonts w:ascii="仿宋_GB2312" w:eastAsia="仿宋_GB2312"/>
          <w:sz w:val="24"/>
          <w:highlight w:val="none"/>
        </w:rPr>
        <w:t xml:space="preserve"> </w:t>
      </w:r>
    </w:p>
    <w:p w14:paraId="68704F67">
      <w:pPr>
        <w:spacing w:line="420" w:lineRule="exact"/>
        <w:rPr>
          <w:rFonts w:ascii="仿宋_GB2312" w:eastAsia="仿宋_GB2312"/>
          <w:sz w:val="24"/>
          <w:highlight w:val="none"/>
        </w:rPr>
      </w:pPr>
      <w:r>
        <w:rPr>
          <w:rFonts w:hint="eastAsia" w:ascii="仿宋_GB2312" w:eastAsia="仿宋_GB2312"/>
          <w:sz w:val="24"/>
          <w:highlight w:val="none"/>
        </w:rPr>
        <w:t>住所地：</w:t>
      </w:r>
      <w:r>
        <w:rPr>
          <w:rFonts w:ascii="仿宋_GB2312" w:eastAsia="仿宋_GB2312"/>
          <w:sz w:val="24"/>
          <w:highlight w:val="none"/>
        </w:rPr>
        <w:t xml:space="preserve"> </w:t>
      </w:r>
    </w:p>
    <w:p w14:paraId="6D6403CB">
      <w:pPr>
        <w:spacing w:line="420" w:lineRule="exact"/>
        <w:rPr>
          <w:rFonts w:ascii="仿宋_GB2312" w:eastAsia="仿宋_GB2312"/>
          <w:sz w:val="24"/>
          <w:highlight w:val="none"/>
        </w:rPr>
      </w:pPr>
      <w:r>
        <w:rPr>
          <w:rFonts w:hint="eastAsia" w:ascii="仿宋_GB2312" w:eastAsia="仿宋_GB2312"/>
          <w:sz w:val="24"/>
          <w:highlight w:val="none"/>
        </w:rPr>
        <w:t xml:space="preserve">联系人： </w:t>
      </w:r>
      <w:r>
        <w:rPr>
          <w:rFonts w:ascii="仿宋_GB2312" w:eastAsia="仿宋_GB2312"/>
          <w:sz w:val="24"/>
          <w:highlight w:val="none"/>
        </w:rPr>
        <w:t xml:space="preserve">    </w:t>
      </w:r>
      <w:r>
        <w:rPr>
          <w:rFonts w:hint="eastAsia" w:ascii="仿宋_GB2312" w:eastAsia="仿宋_GB2312"/>
          <w:sz w:val="24"/>
          <w:highlight w:val="none"/>
        </w:rPr>
        <w:t xml:space="preserve">    </w:t>
      </w:r>
      <w:r>
        <w:rPr>
          <w:rFonts w:ascii="仿宋_GB2312" w:eastAsia="仿宋_GB2312"/>
          <w:sz w:val="24"/>
          <w:highlight w:val="none"/>
        </w:rPr>
        <w:t xml:space="preserve"> </w:t>
      </w:r>
      <w:r>
        <w:rPr>
          <w:rFonts w:hint="eastAsia" w:ascii="仿宋_GB2312" w:eastAsia="仿宋_GB2312"/>
          <w:sz w:val="24"/>
          <w:highlight w:val="none"/>
        </w:rPr>
        <w:t xml:space="preserve"> 电话：</w:t>
      </w:r>
      <w:r>
        <w:rPr>
          <w:rFonts w:ascii="仿宋_GB2312" w:eastAsia="仿宋_GB2312"/>
          <w:sz w:val="24"/>
          <w:highlight w:val="none"/>
        </w:rPr>
        <w:t xml:space="preserve">      </w:t>
      </w:r>
      <w:r>
        <w:rPr>
          <w:rFonts w:hint="eastAsia" w:ascii="仿宋_GB2312" w:eastAsia="仿宋_GB2312"/>
          <w:sz w:val="24"/>
          <w:highlight w:val="none"/>
        </w:rPr>
        <w:t xml:space="preserve"> </w:t>
      </w:r>
    </w:p>
    <w:p w14:paraId="6154B811">
      <w:pPr>
        <w:spacing w:line="400" w:lineRule="exact"/>
        <w:ind w:firstLine="480" w:firstLineChars="200"/>
        <w:rPr>
          <w:rFonts w:ascii="仿宋_GB2312" w:eastAsia="仿宋_GB2312"/>
          <w:sz w:val="24"/>
          <w:highlight w:val="none"/>
        </w:rPr>
      </w:pPr>
      <w:r>
        <w:rPr>
          <w:rFonts w:hint="eastAsia" w:ascii="仿宋_GB2312" w:eastAsia="仿宋_GB2312"/>
          <w:sz w:val="24"/>
          <w:highlight w:val="none"/>
        </w:rPr>
        <w:t>为了贯彻落实《中华人民共和国消防法》和《机关、团体、企业、事业单位消防安全管理规定》的精神，进一步加强港区消防安全管理，保障人的生命和财产安全。结合港区实际，经甲、乙双方协商一致，特签订消防安全责任如下：</w:t>
      </w:r>
    </w:p>
    <w:p w14:paraId="6A4905E8">
      <w:pPr>
        <w:spacing w:line="400" w:lineRule="exact"/>
        <w:ind w:firstLine="480" w:firstLineChars="200"/>
        <w:rPr>
          <w:rFonts w:ascii="仿宋_GB2312" w:eastAsia="仿宋_GB2312"/>
          <w:sz w:val="24"/>
          <w:highlight w:val="none"/>
        </w:rPr>
      </w:pPr>
      <w:r>
        <w:rPr>
          <w:rFonts w:hint="eastAsia" w:ascii="仿宋_GB2312" w:eastAsia="仿宋_GB2312"/>
          <w:sz w:val="24"/>
          <w:highlight w:val="none"/>
        </w:rPr>
        <w:t xml:space="preserve">一、甲方职责： </w:t>
      </w:r>
    </w:p>
    <w:p w14:paraId="6A87B6D6">
      <w:pPr>
        <w:spacing w:line="400" w:lineRule="exact"/>
        <w:ind w:firstLine="480" w:firstLineChars="200"/>
        <w:rPr>
          <w:rFonts w:ascii="仿宋_GB2312" w:eastAsia="仿宋_GB2312"/>
          <w:sz w:val="24"/>
          <w:highlight w:val="none"/>
        </w:rPr>
      </w:pPr>
      <w:r>
        <w:rPr>
          <w:rFonts w:hint="eastAsia" w:ascii="仿宋_GB2312" w:eastAsia="仿宋_GB2312"/>
          <w:sz w:val="24"/>
          <w:highlight w:val="none"/>
        </w:rPr>
        <w:t>甲方有权对乙方进行消防安全督查。在督查中，发现乙方违反有关消防法律法规的行为或存在火灾隐患，甲方有权提出整改意见并督促乙方直至整改完毕。</w:t>
      </w:r>
    </w:p>
    <w:p w14:paraId="5B4B3E92">
      <w:pPr>
        <w:spacing w:line="400" w:lineRule="exact"/>
        <w:ind w:firstLine="480" w:firstLineChars="200"/>
        <w:rPr>
          <w:rFonts w:ascii="仿宋_GB2312" w:eastAsia="仿宋_GB2312"/>
          <w:sz w:val="24"/>
          <w:highlight w:val="none"/>
        </w:rPr>
      </w:pPr>
      <w:r>
        <w:rPr>
          <w:rFonts w:hint="eastAsia" w:ascii="仿宋_GB2312" w:eastAsia="仿宋_GB2312"/>
          <w:sz w:val="24"/>
          <w:highlight w:val="none"/>
        </w:rPr>
        <w:t>二、乙方职责：</w:t>
      </w:r>
    </w:p>
    <w:p w14:paraId="1EFF55B7">
      <w:pPr>
        <w:spacing w:line="400" w:lineRule="exact"/>
        <w:ind w:firstLine="480" w:firstLineChars="200"/>
        <w:rPr>
          <w:rFonts w:ascii="仿宋_GB2312" w:eastAsia="仿宋_GB2312"/>
          <w:sz w:val="24"/>
          <w:highlight w:val="none"/>
        </w:rPr>
      </w:pPr>
      <w:r>
        <w:rPr>
          <w:rFonts w:hint="eastAsia" w:ascii="仿宋_GB2312" w:eastAsia="仿宋_GB2312"/>
          <w:sz w:val="24"/>
          <w:highlight w:val="none"/>
        </w:rPr>
        <w:t>1.认真学习、贯彻、执行《中华人民共和国消防法》和其他消防法规。根据国家《建筑灭火器配置设计规范》的要求，配置符合规范的轻便灭火器材。建立健全承租区域生产经营(生活)范围内的消防安全制度和措施，明确各级消防责任人，确定消防设施设备、器材检查人，乙方的各级消防责任人与检查人需报甲方备案。</w:t>
      </w:r>
    </w:p>
    <w:p w14:paraId="70A3BDA2">
      <w:pPr>
        <w:spacing w:line="400" w:lineRule="exact"/>
        <w:ind w:firstLine="480" w:firstLineChars="200"/>
        <w:rPr>
          <w:rFonts w:ascii="仿宋_GB2312" w:eastAsia="仿宋_GB2312"/>
          <w:sz w:val="24"/>
          <w:highlight w:val="none"/>
        </w:rPr>
      </w:pPr>
      <w:r>
        <w:rPr>
          <w:rFonts w:hint="eastAsia" w:ascii="仿宋_GB2312" w:eastAsia="仿宋_GB2312"/>
          <w:sz w:val="24"/>
          <w:highlight w:val="none"/>
        </w:rPr>
        <w:t>2.乙方应对其员工进行消防安全宣传教育，督促员工遵守消防法律法规和甲方的消防制度，组织员工参加各项消防培训及演练，使每位员工都会使用消防器材，知晓火警电话“119”、报警流程等消防安全知识。</w:t>
      </w:r>
    </w:p>
    <w:p w14:paraId="74C2FD54">
      <w:pPr>
        <w:spacing w:line="400" w:lineRule="exact"/>
        <w:ind w:firstLine="480" w:firstLineChars="200"/>
        <w:rPr>
          <w:rFonts w:ascii="仿宋_GB2312" w:eastAsia="仿宋_GB2312"/>
          <w:sz w:val="24"/>
          <w:highlight w:val="none"/>
        </w:rPr>
      </w:pPr>
      <w:r>
        <w:rPr>
          <w:rFonts w:hint="eastAsia" w:ascii="仿宋_GB2312" w:eastAsia="仿宋_GB2312"/>
          <w:sz w:val="24"/>
          <w:highlight w:val="none"/>
        </w:rPr>
        <w:t>3.组织责任区内消防检查，做好检查记录，及时消除各类消防隐患。</w:t>
      </w:r>
    </w:p>
    <w:p w14:paraId="59CA3B2C">
      <w:pPr>
        <w:spacing w:line="400" w:lineRule="exact"/>
        <w:ind w:firstLine="480" w:firstLineChars="200"/>
        <w:rPr>
          <w:rFonts w:ascii="仿宋_GB2312" w:eastAsia="仿宋_GB2312"/>
          <w:sz w:val="24"/>
          <w:highlight w:val="none"/>
        </w:rPr>
      </w:pPr>
      <w:r>
        <w:rPr>
          <w:rFonts w:hint="eastAsia" w:ascii="仿宋_GB2312" w:eastAsia="仿宋_GB2312"/>
          <w:sz w:val="24"/>
          <w:highlight w:val="none"/>
        </w:rPr>
        <w:t>4.积极支持、配合甲方的消防工作，自觉接受甲方的消防安全督查，积极主动落实被查出的隐患整改。</w:t>
      </w:r>
    </w:p>
    <w:p w14:paraId="4038FFA5">
      <w:pPr>
        <w:spacing w:line="400" w:lineRule="exact"/>
        <w:ind w:firstLine="480" w:firstLineChars="200"/>
        <w:rPr>
          <w:rFonts w:ascii="仿宋_GB2312" w:eastAsia="仿宋_GB2312"/>
          <w:sz w:val="24"/>
          <w:highlight w:val="none"/>
        </w:rPr>
      </w:pPr>
      <w:r>
        <w:rPr>
          <w:rFonts w:hint="eastAsia" w:ascii="仿宋_GB2312" w:eastAsia="仿宋_GB2312"/>
          <w:sz w:val="24"/>
          <w:highlight w:val="none"/>
        </w:rPr>
        <w:t>5.妥善保管责任区内各类消防器材，一经使用应及时补充完善，确保消防器材处于良好状态。</w:t>
      </w:r>
    </w:p>
    <w:p w14:paraId="7B7E5628">
      <w:pPr>
        <w:spacing w:line="400" w:lineRule="exact"/>
        <w:ind w:firstLine="480" w:firstLineChars="200"/>
        <w:rPr>
          <w:rFonts w:ascii="仿宋_GB2312" w:eastAsia="仿宋_GB2312"/>
          <w:sz w:val="24"/>
          <w:highlight w:val="none"/>
        </w:rPr>
      </w:pPr>
      <w:r>
        <w:rPr>
          <w:rFonts w:hint="eastAsia" w:ascii="仿宋_GB2312" w:eastAsia="仿宋_GB2312"/>
          <w:sz w:val="24"/>
          <w:highlight w:val="none"/>
        </w:rPr>
        <w:t>6.港区内甲方的消防设施（设备）、消防器材，未经甲方书面许可，任何人不得擅自动用和挪作他用，损坏按价赔偿。</w:t>
      </w:r>
    </w:p>
    <w:p w14:paraId="4A7D5A0E">
      <w:pPr>
        <w:spacing w:line="400" w:lineRule="exact"/>
        <w:ind w:firstLine="480" w:firstLineChars="200"/>
        <w:rPr>
          <w:rFonts w:ascii="仿宋_GB2312" w:eastAsia="仿宋_GB2312"/>
          <w:sz w:val="24"/>
          <w:highlight w:val="none"/>
        </w:rPr>
      </w:pPr>
      <w:r>
        <w:rPr>
          <w:rFonts w:hint="eastAsia" w:ascii="仿宋_GB2312" w:eastAsia="仿宋_GB2312"/>
          <w:sz w:val="24"/>
          <w:highlight w:val="none"/>
        </w:rPr>
        <w:t>7.除指定地点外，乙方任何人员不得在港区内吸烟，不得在港区内燃放烟花爆竹，不得私自动用各类明火，乙方需要动用明火（电、气焊割等），必须事先向甲方安全管理部办理审批手续，得到相关方许可后才可动火作业。</w:t>
      </w:r>
    </w:p>
    <w:p w14:paraId="1E70DE28">
      <w:pPr>
        <w:spacing w:line="400" w:lineRule="exact"/>
        <w:ind w:firstLine="480" w:firstLineChars="200"/>
        <w:rPr>
          <w:rFonts w:ascii="仿宋_GB2312" w:eastAsia="仿宋_GB2312"/>
          <w:sz w:val="24"/>
          <w:highlight w:val="none"/>
        </w:rPr>
      </w:pPr>
      <w:r>
        <w:rPr>
          <w:rFonts w:hint="eastAsia" w:ascii="仿宋_GB2312" w:eastAsia="仿宋_GB2312"/>
          <w:sz w:val="24"/>
          <w:highlight w:val="none"/>
        </w:rPr>
        <w:t>8.仓库、职工宿舍及办公房内不准使用液化气炉及电暖气、电炉、电饭锅等用电设备，不准超负荷用电，不准擅自乱拉电线。</w:t>
      </w:r>
    </w:p>
    <w:p w14:paraId="373E4379">
      <w:pPr>
        <w:spacing w:line="400" w:lineRule="exact"/>
        <w:ind w:firstLine="480" w:firstLineChars="200"/>
        <w:rPr>
          <w:rFonts w:ascii="仿宋_GB2312" w:eastAsia="仿宋_GB2312"/>
          <w:sz w:val="24"/>
          <w:highlight w:val="none"/>
        </w:rPr>
      </w:pPr>
      <w:r>
        <w:rPr>
          <w:rFonts w:hint="eastAsia" w:ascii="仿宋_GB2312" w:eastAsia="仿宋_GB2312"/>
          <w:sz w:val="24"/>
          <w:highlight w:val="none"/>
        </w:rPr>
        <w:t>9.不得在仓库、职工宿舍及办公房内等区域存放易燃、易爆等危险品。</w:t>
      </w:r>
    </w:p>
    <w:p w14:paraId="06B0D295">
      <w:pPr>
        <w:spacing w:line="400" w:lineRule="exact"/>
        <w:ind w:firstLine="482" w:firstLineChars="200"/>
        <w:rPr>
          <w:rFonts w:ascii="仿宋_GB2312" w:eastAsia="仿宋_GB2312"/>
          <w:b/>
          <w:sz w:val="24"/>
          <w:highlight w:val="none"/>
        </w:rPr>
      </w:pPr>
      <w:r>
        <w:rPr>
          <w:rFonts w:hint="eastAsia" w:ascii="仿宋_GB2312" w:eastAsia="仿宋_GB2312"/>
          <w:b/>
          <w:sz w:val="24"/>
          <w:highlight w:val="none"/>
        </w:rPr>
        <w:t>10.乙方违反本协议第7、8、9条约定且拒不整改的，甲方有权提前单方解除本协议和双方业务合同，由此造成甲方或第三方的财产损失或人身损害的，乙方需承担全部赔偿责任。</w:t>
      </w:r>
    </w:p>
    <w:p w14:paraId="59870709">
      <w:pPr>
        <w:spacing w:line="400" w:lineRule="exact"/>
        <w:ind w:firstLine="480" w:firstLineChars="200"/>
        <w:rPr>
          <w:rFonts w:ascii="仿宋_GB2312" w:eastAsia="仿宋_GB2312"/>
          <w:sz w:val="24"/>
          <w:highlight w:val="none"/>
        </w:rPr>
      </w:pPr>
      <w:r>
        <w:rPr>
          <w:rFonts w:hint="eastAsia" w:ascii="仿宋_GB2312" w:eastAsia="仿宋_GB2312"/>
          <w:sz w:val="24"/>
          <w:highlight w:val="none"/>
        </w:rPr>
        <w:t>三、本协议履行期限与业务（租赁）期限保持一致且在主合同及本协议项下的义务全部履行完毕、乙方的设备、人员全部退出港区后终止。</w:t>
      </w:r>
    </w:p>
    <w:p w14:paraId="41D29ED4">
      <w:pPr>
        <w:spacing w:line="400" w:lineRule="exact"/>
        <w:ind w:firstLine="480" w:firstLineChars="200"/>
        <w:rPr>
          <w:rFonts w:ascii="仿宋_GB2312" w:eastAsia="仿宋_GB2312"/>
          <w:sz w:val="24"/>
          <w:highlight w:val="none"/>
        </w:rPr>
      </w:pPr>
      <w:r>
        <w:rPr>
          <w:rFonts w:hint="eastAsia" w:ascii="仿宋_GB2312" w:eastAsia="仿宋_GB2312"/>
          <w:sz w:val="24"/>
          <w:highlight w:val="none"/>
        </w:rPr>
        <w:t>四、乙方签字代表为乙方连带责任保证人，自愿对本协议项下乙方义务承担连带保证责任。</w:t>
      </w:r>
    </w:p>
    <w:p w14:paraId="1DC2956E">
      <w:pPr>
        <w:spacing w:line="400" w:lineRule="exact"/>
        <w:ind w:firstLine="480" w:firstLineChars="200"/>
        <w:rPr>
          <w:rFonts w:ascii="仿宋_GB2312" w:eastAsia="仿宋_GB2312"/>
          <w:sz w:val="24"/>
          <w:highlight w:val="none"/>
        </w:rPr>
      </w:pPr>
      <w:r>
        <w:rPr>
          <w:rFonts w:hint="eastAsia" w:ascii="仿宋_GB2312" w:eastAsia="仿宋_GB2312"/>
          <w:sz w:val="24"/>
          <w:highlight w:val="none"/>
        </w:rPr>
        <w:t>五、协议书壹式肆份，甲、乙双方各执贰份，具有同等法律效力，自双方签字盖章后生效。</w:t>
      </w:r>
    </w:p>
    <w:p w14:paraId="5D17DC6A">
      <w:pPr>
        <w:spacing w:line="400" w:lineRule="exact"/>
        <w:ind w:firstLine="480" w:firstLineChars="200"/>
        <w:rPr>
          <w:rFonts w:ascii="仿宋_GB2312" w:eastAsia="仿宋_GB2312"/>
          <w:sz w:val="24"/>
          <w:highlight w:val="none"/>
        </w:rPr>
      </w:pPr>
      <w:r>
        <w:rPr>
          <w:rFonts w:hint="eastAsia" w:ascii="仿宋_GB2312" w:eastAsia="仿宋_GB2312"/>
          <w:sz w:val="24"/>
          <w:highlight w:val="none"/>
        </w:rPr>
        <w:t>六、协议履行过程中发生的一切争议或纠纷，甲乙双方应友好协商解决；协商不成的，任何一方有权向甲方所在地人民法院提起诉讼解决。</w:t>
      </w:r>
    </w:p>
    <w:p w14:paraId="485B6028">
      <w:pPr>
        <w:spacing w:line="400" w:lineRule="exact"/>
        <w:ind w:firstLine="480" w:firstLineChars="200"/>
        <w:rPr>
          <w:rFonts w:ascii="仿宋_GB2312" w:eastAsia="仿宋_GB2312"/>
          <w:sz w:val="24"/>
          <w:highlight w:val="none"/>
        </w:rPr>
      </w:pPr>
    </w:p>
    <w:p w14:paraId="0013EADC">
      <w:pPr>
        <w:spacing w:line="400" w:lineRule="exact"/>
        <w:rPr>
          <w:rFonts w:ascii="仿宋_GB2312" w:eastAsia="仿宋_GB2312"/>
          <w:szCs w:val="21"/>
          <w:highlight w:val="none"/>
        </w:rPr>
      </w:pPr>
    </w:p>
    <w:p w14:paraId="29248095">
      <w:pPr>
        <w:spacing w:line="420" w:lineRule="exact"/>
        <w:rPr>
          <w:rFonts w:ascii="仿宋_GB2312" w:eastAsia="仿宋_GB2312"/>
          <w:szCs w:val="21"/>
          <w:highlight w:val="none"/>
        </w:rPr>
      </w:pPr>
      <w:r>
        <w:rPr>
          <w:rFonts w:hint="eastAsia" w:ascii="仿宋_GB2312" w:eastAsia="仿宋_GB2312"/>
          <w:sz w:val="24"/>
          <w:highlight w:val="none"/>
        </w:rPr>
        <w:t>甲方（盖章）：</w:t>
      </w:r>
      <w:r>
        <w:rPr>
          <w:rFonts w:hint="eastAsia" w:ascii="仿宋_GB2312" w:eastAsia="仿宋_GB2312"/>
          <w:sz w:val="24"/>
          <w:highlight w:val="none"/>
        </w:rPr>
        <w:tab/>
      </w:r>
      <w:r>
        <w:rPr>
          <w:rFonts w:hint="eastAsia" w:ascii="仿宋_GB2312" w:eastAsia="仿宋_GB2312"/>
          <w:sz w:val="24"/>
          <w:highlight w:val="none"/>
        </w:rPr>
        <w:t xml:space="preserve"> </w:t>
      </w:r>
      <w:r>
        <w:rPr>
          <w:rFonts w:hint="eastAsia" w:ascii="仿宋_GB2312" w:eastAsia="仿宋_GB2312"/>
          <w:szCs w:val="21"/>
          <w:highlight w:val="none"/>
        </w:rPr>
        <w:t xml:space="preserve">   </w:t>
      </w:r>
      <w:r>
        <w:rPr>
          <w:rFonts w:ascii="仿宋_GB2312" w:eastAsia="仿宋_GB2312"/>
          <w:szCs w:val="21"/>
          <w:highlight w:val="none"/>
        </w:rPr>
        <w:t xml:space="preserve">                               </w:t>
      </w:r>
      <w:r>
        <w:rPr>
          <w:rFonts w:hint="eastAsia" w:ascii="仿宋_GB2312" w:eastAsia="仿宋_GB2312"/>
          <w:szCs w:val="21"/>
          <w:highlight w:val="none"/>
        </w:rPr>
        <w:t xml:space="preserve"> 乙方</w:t>
      </w:r>
      <w:r>
        <w:rPr>
          <w:rFonts w:hint="eastAsia" w:ascii="仿宋_GB2312" w:eastAsia="仿宋_GB2312"/>
          <w:sz w:val="24"/>
          <w:highlight w:val="none"/>
        </w:rPr>
        <w:t>（盖章）</w:t>
      </w:r>
      <w:r>
        <w:rPr>
          <w:rFonts w:hint="eastAsia" w:ascii="仿宋_GB2312" w:eastAsia="仿宋_GB2312"/>
          <w:szCs w:val="21"/>
          <w:highlight w:val="none"/>
        </w:rPr>
        <w:t>：</w:t>
      </w:r>
    </w:p>
    <w:p w14:paraId="09EF79A9">
      <w:pPr>
        <w:spacing w:line="420" w:lineRule="exact"/>
        <w:rPr>
          <w:rFonts w:ascii="仿宋_GB2312" w:eastAsia="仿宋_GB2312"/>
          <w:sz w:val="24"/>
          <w:highlight w:val="none"/>
        </w:rPr>
      </w:pPr>
    </w:p>
    <w:p w14:paraId="045D0ED2">
      <w:pPr>
        <w:spacing w:line="400" w:lineRule="exact"/>
        <w:rPr>
          <w:rFonts w:ascii="仿宋_GB2312" w:eastAsia="仿宋_GB2312"/>
          <w:sz w:val="24"/>
          <w:highlight w:val="none"/>
        </w:rPr>
      </w:pPr>
      <w:r>
        <w:rPr>
          <w:rFonts w:hint="eastAsia" w:ascii="仿宋_GB2312" w:eastAsia="仿宋_GB2312"/>
          <w:sz w:val="24"/>
          <w:highlight w:val="none"/>
        </w:rPr>
        <w:t>代表人（签字或盖章）：</w:t>
      </w:r>
      <w:r>
        <w:rPr>
          <w:rFonts w:hint="eastAsia" w:ascii="仿宋_GB2312" w:eastAsia="仿宋_GB2312"/>
          <w:sz w:val="24"/>
          <w:highlight w:val="none"/>
        </w:rPr>
        <w:tab/>
      </w:r>
      <w:r>
        <w:rPr>
          <w:rFonts w:hint="eastAsia" w:ascii="仿宋_GB2312" w:eastAsia="仿宋_GB2312"/>
          <w:sz w:val="24"/>
          <w:highlight w:val="none"/>
        </w:rPr>
        <w:t xml:space="preserve">                     代表人（签字或盖章）： </w:t>
      </w:r>
    </w:p>
    <w:p w14:paraId="20D1DA13">
      <w:pPr>
        <w:spacing w:line="400" w:lineRule="exact"/>
        <w:ind w:firstLine="480" w:firstLineChars="200"/>
        <w:rPr>
          <w:rFonts w:ascii="仿宋_GB2312" w:eastAsia="仿宋_GB2312"/>
          <w:sz w:val="24"/>
          <w:highlight w:val="none"/>
        </w:rPr>
      </w:pPr>
      <w:r>
        <w:rPr>
          <w:rFonts w:hint="eastAsia" w:ascii="仿宋_GB2312" w:eastAsia="仿宋_GB2312"/>
          <w:sz w:val="24"/>
          <w:highlight w:val="none"/>
        </w:rPr>
        <w:t xml:space="preserve"> </w:t>
      </w:r>
    </w:p>
    <w:p w14:paraId="53D38495">
      <w:pPr>
        <w:spacing w:line="420" w:lineRule="exact"/>
        <w:ind w:firstLine="3840" w:firstLineChars="1600"/>
        <w:rPr>
          <w:rFonts w:ascii="仿宋_GB2312" w:eastAsia="仿宋_GB2312"/>
          <w:sz w:val="24"/>
          <w:highlight w:val="none"/>
        </w:rPr>
      </w:pPr>
      <w:r>
        <w:rPr>
          <w:rFonts w:hint="eastAsia" w:ascii="仿宋_GB2312" w:eastAsia="仿宋_GB2312"/>
          <w:sz w:val="24"/>
          <w:highlight w:val="none"/>
        </w:rPr>
        <w:t xml:space="preserve">               签订日期：   年   月   日</w:t>
      </w:r>
    </w:p>
    <w:p w14:paraId="09992DDF">
      <w:pPr>
        <w:rPr>
          <w:highlight w:val="none"/>
        </w:rPr>
      </w:pPr>
      <w:r>
        <w:rPr>
          <w:rFonts w:hint="eastAsia"/>
          <w:highlight w:val="none"/>
        </w:rPr>
        <w:br w:type="page"/>
      </w:r>
    </w:p>
    <w:p w14:paraId="2469A7BA">
      <w:pPr>
        <w:spacing w:line="520" w:lineRule="exact"/>
        <w:rPr>
          <w:rFonts w:ascii="宋体" w:hAnsi="宋体" w:cs="宋体"/>
          <w:sz w:val="28"/>
          <w:szCs w:val="28"/>
          <w:highlight w:val="none"/>
        </w:rPr>
      </w:pPr>
      <w:r>
        <w:rPr>
          <w:rFonts w:hint="eastAsia" w:ascii="宋体" w:hAnsi="宋体" w:cs="宋体"/>
          <w:b/>
          <w:bCs/>
          <w:sz w:val="28"/>
          <w:szCs w:val="28"/>
          <w:highlight w:val="none"/>
        </w:rPr>
        <w:t>附件5</w:t>
      </w:r>
    </w:p>
    <w:p w14:paraId="5D63616D">
      <w:pPr>
        <w:spacing w:line="440" w:lineRule="exact"/>
        <w:jc w:val="center"/>
        <w:rPr>
          <w:rFonts w:ascii="方正小标宋简体" w:eastAsia="方正小标宋简体"/>
          <w:sz w:val="44"/>
          <w:szCs w:val="44"/>
          <w:highlight w:val="none"/>
        </w:rPr>
      </w:pPr>
      <w:r>
        <w:rPr>
          <w:rFonts w:hint="eastAsia" w:ascii="宋体" w:hAnsi="宋体"/>
          <w:b/>
          <w:sz w:val="28"/>
          <w:szCs w:val="28"/>
          <w:highlight w:val="none"/>
        </w:rPr>
        <w:t>环保卫生管理协议书</w:t>
      </w:r>
      <w:r>
        <w:rPr>
          <w:rFonts w:hint="eastAsia" w:ascii="仿宋_GB2312" w:hAnsi="黑体" w:eastAsia="仿宋_GB2312"/>
          <w:sz w:val="24"/>
          <w:highlight w:val="none"/>
        </w:rPr>
        <w:t xml:space="preserve">                    </w:t>
      </w:r>
    </w:p>
    <w:p w14:paraId="3465EF79">
      <w:pPr>
        <w:spacing w:line="420" w:lineRule="exact"/>
        <w:rPr>
          <w:rFonts w:ascii="仿宋_GB2312" w:eastAsia="仿宋_GB2312"/>
          <w:sz w:val="24"/>
          <w:highlight w:val="none"/>
        </w:rPr>
      </w:pPr>
      <w:r>
        <w:rPr>
          <w:rFonts w:hint="eastAsia" w:ascii="仿宋_GB2312" w:eastAsia="仿宋_GB2312"/>
          <w:sz w:val="24"/>
          <w:highlight w:val="none"/>
        </w:rPr>
        <w:t>甲方：温州港集团有限公司龙湾港务分公司（以下简称甲方）</w:t>
      </w:r>
    </w:p>
    <w:p w14:paraId="77B1B1EA">
      <w:pPr>
        <w:spacing w:line="420" w:lineRule="exact"/>
        <w:rPr>
          <w:rFonts w:ascii="仿宋_GB2312" w:eastAsia="仿宋_GB2312"/>
          <w:sz w:val="24"/>
          <w:highlight w:val="none"/>
        </w:rPr>
      </w:pPr>
      <w:r>
        <w:rPr>
          <w:rFonts w:hint="eastAsia" w:ascii="仿宋_GB2312" w:eastAsia="仿宋_GB2312"/>
          <w:sz w:val="24"/>
          <w:highlight w:val="none"/>
        </w:rPr>
        <w:t>住所地：浙江省温州</w:t>
      </w:r>
      <w:r>
        <w:rPr>
          <w:rFonts w:ascii="仿宋_GB2312" w:eastAsia="仿宋_GB2312"/>
          <w:sz w:val="24"/>
          <w:highlight w:val="none"/>
        </w:rPr>
        <w:t>市龙湾区机场大道万吨码头</w:t>
      </w:r>
    </w:p>
    <w:p w14:paraId="5BD6EA1B">
      <w:pPr>
        <w:spacing w:line="420" w:lineRule="exact"/>
        <w:rPr>
          <w:rFonts w:ascii="仿宋_GB2312" w:eastAsia="仿宋_GB2312"/>
          <w:sz w:val="24"/>
          <w:highlight w:val="none"/>
        </w:rPr>
      </w:pPr>
      <w:r>
        <w:rPr>
          <w:rFonts w:hint="eastAsia" w:ascii="仿宋_GB2312" w:eastAsia="仿宋_GB2312"/>
          <w:sz w:val="24"/>
          <w:highlight w:val="none"/>
        </w:rPr>
        <w:t xml:space="preserve">联系人：       </w:t>
      </w:r>
      <w:r>
        <w:rPr>
          <w:rFonts w:ascii="仿宋_GB2312" w:eastAsia="仿宋_GB2312"/>
          <w:sz w:val="24"/>
          <w:highlight w:val="none"/>
        </w:rPr>
        <w:t xml:space="preserve">   </w:t>
      </w:r>
      <w:r>
        <w:rPr>
          <w:rFonts w:hint="eastAsia" w:ascii="仿宋_GB2312" w:eastAsia="仿宋_GB2312"/>
          <w:sz w:val="24"/>
          <w:highlight w:val="none"/>
        </w:rPr>
        <w:t>电话：</w:t>
      </w:r>
      <w:r>
        <w:rPr>
          <w:rFonts w:ascii="仿宋_GB2312" w:eastAsia="仿宋_GB2312"/>
          <w:sz w:val="24"/>
          <w:highlight w:val="none"/>
        </w:rPr>
        <w:t xml:space="preserve">   </w:t>
      </w:r>
      <w:r>
        <w:rPr>
          <w:rFonts w:hint="eastAsia" w:ascii="仿宋_GB2312" w:eastAsia="仿宋_GB2312"/>
          <w:sz w:val="24"/>
          <w:highlight w:val="none"/>
        </w:rPr>
        <w:t xml:space="preserve"> </w:t>
      </w:r>
      <w:r>
        <w:rPr>
          <w:rFonts w:ascii="仿宋_GB2312" w:eastAsia="仿宋_GB2312"/>
          <w:sz w:val="24"/>
          <w:highlight w:val="none"/>
        </w:rPr>
        <w:t xml:space="preserve">    </w:t>
      </w:r>
    </w:p>
    <w:p w14:paraId="59312685">
      <w:pPr>
        <w:spacing w:line="420" w:lineRule="exact"/>
        <w:ind w:firstLine="480" w:firstLineChars="200"/>
        <w:rPr>
          <w:rFonts w:ascii="仿宋_GB2312" w:eastAsia="仿宋_GB2312"/>
          <w:sz w:val="24"/>
          <w:highlight w:val="none"/>
        </w:rPr>
      </w:pPr>
    </w:p>
    <w:p w14:paraId="7614FA2A">
      <w:pPr>
        <w:spacing w:line="420" w:lineRule="exact"/>
        <w:rPr>
          <w:rFonts w:ascii="仿宋_GB2312" w:eastAsia="仿宋_GB2312"/>
          <w:sz w:val="24"/>
          <w:highlight w:val="none"/>
        </w:rPr>
      </w:pPr>
      <w:r>
        <w:rPr>
          <w:rFonts w:hint="eastAsia" w:ascii="仿宋_GB2312" w:eastAsia="仿宋_GB2312"/>
          <w:sz w:val="24"/>
          <w:highlight w:val="none"/>
        </w:rPr>
        <w:t>乙方：</w:t>
      </w:r>
      <w:r>
        <w:rPr>
          <w:rFonts w:ascii="仿宋_GB2312" w:eastAsia="仿宋_GB2312"/>
          <w:sz w:val="24"/>
          <w:highlight w:val="none"/>
        </w:rPr>
        <w:t xml:space="preserve"> </w:t>
      </w:r>
    </w:p>
    <w:p w14:paraId="51601DE4">
      <w:pPr>
        <w:spacing w:line="420" w:lineRule="exact"/>
        <w:rPr>
          <w:rFonts w:ascii="仿宋_GB2312" w:eastAsia="仿宋_GB2312"/>
          <w:sz w:val="24"/>
          <w:highlight w:val="none"/>
        </w:rPr>
      </w:pPr>
      <w:r>
        <w:rPr>
          <w:rFonts w:hint="eastAsia" w:ascii="仿宋_GB2312" w:eastAsia="仿宋_GB2312"/>
          <w:sz w:val="24"/>
          <w:highlight w:val="none"/>
        </w:rPr>
        <w:t>住所地：</w:t>
      </w:r>
      <w:r>
        <w:rPr>
          <w:rFonts w:ascii="仿宋_GB2312" w:eastAsia="仿宋_GB2312"/>
          <w:sz w:val="24"/>
          <w:highlight w:val="none"/>
        </w:rPr>
        <w:t xml:space="preserve"> </w:t>
      </w:r>
    </w:p>
    <w:p w14:paraId="673B8C4E">
      <w:pPr>
        <w:spacing w:line="420" w:lineRule="exact"/>
        <w:rPr>
          <w:rFonts w:ascii="仿宋_GB2312" w:eastAsia="仿宋_GB2312"/>
          <w:sz w:val="24"/>
          <w:highlight w:val="none"/>
        </w:rPr>
      </w:pPr>
      <w:r>
        <w:rPr>
          <w:rFonts w:hint="eastAsia" w:ascii="仿宋_GB2312" w:eastAsia="仿宋_GB2312"/>
          <w:sz w:val="24"/>
          <w:highlight w:val="none"/>
        </w:rPr>
        <w:t>联系人：</w:t>
      </w:r>
      <w:r>
        <w:rPr>
          <w:rFonts w:ascii="仿宋_GB2312" w:eastAsia="仿宋_GB2312"/>
          <w:sz w:val="24"/>
          <w:highlight w:val="none"/>
        </w:rPr>
        <w:t xml:space="preserve">   </w:t>
      </w:r>
      <w:r>
        <w:rPr>
          <w:rFonts w:hint="eastAsia" w:ascii="仿宋_GB2312" w:eastAsia="仿宋_GB2312"/>
          <w:sz w:val="24"/>
          <w:highlight w:val="none"/>
        </w:rPr>
        <w:t xml:space="preserve">    </w:t>
      </w:r>
      <w:r>
        <w:rPr>
          <w:rFonts w:ascii="仿宋_GB2312" w:eastAsia="仿宋_GB2312"/>
          <w:sz w:val="24"/>
          <w:highlight w:val="none"/>
        </w:rPr>
        <w:t xml:space="preserve"> </w:t>
      </w:r>
      <w:r>
        <w:rPr>
          <w:rFonts w:hint="eastAsia" w:ascii="仿宋_GB2312" w:eastAsia="仿宋_GB2312"/>
          <w:sz w:val="24"/>
          <w:highlight w:val="none"/>
        </w:rPr>
        <w:t xml:space="preserve"> 电话：</w:t>
      </w:r>
      <w:r>
        <w:rPr>
          <w:rFonts w:ascii="仿宋_GB2312" w:eastAsia="仿宋_GB2312"/>
          <w:sz w:val="24"/>
          <w:highlight w:val="none"/>
        </w:rPr>
        <w:t xml:space="preserve">       </w:t>
      </w:r>
      <w:r>
        <w:rPr>
          <w:rFonts w:hint="eastAsia" w:ascii="仿宋_GB2312" w:eastAsia="仿宋_GB2312"/>
          <w:sz w:val="24"/>
          <w:highlight w:val="none"/>
        </w:rPr>
        <w:t xml:space="preserve"> </w:t>
      </w:r>
    </w:p>
    <w:p w14:paraId="3EE8677A">
      <w:pPr>
        <w:spacing w:line="380" w:lineRule="exact"/>
        <w:ind w:firstLine="480" w:firstLineChars="200"/>
        <w:rPr>
          <w:rFonts w:ascii="仿宋_GB2312" w:eastAsia="仿宋_GB2312"/>
          <w:sz w:val="24"/>
          <w:highlight w:val="none"/>
        </w:rPr>
      </w:pPr>
      <w:r>
        <w:rPr>
          <w:rFonts w:hint="eastAsia" w:ascii="仿宋_GB2312" w:eastAsia="仿宋_GB2312"/>
          <w:sz w:val="24"/>
          <w:highlight w:val="none"/>
        </w:rPr>
        <w:t>为了贯彻落实《中华人民共和国环境保护法》和其他相关环境保护法律法规的精神，进一步加强港区环境卫生管理，防止各类环境卫生事件发生。经甲、乙双方协商一致，特签订本协议：</w:t>
      </w:r>
    </w:p>
    <w:p w14:paraId="00F0142F">
      <w:pPr>
        <w:spacing w:line="380" w:lineRule="exact"/>
        <w:ind w:firstLine="480" w:firstLineChars="200"/>
        <w:rPr>
          <w:rFonts w:ascii="仿宋_GB2312" w:eastAsia="仿宋_GB2312"/>
          <w:sz w:val="24"/>
          <w:highlight w:val="none"/>
        </w:rPr>
      </w:pPr>
      <w:r>
        <w:rPr>
          <w:rFonts w:hint="eastAsia" w:ascii="仿宋_GB2312" w:eastAsia="仿宋_GB2312"/>
          <w:sz w:val="24"/>
          <w:highlight w:val="none"/>
        </w:rPr>
        <w:t>第一条 适用范围</w:t>
      </w:r>
    </w:p>
    <w:p w14:paraId="08F8FAA8">
      <w:pPr>
        <w:pStyle w:val="71"/>
        <w:spacing w:line="380" w:lineRule="exact"/>
        <w:ind w:left="480" w:firstLine="0" w:firstLineChars="0"/>
        <w:rPr>
          <w:rFonts w:ascii="仿宋_GB2312" w:eastAsia="仿宋_GB2312"/>
          <w:sz w:val="24"/>
          <w:highlight w:val="none"/>
        </w:rPr>
      </w:pPr>
      <w:r>
        <w:rPr>
          <w:rFonts w:hint="eastAsia" w:ascii="仿宋_GB2312" w:eastAsia="仿宋_GB2312"/>
          <w:sz w:val="24"/>
          <w:highlight w:val="none"/>
        </w:rPr>
        <w:t>1、本协议适用</w:t>
      </w:r>
      <w:r>
        <w:rPr>
          <w:rFonts w:hint="eastAsia" w:ascii="仿宋_GB2312" w:hAnsi="黑体" w:eastAsia="仿宋_GB2312"/>
          <w:sz w:val="24"/>
          <w:highlight w:val="none"/>
        </w:rPr>
        <w:t>温州港集团有限公司龙湾港务分公司</w:t>
      </w:r>
      <w:r>
        <w:rPr>
          <w:rFonts w:hint="eastAsia" w:ascii="仿宋_GB2312" w:eastAsia="仿宋_GB2312"/>
          <w:sz w:val="24"/>
          <w:highlight w:val="none"/>
        </w:rPr>
        <w:t>各作业区。</w:t>
      </w:r>
    </w:p>
    <w:p w14:paraId="2C1B11CE">
      <w:pPr>
        <w:spacing w:line="380" w:lineRule="exact"/>
        <w:ind w:left="480"/>
        <w:rPr>
          <w:rFonts w:ascii="仿宋_GB2312" w:eastAsia="仿宋_GB2312"/>
          <w:sz w:val="24"/>
          <w:highlight w:val="none"/>
        </w:rPr>
      </w:pPr>
      <w:r>
        <w:rPr>
          <w:rFonts w:hint="eastAsia" w:ascii="仿宋_GB2312" w:eastAsia="仿宋_GB2312"/>
          <w:sz w:val="24"/>
          <w:highlight w:val="none"/>
        </w:rPr>
        <w:t>2、本协议中涉及到的乙方是指乙方员工及因乙方相关业务进港的人员、车辆。</w:t>
      </w:r>
    </w:p>
    <w:p w14:paraId="48983497">
      <w:pPr>
        <w:spacing w:line="380" w:lineRule="exact"/>
        <w:ind w:firstLine="480" w:firstLineChars="200"/>
        <w:rPr>
          <w:rFonts w:ascii="仿宋_GB2312" w:eastAsia="仿宋_GB2312"/>
          <w:sz w:val="24"/>
          <w:highlight w:val="none"/>
        </w:rPr>
      </w:pPr>
      <w:r>
        <w:rPr>
          <w:rFonts w:hint="eastAsia" w:ascii="仿宋_GB2312" w:eastAsia="仿宋_GB2312"/>
          <w:sz w:val="24"/>
          <w:highlight w:val="none"/>
        </w:rPr>
        <w:t>第二条 甲方的责任、权利和义务</w:t>
      </w:r>
    </w:p>
    <w:p w14:paraId="2AA07DB6">
      <w:pPr>
        <w:spacing w:line="380" w:lineRule="exact"/>
        <w:ind w:firstLine="480" w:firstLineChars="200"/>
        <w:rPr>
          <w:rFonts w:ascii="仿宋_GB2312" w:eastAsia="仿宋_GB2312"/>
          <w:sz w:val="24"/>
          <w:highlight w:val="none"/>
        </w:rPr>
      </w:pPr>
      <w:r>
        <w:rPr>
          <w:rFonts w:hint="eastAsia" w:ascii="仿宋_GB2312" w:eastAsia="仿宋_GB2312"/>
          <w:sz w:val="24"/>
          <w:highlight w:val="none"/>
        </w:rPr>
        <w:t>1.甲方有权对乙方进行环境保护督查。在督查中，发现乙方违反有关环境保护法律法规的行为或存在环保隐患，甲方有权提出整改意见并督促乙方整改。</w:t>
      </w:r>
    </w:p>
    <w:p w14:paraId="4EC5599A">
      <w:pPr>
        <w:spacing w:line="380" w:lineRule="exact"/>
        <w:ind w:firstLine="480" w:firstLineChars="200"/>
        <w:rPr>
          <w:rFonts w:ascii="仿宋_GB2312" w:eastAsia="仿宋_GB2312"/>
          <w:sz w:val="24"/>
          <w:highlight w:val="none"/>
        </w:rPr>
      </w:pPr>
      <w:r>
        <w:rPr>
          <w:rFonts w:hint="eastAsia" w:ascii="仿宋_GB2312" w:eastAsia="仿宋_GB2312"/>
          <w:sz w:val="24"/>
          <w:highlight w:val="none"/>
        </w:rPr>
        <w:t>2.甲方做好环保知识及法律法规的宣传，提高乙方环保卫生意识。</w:t>
      </w:r>
    </w:p>
    <w:p w14:paraId="0A01A73F">
      <w:pPr>
        <w:spacing w:line="380" w:lineRule="exact"/>
        <w:ind w:firstLine="480" w:firstLineChars="200"/>
        <w:rPr>
          <w:rFonts w:ascii="仿宋_GB2312" w:eastAsia="仿宋_GB2312"/>
          <w:sz w:val="24"/>
          <w:highlight w:val="none"/>
        </w:rPr>
      </w:pPr>
      <w:r>
        <w:rPr>
          <w:rFonts w:hint="eastAsia" w:ascii="仿宋_GB2312" w:eastAsia="仿宋_GB2312"/>
          <w:sz w:val="24"/>
          <w:highlight w:val="none"/>
        </w:rPr>
        <w:t>第三条 乙方职责：</w:t>
      </w:r>
    </w:p>
    <w:p w14:paraId="2A77348B">
      <w:pPr>
        <w:spacing w:line="380" w:lineRule="exact"/>
        <w:ind w:firstLine="480" w:firstLineChars="200"/>
        <w:rPr>
          <w:rFonts w:ascii="仿宋_GB2312" w:eastAsia="仿宋_GB2312"/>
          <w:sz w:val="24"/>
          <w:highlight w:val="none"/>
        </w:rPr>
      </w:pPr>
      <w:r>
        <w:rPr>
          <w:rFonts w:hint="eastAsia" w:ascii="仿宋_GB2312" w:eastAsia="仿宋_GB2312"/>
          <w:sz w:val="24"/>
          <w:highlight w:val="none"/>
        </w:rPr>
        <w:t>1.乙方要认真组织学习、贯彻执行《中华人民共和国环境保护法》等法律法规，遵守甲方关于环境保护管理规定。结合生产作业实际情况，制定落实本单位环保管理制度、环保应急预案。</w:t>
      </w:r>
    </w:p>
    <w:p w14:paraId="71E64C14">
      <w:pPr>
        <w:spacing w:line="380" w:lineRule="exact"/>
        <w:ind w:firstLine="480" w:firstLineChars="200"/>
        <w:rPr>
          <w:rFonts w:ascii="仿宋_GB2312" w:eastAsia="仿宋_GB2312"/>
          <w:sz w:val="24"/>
          <w:highlight w:val="none"/>
        </w:rPr>
      </w:pPr>
      <w:r>
        <w:rPr>
          <w:rFonts w:hint="eastAsia" w:ascii="仿宋_GB2312" w:eastAsia="仿宋_GB2312"/>
          <w:sz w:val="24"/>
          <w:highlight w:val="none"/>
        </w:rPr>
        <w:t>2.对乙方员工进行环境保护宣传教育，督促员工遵守环境保护法律法规和环保管理制度，组织员工参加各项环境卫生宣传教育培训，提高其员工环境保护意识和能力，参与环保应急预案演练。</w:t>
      </w:r>
    </w:p>
    <w:p w14:paraId="546EAF11">
      <w:pPr>
        <w:spacing w:line="380" w:lineRule="exact"/>
        <w:ind w:firstLine="480" w:firstLineChars="200"/>
        <w:rPr>
          <w:rFonts w:ascii="仿宋_GB2312" w:eastAsia="仿宋_GB2312"/>
          <w:sz w:val="24"/>
          <w:highlight w:val="none"/>
        </w:rPr>
      </w:pPr>
      <w:r>
        <w:rPr>
          <w:rFonts w:hint="eastAsia" w:ascii="仿宋_GB2312" w:eastAsia="仿宋_GB2312"/>
          <w:sz w:val="24"/>
          <w:highlight w:val="none"/>
        </w:rPr>
        <w:t>3.积极支持、配合甲方的环保工作，自觉接受甲方的环境卫生督查，积极主动整改被查出的环保问题。</w:t>
      </w:r>
    </w:p>
    <w:p w14:paraId="1A5BEFC9">
      <w:pPr>
        <w:spacing w:line="380" w:lineRule="exact"/>
        <w:ind w:firstLine="480" w:firstLineChars="200"/>
        <w:rPr>
          <w:rFonts w:ascii="仿宋_GB2312" w:eastAsia="仿宋_GB2312"/>
          <w:sz w:val="24"/>
          <w:highlight w:val="none"/>
        </w:rPr>
      </w:pPr>
      <w:r>
        <w:rPr>
          <w:rFonts w:hint="eastAsia" w:ascii="仿宋_GB2312" w:eastAsia="仿宋_GB2312"/>
          <w:sz w:val="24"/>
          <w:highlight w:val="none"/>
        </w:rPr>
        <w:t>4.实行卫生包干区制度，组织责任区内环境卫生检查，做好检查记录，按照法律法规处理生产作业产生的“三废”（废气、废水、固体废弃物）及废油等危废，禁止向江河海湖偷排、丢弃，消除粉尘，噪声等污染。</w:t>
      </w:r>
    </w:p>
    <w:p w14:paraId="5642E5FB">
      <w:pPr>
        <w:spacing w:line="380" w:lineRule="exact"/>
        <w:ind w:firstLine="480" w:firstLineChars="200"/>
        <w:rPr>
          <w:rFonts w:ascii="仿宋_GB2312" w:eastAsia="仿宋_GB2312"/>
          <w:sz w:val="24"/>
          <w:highlight w:val="none"/>
        </w:rPr>
      </w:pPr>
      <w:r>
        <w:rPr>
          <w:rFonts w:hint="eastAsia" w:ascii="仿宋_GB2312" w:eastAsia="仿宋_GB2312"/>
          <w:sz w:val="24"/>
          <w:highlight w:val="none"/>
        </w:rPr>
        <w:t>5.保持办公场所、仓库等区域的环境卫生，定期打扫，清理生活垃圾。到指定地点倾倒、堆放生产垃圾，不得随意堆放，做到分类收集、贮存、运输和处置。参与港区绿化带的养护，严禁装卸生产造成绿化带的损坏、污染。</w:t>
      </w:r>
    </w:p>
    <w:p w14:paraId="708798CB">
      <w:pPr>
        <w:spacing w:line="380" w:lineRule="exact"/>
        <w:ind w:firstLine="480" w:firstLineChars="200"/>
        <w:rPr>
          <w:rFonts w:ascii="仿宋_GB2312" w:eastAsia="仿宋_GB2312"/>
          <w:sz w:val="24"/>
          <w:highlight w:val="none"/>
        </w:rPr>
      </w:pPr>
      <w:r>
        <w:rPr>
          <w:rFonts w:hint="eastAsia" w:ascii="仿宋_GB2312" w:eastAsia="仿宋_GB2312"/>
          <w:sz w:val="24"/>
          <w:highlight w:val="none"/>
        </w:rPr>
        <w:t>6.乙方应遵守甲方水、电管理规定，做到节约用水、用电。落实水资源保护措施，在生产过程中，应尽量减少污水的产生，并合法、合理地处理日常污水的排放。</w:t>
      </w:r>
    </w:p>
    <w:p w14:paraId="437EAF5D">
      <w:pPr>
        <w:spacing w:line="380" w:lineRule="exact"/>
        <w:ind w:firstLine="480" w:firstLineChars="200"/>
        <w:rPr>
          <w:rFonts w:ascii="仿宋_GB2312" w:eastAsia="仿宋_GB2312"/>
          <w:sz w:val="24"/>
          <w:highlight w:val="none"/>
        </w:rPr>
      </w:pPr>
      <w:r>
        <w:rPr>
          <w:rFonts w:hint="eastAsia" w:ascii="仿宋_GB2312" w:eastAsia="仿宋_GB2312"/>
          <w:sz w:val="24"/>
          <w:highlight w:val="none"/>
        </w:rPr>
        <w:t>7、乙方进港机动车辆尾气排放符合标准，机动车车辆加强维修和保养，保持技术性能良好，防止噪声污染。</w:t>
      </w:r>
    </w:p>
    <w:p w14:paraId="18D23991">
      <w:pPr>
        <w:spacing w:line="380" w:lineRule="exact"/>
        <w:ind w:firstLine="480" w:firstLineChars="200"/>
        <w:rPr>
          <w:rFonts w:ascii="仿宋_GB2312" w:eastAsia="仿宋_GB2312"/>
          <w:sz w:val="24"/>
          <w:highlight w:val="none"/>
        </w:rPr>
      </w:pPr>
      <w:r>
        <w:rPr>
          <w:rFonts w:hint="eastAsia" w:ascii="仿宋_GB2312" w:eastAsia="仿宋_GB2312"/>
          <w:sz w:val="24"/>
          <w:highlight w:val="none"/>
        </w:rPr>
        <w:t>8、乙方在甲方港区的各类工程建设项目须合法合规，环评、批复等环保资料手续齐全，严格落实环保“三同时”制度，定期开展环境监测和环保设施维护。</w:t>
      </w:r>
    </w:p>
    <w:p w14:paraId="517E0BF9">
      <w:pPr>
        <w:spacing w:line="380" w:lineRule="exact"/>
        <w:ind w:firstLine="480" w:firstLineChars="200"/>
        <w:rPr>
          <w:rFonts w:ascii="仿宋_GB2312" w:eastAsia="仿宋_GB2312"/>
          <w:sz w:val="24"/>
          <w:highlight w:val="none"/>
        </w:rPr>
      </w:pPr>
      <w:r>
        <w:rPr>
          <w:rFonts w:hint="eastAsia" w:ascii="仿宋_GB2312" w:eastAsia="仿宋_GB2312"/>
          <w:sz w:val="24"/>
          <w:highlight w:val="none"/>
        </w:rPr>
        <w:t>9、乙方应当优先采用能源利用效率高、污染物排放量少的清洁生产工艺，减少各类污染物的产生。</w:t>
      </w:r>
    </w:p>
    <w:p w14:paraId="4F460F70">
      <w:pPr>
        <w:spacing w:line="380" w:lineRule="exact"/>
        <w:ind w:firstLine="480" w:firstLineChars="200"/>
        <w:rPr>
          <w:rFonts w:ascii="仿宋_GB2312" w:eastAsia="仿宋_GB2312"/>
          <w:sz w:val="24"/>
          <w:highlight w:val="none"/>
        </w:rPr>
      </w:pPr>
      <w:r>
        <w:rPr>
          <w:rFonts w:hint="eastAsia" w:ascii="仿宋_GB2312" w:eastAsia="仿宋_GB2312"/>
          <w:sz w:val="24"/>
          <w:highlight w:val="none"/>
        </w:rPr>
        <w:t>10.妥善保管责任区内各类环保物资器材设施，确保环保物资器材处于良好状态。</w:t>
      </w:r>
    </w:p>
    <w:p w14:paraId="7908DD6F">
      <w:pPr>
        <w:spacing w:line="380" w:lineRule="exact"/>
        <w:ind w:firstLine="480" w:firstLineChars="200"/>
        <w:rPr>
          <w:rFonts w:ascii="仿宋_GB2312" w:eastAsia="仿宋_GB2312"/>
          <w:sz w:val="24"/>
          <w:highlight w:val="none"/>
        </w:rPr>
      </w:pPr>
      <w:r>
        <w:rPr>
          <w:rFonts w:hint="eastAsia" w:ascii="仿宋_GB2312" w:eastAsia="仿宋_GB2312"/>
          <w:sz w:val="24"/>
          <w:highlight w:val="none"/>
        </w:rPr>
        <w:t>11.港区内甲方的环保设施（设备）、环保器材，未经甲方书面许可，任何人不得擅自动用和挪作他用，否则须赔偿甲方因此造成的全部损失并承担因此导致的一切不利后果。</w:t>
      </w:r>
    </w:p>
    <w:p w14:paraId="0422BCD9">
      <w:pPr>
        <w:spacing w:line="380" w:lineRule="exact"/>
        <w:ind w:firstLine="482" w:firstLineChars="200"/>
        <w:rPr>
          <w:rFonts w:ascii="仿宋_GB2312" w:eastAsia="仿宋_GB2312"/>
          <w:b/>
          <w:sz w:val="24"/>
          <w:highlight w:val="none"/>
        </w:rPr>
      </w:pPr>
      <w:r>
        <w:rPr>
          <w:rFonts w:hint="eastAsia" w:ascii="仿宋_GB2312" w:eastAsia="仿宋_GB2312"/>
          <w:b/>
          <w:sz w:val="24"/>
          <w:highlight w:val="none"/>
        </w:rPr>
        <w:t>12.乙方发生环境保护事故的，乙方对事故负全部责任。若甲方因该事故被上级部门处罚或对外承担责任的，乙方需赔偿甲方因此支付的全部费用和遭受的经济损失。</w:t>
      </w:r>
    </w:p>
    <w:p w14:paraId="61DDF7FA">
      <w:pPr>
        <w:spacing w:line="380" w:lineRule="exact"/>
        <w:ind w:firstLine="482" w:firstLineChars="200"/>
        <w:rPr>
          <w:rFonts w:ascii="仿宋_GB2312" w:eastAsia="仿宋_GB2312"/>
          <w:b/>
          <w:sz w:val="24"/>
          <w:highlight w:val="none"/>
        </w:rPr>
      </w:pPr>
      <w:r>
        <w:rPr>
          <w:rFonts w:hint="eastAsia" w:ascii="仿宋_GB2312" w:eastAsia="仿宋_GB2312"/>
          <w:b/>
          <w:sz w:val="24"/>
          <w:highlight w:val="none"/>
        </w:rPr>
        <w:t>13、乙方自行做好在港生产作业场所疫情防控工作，开展卫生消杀，掌握乙方进港人员动态，承担防控不利产生的全部责任。</w:t>
      </w:r>
    </w:p>
    <w:p w14:paraId="560FDC0E">
      <w:pPr>
        <w:spacing w:line="380" w:lineRule="exact"/>
        <w:ind w:firstLine="480" w:firstLineChars="200"/>
        <w:rPr>
          <w:rFonts w:ascii="仿宋_GB2312" w:eastAsia="仿宋_GB2312"/>
          <w:sz w:val="24"/>
          <w:highlight w:val="none"/>
        </w:rPr>
      </w:pPr>
      <w:r>
        <w:rPr>
          <w:rFonts w:hint="eastAsia" w:ascii="仿宋_GB2312" w:eastAsia="仿宋_GB2312"/>
          <w:sz w:val="24"/>
          <w:highlight w:val="none"/>
        </w:rPr>
        <w:t>第四条、本协议履行期限与业务期限保持一致，且在主合同及本协议项下的义务全部履行完毕、乙方的设备、人员全部退出港区后终止。</w:t>
      </w:r>
    </w:p>
    <w:p w14:paraId="3F0F4F48">
      <w:pPr>
        <w:spacing w:line="380" w:lineRule="exact"/>
        <w:ind w:firstLine="480" w:firstLineChars="200"/>
        <w:rPr>
          <w:rFonts w:ascii="仿宋_GB2312" w:eastAsia="仿宋_GB2312"/>
          <w:sz w:val="24"/>
          <w:highlight w:val="none"/>
        </w:rPr>
      </w:pPr>
      <w:r>
        <w:rPr>
          <w:rFonts w:hint="eastAsia" w:ascii="仿宋_GB2312" w:eastAsia="仿宋_GB2312"/>
          <w:sz w:val="24"/>
          <w:highlight w:val="none"/>
        </w:rPr>
        <w:t>第五条、本协议书壹式肆份，甲、乙双方各执贰份，具有同等法律效力，自双方签字盖章后生效。</w:t>
      </w:r>
    </w:p>
    <w:p w14:paraId="69C6D0D0">
      <w:pPr>
        <w:spacing w:line="380" w:lineRule="exact"/>
        <w:ind w:firstLine="480" w:firstLineChars="200"/>
        <w:rPr>
          <w:rFonts w:ascii="仿宋_GB2312" w:eastAsia="仿宋_GB2312"/>
          <w:sz w:val="24"/>
          <w:highlight w:val="none"/>
        </w:rPr>
      </w:pPr>
      <w:r>
        <w:rPr>
          <w:rFonts w:hint="eastAsia" w:ascii="仿宋_GB2312" w:eastAsia="仿宋_GB2312"/>
          <w:sz w:val="24"/>
          <w:highlight w:val="none"/>
        </w:rPr>
        <w:t>第六条、协议履行过程中发生的一切争议或纠纷，甲乙双方应友好协商解决；协商不成的，任何一方有权向甲方所在地人民法院提起诉讼解决。</w:t>
      </w:r>
    </w:p>
    <w:p w14:paraId="1FE26151">
      <w:pPr>
        <w:spacing w:line="380" w:lineRule="exact"/>
        <w:ind w:firstLine="480" w:firstLineChars="200"/>
        <w:rPr>
          <w:rFonts w:ascii="仿宋_GB2312" w:eastAsia="仿宋_GB2312"/>
          <w:sz w:val="24"/>
          <w:highlight w:val="none"/>
        </w:rPr>
      </w:pPr>
    </w:p>
    <w:p w14:paraId="62D4B100">
      <w:pPr>
        <w:spacing w:line="380" w:lineRule="exact"/>
        <w:rPr>
          <w:rFonts w:ascii="仿宋_GB2312" w:eastAsia="仿宋_GB2312"/>
          <w:szCs w:val="21"/>
          <w:highlight w:val="none"/>
        </w:rPr>
      </w:pPr>
      <w:r>
        <w:rPr>
          <w:rFonts w:hint="eastAsia" w:ascii="仿宋_GB2312" w:eastAsia="仿宋_GB2312"/>
          <w:szCs w:val="21"/>
          <w:highlight w:val="none"/>
        </w:rPr>
        <w:t>甲方</w:t>
      </w:r>
      <w:r>
        <w:rPr>
          <w:rFonts w:hint="eastAsia" w:ascii="仿宋_GB2312" w:eastAsia="仿宋_GB2312"/>
          <w:sz w:val="24"/>
          <w:highlight w:val="none"/>
        </w:rPr>
        <w:t>（盖章）</w:t>
      </w:r>
      <w:r>
        <w:rPr>
          <w:rFonts w:hint="eastAsia" w:ascii="仿宋_GB2312" w:eastAsia="仿宋_GB2312"/>
          <w:szCs w:val="21"/>
          <w:highlight w:val="none"/>
        </w:rPr>
        <w:t>：</w:t>
      </w:r>
      <w:r>
        <w:rPr>
          <w:rFonts w:hint="eastAsia" w:ascii="仿宋_GB2312" w:eastAsia="仿宋_GB2312"/>
          <w:sz w:val="24"/>
          <w:highlight w:val="none"/>
        </w:rPr>
        <w:t xml:space="preserve"> </w:t>
      </w:r>
      <w:r>
        <w:rPr>
          <w:rFonts w:ascii="仿宋_GB2312" w:eastAsia="仿宋_GB2312"/>
          <w:sz w:val="24"/>
          <w:highlight w:val="none"/>
        </w:rPr>
        <w:t xml:space="preserve">                               </w:t>
      </w:r>
      <w:r>
        <w:rPr>
          <w:rFonts w:hint="eastAsia" w:ascii="仿宋_GB2312" w:eastAsia="仿宋_GB2312"/>
          <w:szCs w:val="21"/>
          <w:highlight w:val="none"/>
        </w:rPr>
        <w:t>乙方</w:t>
      </w:r>
      <w:r>
        <w:rPr>
          <w:rFonts w:hint="eastAsia" w:ascii="仿宋_GB2312" w:eastAsia="仿宋_GB2312"/>
          <w:sz w:val="24"/>
          <w:highlight w:val="none"/>
        </w:rPr>
        <w:t>（盖章）</w:t>
      </w:r>
      <w:r>
        <w:rPr>
          <w:rFonts w:hint="eastAsia" w:ascii="仿宋_GB2312" w:eastAsia="仿宋_GB2312"/>
          <w:szCs w:val="21"/>
          <w:highlight w:val="none"/>
        </w:rPr>
        <w:t>：</w:t>
      </w:r>
    </w:p>
    <w:p w14:paraId="3A209AB8">
      <w:pPr>
        <w:spacing w:line="380" w:lineRule="exact"/>
        <w:rPr>
          <w:rFonts w:ascii="仿宋_GB2312" w:eastAsia="仿宋_GB2312"/>
          <w:sz w:val="24"/>
          <w:highlight w:val="none"/>
        </w:rPr>
      </w:pPr>
      <w:r>
        <w:rPr>
          <w:rFonts w:hint="eastAsia" w:ascii="仿宋_GB2312" w:eastAsia="仿宋_GB2312"/>
          <w:sz w:val="24"/>
          <w:highlight w:val="none"/>
        </w:rPr>
        <w:t xml:space="preserve">                                  </w:t>
      </w:r>
    </w:p>
    <w:p w14:paraId="7B2891F6">
      <w:pPr>
        <w:spacing w:line="380" w:lineRule="exact"/>
        <w:rPr>
          <w:rFonts w:ascii="仿宋_GB2312" w:eastAsia="仿宋_GB2312"/>
          <w:sz w:val="24"/>
          <w:highlight w:val="none"/>
        </w:rPr>
      </w:pPr>
      <w:r>
        <w:rPr>
          <w:rFonts w:hint="eastAsia" w:ascii="仿宋_GB2312" w:eastAsia="仿宋_GB2312"/>
          <w:sz w:val="24"/>
          <w:highlight w:val="none"/>
        </w:rPr>
        <w:t>代表人（签字或盖章）：</w:t>
      </w:r>
      <w:r>
        <w:rPr>
          <w:rFonts w:hint="eastAsia" w:ascii="仿宋_GB2312" w:eastAsia="仿宋_GB2312"/>
          <w:sz w:val="24"/>
          <w:highlight w:val="none"/>
        </w:rPr>
        <w:tab/>
      </w:r>
      <w:r>
        <w:rPr>
          <w:rFonts w:hint="eastAsia" w:ascii="仿宋_GB2312" w:eastAsia="仿宋_GB2312"/>
          <w:sz w:val="24"/>
          <w:highlight w:val="none"/>
        </w:rPr>
        <w:t xml:space="preserve">                   代表人（签字或盖章）：  </w:t>
      </w:r>
    </w:p>
    <w:p w14:paraId="27C39CFA">
      <w:pPr>
        <w:rPr>
          <w:rFonts w:ascii="仿宋_GB2312" w:eastAsia="仿宋_GB2312"/>
          <w:sz w:val="24"/>
          <w:highlight w:val="none"/>
        </w:rPr>
      </w:pPr>
    </w:p>
    <w:p w14:paraId="59A339D5">
      <w:pPr>
        <w:ind w:firstLine="5280" w:firstLineChars="2200"/>
        <w:rPr>
          <w:rFonts w:ascii="黑体" w:hAnsi="黑体" w:eastAsia="黑体"/>
          <w:sz w:val="32"/>
          <w:szCs w:val="32"/>
          <w:highlight w:val="none"/>
        </w:rPr>
        <w:sectPr>
          <w:pgSz w:w="11906" w:h="16838"/>
          <w:pgMar w:top="1440" w:right="1417" w:bottom="1440" w:left="1417" w:header="851" w:footer="992" w:gutter="0"/>
          <w:pgNumType w:fmt="decimal"/>
          <w:cols w:space="720" w:num="1"/>
          <w:docGrid w:type="lines" w:linePitch="312" w:charSpace="0"/>
        </w:sectPr>
      </w:pPr>
      <w:r>
        <w:rPr>
          <w:rFonts w:hint="eastAsia" w:ascii="仿宋_GB2312" w:eastAsia="仿宋_GB2312"/>
          <w:sz w:val="24"/>
          <w:highlight w:val="none"/>
        </w:rPr>
        <w:t>签订日期：     年   月  日</w:t>
      </w:r>
    </w:p>
    <w:bookmarkEnd w:id="97"/>
    <w:p w14:paraId="17CA6A83">
      <w:pPr>
        <w:rPr>
          <w:rFonts w:ascii="仿宋" w:hAnsi="仿宋" w:eastAsia="仿宋" w:cs="仿宋"/>
          <w:color w:val="000000"/>
          <w:sz w:val="32"/>
          <w:szCs w:val="32"/>
          <w:highlight w:val="none"/>
        </w:rPr>
      </w:pPr>
      <w:bookmarkStart w:id="104" w:name="_Toc50128410"/>
    </w:p>
    <w:p w14:paraId="177EE41F">
      <w:pPr>
        <w:pStyle w:val="23"/>
        <w:rPr>
          <w:highlight w:val="none"/>
        </w:rPr>
      </w:pPr>
      <w:bookmarkStart w:id="105" w:name="_Toc3583"/>
      <w:r>
        <w:rPr>
          <w:rFonts w:hint="eastAsia"/>
          <w:highlight w:val="none"/>
        </w:rPr>
        <w:t>第六章  投标文件格式</w:t>
      </w:r>
      <w:bookmarkEnd w:id="104"/>
      <w:bookmarkEnd w:id="105"/>
    </w:p>
    <w:p w14:paraId="105439D3">
      <w:pPr>
        <w:spacing w:before="156" w:beforeLines="50" w:after="156" w:afterLines="50"/>
        <w:rPr>
          <w:rFonts w:ascii="宋体" w:hAnsi="宋体" w:cs="宋体"/>
          <w:sz w:val="22"/>
          <w:szCs w:val="22"/>
          <w:highlight w:val="none"/>
        </w:rPr>
      </w:pPr>
      <w:r>
        <w:rPr>
          <w:rFonts w:hint="eastAsia" w:ascii="宋体" w:hAnsi="宋体" w:cs="宋体"/>
          <w:sz w:val="22"/>
          <w:szCs w:val="22"/>
          <w:highlight w:val="none"/>
        </w:rPr>
        <w:t>（资格审查文件封面，供参考）</w:t>
      </w:r>
    </w:p>
    <w:p w14:paraId="494F1A7A">
      <w:pPr>
        <w:spacing w:before="156" w:beforeLines="50" w:after="156" w:afterLines="50"/>
        <w:rPr>
          <w:rFonts w:ascii="宋体" w:hAnsi="宋体" w:cs="宋体"/>
          <w:sz w:val="22"/>
          <w:szCs w:val="22"/>
          <w:highlight w:val="none"/>
        </w:rPr>
      </w:pPr>
    </w:p>
    <w:p w14:paraId="4D275A82">
      <w:pPr>
        <w:rPr>
          <w:rFonts w:ascii="宋体" w:hAnsi="宋体" w:cs="宋体"/>
          <w:highlight w:val="none"/>
        </w:rPr>
      </w:pPr>
    </w:p>
    <w:p w14:paraId="44D03230">
      <w:pPr>
        <w:rPr>
          <w:rFonts w:ascii="宋体" w:hAnsi="宋体" w:cs="宋体"/>
          <w:highlight w:val="none"/>
        </w:rPr>
      </w:pPr>
    </w:p>
    <w:p w14:paraId="5AC693F8">
      <w:pPr>
        <w:rPr>
          <w:rFonts w:ascii="宋体" w:hAnsi="宋体" w:cs="宋体"/>
          <w:highlight w:val="none"/>
        </w:rPr>
      </w:pPr>
    </w:p>
    <w:p w14:paraId="61A91937">
      <w:pPr>
        <w:jc w:val="center"/>
        <w:rPr>
          <w:rFonts w:ascii="宋体" w:hAnsi="宋体" w:cs="宋体"/>
          <w:sz w:val="28"/>
          <w:szCs w:val="28"/>
          <w:highlight w:val="none"/>
        </w:rPr>
      </w:pPr>
      <w:r>
        <w:rPr>
          <w:rFonts w:hint="eastAsia" w:ascii="宋体" w:hAnsi="宋体" w:cs="宋体"/>
          <w:sz w:val="28"/>
          <w:szCs w:val="28"/>
          <w:highlight w:val="none"/>
          <w:u w:val="single"/>
        </w:rPr>
        <w:t>（项目名称）</w:t>
      </w:r>
      <w:r>
        <w:rPr>
          <w:rFonts w:hint="eastAsia" w:ascii="宋体" w:hAnsi="宋体" w:cs="宋体"/>
          <w:sz w:val="28"/>
          <w:szCs w:val="28"/>
          <w:highlight w:val="none"/>
        </w:rPr>
        <w:t>投标文件</w:t>
      </w:r>
    </w:p>
    <w:p w14:paraId="50A81135">
      <w:pPr>
        <w:rPr>
          <w:rFonts w:ascii="宋体" w:hAnsi="宋体" w:cs="宋体"/>
          <w:sz w:val="28"/>
          <w:szCs w:val="28"/>
          <w:highlight w:val="none"/>
        </w:rPr>
      </w:pPr>
    </w:p>
    <w:p w14:paraId="3CCF28D5">
      <w:pPr>
        <w:rPr>
          <w:rFonts w:ascii="宋体" w:hAnsi="宋体" w:cs="宋体"/>
          <w:sz w:val="28"/>
          <w:szCs w:val="28"/>
          <w:highlight w:val="none"/>
        </w:rPr>
      </w:pPr>
    </w:p>
    <w:p w14:paraId="3C6F574E">
      <w:pPr>
        <w:rPr>
          <w:rFonts w:ascii="宋体" w:hAnsi="宋体" w:cs="宋体"/>
          <w:sz w:val="28"/>
          <w:szCs w:val="28"/>
          <w:highlight w:val="none"/>
        </w:rPr>
      </w:pPr>
    </w:p>
    <w:p w14:paraId="2DDBBDD8">
      <w:pPr>
        <w:rPr>
          <w:rFonts w:ascii="宋体" w:hAnsi="宋体" w:cs="宋体"/>
          <w:sz w:val="28"/>
          <w:szCs w:val="28"/>
          <w:highlight w:val="none"/>
        </w:rPr>
      </w:pPr>
    </w:p>
    <w:p w14:paraId="108BCED9">
      <w:pPr>
        <w:spacing w:line="360" w:lineRule="auto"/>
        <w:jc w:val="center"/>
        <w:outlineLvl w:val="2"/>
        <w:rPr>
          <w:rFonts w:ascii="宋体" w:hAnsi="宋体" w:cs="宋体"/>
          <w:szCs w:val="21"/>
          <w:highlight w:val="none"/>
        </w:rPr>
      </w:pPr>
      <w:bookmarkStart w:id="106" w:name="_Toc13326"/>
      <w:bookmarkStart w:id="107" w:name="_Toc9922"/>
      <w:r>
        <w:rPr>
          <w:rFonts w:hint="eastAsia" w:ascii="宋体" w:hAnsi="宋体" w:cs="宋体"/>
          <w:sz w:val="52"/>
          <w:szCs w:val="52"/>
          <w:highlight w:val="none"/>
        </w:rPr>
        <w:t>资格审查文件</w:t>
      </w:r>
      <w:bookmarkEnd w:id="106"/>
      <w:bookmarkEnd w:id="107"/>
    </w:p>
    <w:p w14:paraId="738160DB">
      <w:pPr>
        <w:spacing w:line="360" w:lineRule="auto"/>
        <w:rPr>
          <w:rFonts w:ascii="宋体" w:hAnsi="宋体" w:cs="宋体"/>
          <w:szCs w:val="21"/>
          <w:highlight w:val="none"/>
        </w:rPr>
      </w:pPr>
    </w:p>
    <w:p w14:paraId="0A02E9F8">
      <w:pPr>
        <w:spacing w:line="360" w:lineRule="auto"/>
        <w:rPr>
          <w:rFonts w:ascii="宋体" w:hAnsi="宋体" w:cs="宋体"/>
          <w:szCs w:val="21"/>
          <w:highlight w:val="none"/>
        </w:rPr>
      </w:pPr>
    </w:p>
    <w:p w14:paraId="3BEF4BFC">
      <w:pPr>
        <w:pStyle w:val="12"/>
        <w:ind w:firstLine="200"/>
        <w:rPr>
          <w:rFonts w:ascii="宋体" w:hAnsi="宋体" w:cs="宋体"/>
          <w:highlight w:val="none"/>
        </w:rPr>
      </w:pPr>
    </w:p>
    <w:p w14:paraId="3FFB15BB">
      <w:pPr>
        <w:pStyle w:val="12"/>
        <w:ind w:firstLine="200"/>
        <w:rPr>
          <w:rFonts w:ascii="宋体" w:hAnsi="宋体" w:cs="宋体"/>
          <w:highlight w:val="none"/>
        </w:rPr>
      </w:pPr>
    </w:p>
    <w:p w14:paraId="651C935A">
      <w:pPr>
        <w:pStyle w:val="12"/>
        <w:ind w:firstLine="200"/>
        <w:rPr>
          <w:rFonts w:ascii="宋体" w:hAnsi="宋体" w:cs="宋体"/>
          <w:highlight w:val="none"/>
        </w:rPr>
      </w:pPr>
    </w:p>
    <w:p w14:paraId="20BABEFE">
      <w:pPr>
        <w:pStyle w:val="12"/>
        <w:ind w:firstLine="200"/>
        <w:rPr>
          <w:rFonts w:ascii="宋体" w:hAnsi="宋体" w:cs="宋体"/>
          <w:highlight w:val="none"/>
        </w:rPr>
      </w:pPr>
    </w:p>
    <w:p w14:paraId="372D65A0">
      <w:pPr>
        <w:spacing w:line="360" w:lineRule="auto"/>
        <w:rPr>
          <w:rFonts w:ascii="宋体" w:hAnsi="宋体" w:cs="宋体"/>
          <w:szCs w:val="21"/>
          <w:highlight w:val="none"/>
        </w:rPr>
      </w:pPr>
    </w:p>
    <w:p w14:paraId="51DDA48A">
      <w:pPr>
        <w:jc w:val="center"/>
        <w:rPr>
          <w:rFonts w:ascii="宋体" w:hAnsi="宋体" w:cs="新宋体"/>
          <w:sz w:val="28"/>
          <w:szCs w:val="28"/>
          <w:highlight w:val="none"/>
        </w:rPr>
      </w:pPr>
      <w:r>
        <w:rPr>
          <w:rFonts w:hint="eastAsia" w:ascii="宋体" w:hAnsi="宋体" w:cs="新宋体"/>
          <w:sz w:val="28"/>
          <w:szCs w:val="28"/>
          <w:highlight w:val="none"/>
        </w:rPr>
        <w:t>投标人：</w:t>
      </w:r>
      <w:r>
        <w:rPr>
          <w:rFonts w:hint="eastAsia" w:ascii="宋体" w:hAnsi="宋体" w:cs="新宋体"/>
          <w:sz w:val="28"/>
          <w:szCs w:val="28"/>
          <w:highlight w:val="none"/>
          <w:u w:val="single"/>
        </w:rPr>
        <w:t xml:space="preserve">                              </w:t>
      </w:r>
      <w:r>
        <w:rPr>
          <w:rFonts w:hint="eastAsia" w:ascii="宋体" w:hAnsi="宋体" w:cs="新宋体"/>
          <w:sz w:val="28"/>
          <w:szCs w:val="28"/>
          <w:highlight w:val="none"/>
        </w:rPr>
        <w:t>（盖单位章）</w:t>
      </w:r>
    </w:p>
    <w:p w14:paraId="60031B9E">
      <w:pPr>
        <w:rPr>
          <w:rFonts w:ascii="宋体" w:hAnsi="宋体" w:cs="新宋体"/>
          <w:sz w:val="28"/>
          <w:szCs w:val="28"/>
          <w:highlight w:val="none"/>
          <w:u w:val="single"/>
        </w:rPr>
      </w:pPr>
    </w:p>
    <w:p w14:paraId="4243C4B7">
      <w:pPr>
        <w:jc w:val="center"/>
        <w:rPr>
          <w:rFonts w:ascii="宋体" w:hAnsi="宋体" w:cs="新宋体"/>
          <w:sz w:val="28"/>
          <w:szCs w:val="28"/>
          <w:highlight w:val="none"/>
        </w:rPr>
      </w:pPr>
      <w:r>
        <w:rPr>
          <w:rFonts w:hint="eastAsia" w:ascii="宋体" w:hAnsi="宋体" w:cs="新宋体"/>
          <w:sz w:val="28"/>
          <w:szCs w:val="28"/>
          <w:highlight w:val="none"/>
        </w:rPr>
        <w:t>法定代表人或授权代表：</w:t>
      </w:r>
      <w:r>
        <w:rPr>
          <w:rFonts w:hint="eastAsia" w:ascii="宋体" w:hAnsi="宋体" w:cs="新宋体"/>
          <w:sz w:val="28"/>
          <w:szCs w:val="28"/>
          <w:highlight w:val="none"/>
          <w:u w:val="single"/>
        </w:rPr>
        <w:t xml:space="preserve">          </w:t>
      </w:r>
      <w:r>
        <w:rPr>
          <w:rFonts w:hint="eastAsia" w:ascii="宋体" w:hAnsi="宋体" w:cs="新宋体"/>
          <w:sz w:val="28"/>
          <w:szCs w:val="28"/>
          <w:highlight w:val="none"/>
        </w:rPr>
        <w:t>（签字或盖章）</w:t>
      </w:r>
    </w:p>
    <w:p w14:paraId="5DC0D5EA">
      <w:pPr>
        <w:rPr>
          <w:rFonts w:ascii="宋体" w:hAnsi="宋体" w:cs="新宋体"/>
          <w:sz w:val="28"/>
          <w:szCs w:val="28"/>
          <w:highlight w:val="none"/>
        </w:rPr>
      </w:pPr>
    </w:p>
    <w:p w14:paraId="23E5BDD3">
      <w:pPr>
        <w:jc w:val="center"/>
        <w:rPr>
          <w:rFonts w:ascii="宋体" w:hAnsi="宋体" w:cs="新宋体"/>
          <w:sz w:val="28"/>
          <w:szCs w:val="28"/>
          <w:highlight w:val="none"/>
        </w:rPr>
      </w:pPr>
      <w:r>
        <w:rPr>
          <w:rFonts w:hint="eastAsia" w:ascii="宋体" w:hAnsi="宋体" w:cs="新宋体"/>
          <w:sz w:val="28"/>
          <w:szCs w:val="28"/>
          <w:highlight w:val="none"/>
          <w:u w:val="single"/>
        </w:rPr>
        <w:t xml:space="preserve">        </w:t>
      </w:r>
      <w:r>
        <w:rPr>
          <w:rFonts w:hint="eastAsia" w:ascii="宋体" w:hAnsi="宋体" w:cs="新宋体"/>
          <w:sz w:val="28"/>
          <w:szCs w:val="28"/>
          <w:highlight w:val="none"/>
        </w:rPr>
        <w:t>年</w:t>
      </w:r>
      <w:r>
        <w:rPr>
          <w:rFonts w:hint="eastAsia" w:ascii="宋体" w:hAnsi="宋体" w:cs="新宋体"/>
          <w:sz w:val="28"/>
          <w:szCs w:val="28"/>
          <w:highlight w:val="none"/>
          <w:u w:val="single"/>
        </w:rPr>
        <w:t xml:space="preserve">        </w:t>
      </w:r>
      <w:r>
        <w:rPr>
          <w:rFonts w:hint="eastAsia" w:ascii="宋体" w:hAnsi="宋体" w:cs="新宋体"/>
          <w:sz w:val="28"/>
          <w:szCs w:val="28"/>
          <w:highlight w:val="none"/>
        </w:rPr>
        <w:t>月</w:t>
      </w:r>
      <w:r>
        <w:rPr>
          <w:rFonts w:hint="eastAsia" w:ascii="宋体" w:hAnsi="宋体" w:cs="新宋体"/>
          <w:sz w:val="28"/>
          <w:szCs w:val="28"/>
          <w:highlight w:val="none"/>
          <w:u w:val="single"/>
        </w:rPr>
        <w:t xml:space="preserve">        </w:t>
      </w:r>
      <w:r>
        <w:rPr>
          <w:rFonts w:hint="eastAsia" w:ascii="宋体" w:hAnsi="宋体" w:cs="新宋体"/>
          <w:sz w:val="28"/>
          <w:szCs w:val="28"/>
          <w:highlight w:val="none"/>
        </w:rPr>
        <w:t>日</w:t>
      </w:r>
    </w:p>
    <w:p w14:paraId="30C465F1">
      <w:pPr>
        <w:jc w:val="center"/>
        <w:rPr>
          <w:rFonts w:ascii="宋体" w:hAnsi="宋体" w:cs="新宋体"/>
          <w:b/>
          <w:bCs/>
          <w:sz w:val="52"/>
          <w:szCs w:val="52"/>
          <w:highlight w:val="none"/>
        </w:rPr>
      </w:pPr>
      <w:r>
        <w:rPr>
          <w:rFonts w:hint="eastAsia" w:ascii="宋体" w:hAnsi="宋体" w:cs="宋体"/>
          <w:highlight w:val="none"/>
        </w:rPr>
        <w:br w:type="page"/>
      </w:r>
      <w:bookmarkStart w:id="108" w:name="_Toc247514246"/>
      <w:bookmarkStart w:id="109" w:name="_Toc152045787"/>
      <w:bookmarkStart w:id="110" w:name="_Toc144974856"/>
      <w:bookmarkStart w:id="111" w:name="_Toc465107615"/>
      <w:bookmarkStart w:id="112" w:name="_Toc152042576"/>
      <w:bookmarkStart w:id="113" w:name="_Toc247527827"/>
      <w:r>
        <w:rPr>
          <w:rFonts w:hint="eastAsia" w:ascii="宋体" w:hAnsi="宋体" w:cs="新宋体"/>
          <w:b/>
          <w:bCs/>
          <w:sz w:val="52"/>
          <w:szCs w:val="52"/>
          <w:highlight w:val="none"/>
        </w:rPr>
        <w:t>目    录</w:t>
      </w:r>
      <w:bookmarkEnd w:id="108"/>
      <w:bookmarkEnd w:id="109"/>
      <w:bookmarkEnd w:id="110"/>
      <w:bookmarkEnd w:id="111"/>
      <w:bookmarkEnd w:id="112"/>
      <w:bookmarkEnd w:id="113"/>
    </w:p>
    <w:p w14:paraId="0A840974">
      <w:pPr>
        <w:pStyle w:val="12"/>
        <w:ind w:firstLine="0" w:firstLineChars="0"/>
        <w:rPr>
          <w:rFonts w:ascii="宋体" w:hAnsi="宋体"/>
          <w:sz w:val="22"/>
          <w:szCs w:val="22"/>
          <w:highlight w:val="none"/>
        </w:rPr>
      </w:pPr>
    </w:p>
    <w:p w14:paraId="21792B65">
      <w:pPr>
        <w:pStyle w:val="40"/>
        <w:spacing w:line="440" w:lineRule="exact"/>
        <w:rPr>
          <w:rFonts w:ascii="宋体" w:hAnsi="宋体" w:cs="宋体"/>
          <w:sz w:val="22"/>
          <w:szCs w:val="22"/>
          <w:highlight w:val="none"/>
        </w:rPr>
      </w:pPr>
      <w:r>
        <w:rPr>
          <w:rFonts w:hint="eastAsia" w:ascii="宋体" w:hAnsi="宋体" w:cs="宋体"/>
          <w:sz w:val="22"/>
          <w:szCs w:val="22"/>
          <w:highlight w:val="none"/>
        </w:rPr>
        <w:t>1</w:t>
      </w:r>
      <w:r>
        <w:rPr>
          <w:rFonts w:hint="eastAsia" w:ascii="宋体" w:hAnsi="宋体" w:cs="宋体"/>
          <w:sz w:val="22"/>
          <w:szCs w:val="22"/>
          <w:highlight w:val="none"/>
        </w:rPr>
        <w:tab/>
      </w:r>
      <w:r>
        <w:rPr>
          <w:rFonts w:hint="eastAsia" w:ascii="宋体" w:hAnsi="宋体" w:cs="宋体"/>
          <w:sz w:val="22"/>
          <w:szCs w:val="22"/>
          <w:highlight w:val="none"/>
        </w:rPr>
        <w:t>针对评分细则，编制目录索引，注明评标细则项目所在投标文件页码，格式自拟</w:t>
      </w:r>
    </w:p>
    <w:p w14:paraId="01126FE3">
      <w:pPr>
        <w:pStyle w:val="40"/>
        <w:wordWrap w:val="0"/>
        <w:spacing w:line="440" w:lineRule="exact"/>
        <w:rPr>
          <w:rFonts w:ascii="宋体" w:hAnsi="宋体" w:cs="宋体"/>
          <w:bCs/>
          <w:color w:val="000000"/>
          <w:sz w:val="22"/>
          <w:szCs w:val="22"/>
          <w:highlight w:val="none"/>
        </w:rPr>
      </w:pPr>
      <w:r>
        <w:rPr>
          <w:rFonts w:hint="eastAsia" w:ascii="宋体" w:hAnsi="宋体" w:cs="宋体"/>
          <w:sz w:val="22"/>
          <w:szCs w:val="22"/>
          <w:highlight w:val="none"/>
        </w:rPr>
        <w:t>2   法定代表人授权委托书；</w:t>
      </w:r>
      <w:r>
        <w:rPr>
          <w:rFonts w:hint="eastAsia" w:ascii="宋体" w:hAnsi="宋体" w:cs="宋体"/>
          <w:sz w:val="22"/>
          <w:szCs w:val="22"/>
          <w:highlight w:val="none"/>
        </w:rPr>
        <w:cr/>
      </w:r>
      <w:r>
        <w:rPr>
          <w:rFonts w:hint="eastAsia" w:ascii="宋体" w:hAnsi="宋体" w:cs="宋体"/>
          <w:sz w:val="22"/>
          <w:szCs w:val="22"/>
          <w:highlight w:val="none"/>
        </w:rPr>
        <w:t>3   法定代表人资格证明书；</w:t>
      </w:r>
      <w:r>
        <w:rPr>
          <w:rFonts w:hint="eastAsia" w:ascii="宋体" w:hAnsi="宋体" w:cs="宋体"/>
          <w:sz w:val="22"/>
          <w:szCs w:val="22"/>
          <w:highlight w:val="none"/>
        </w:rPr>
        <w:cr/>
      </w:r>
      <w:r>
        <w:rPr>
          <w:rFonts w:hint="eastAsia" w:ascii="宋体" w:hAnsi="宋体" w:cs="宋体"/>
          <w:sz w:val="22"/>
          <w:szCs w:val="22"/>
          <w:highlight w:val="none"/>
        </w:rPr>
        <w:t>4   投标声明书；</w:t>
      </w:r>
      <w:r>
        <w:rPr>
          <w:rFonts w:hint="eastAsia" w:ascii="宋体" w:hAnsi="宋体" w:cs="宋体"/>
          <w:sz w:val="22"/>
          <w:szCs w:val="22"/>
          <w:highlight w:val="none"/>
        </w:rPr>
        <w:cr/>
      </w:r>
      <w:r>
        <w:rPr>
          <w:rFonts w:hint="eastAsia" w:ascii="宋体" w:hAnsi="宋体" w:cs="宋体"/>
          <w:sz w:val="22"/>
          <w:szCs w:val="22"/>
          <w:highlight w:val="none"/>
        </w:rPr>
        <w:t>5   营业执照(或事业法人登记证书或其它工商等登记证明材料复印件加盖公章)；</w:t>
      </w:r>
      <w:r>
        <w:rPr>
          <w:rFonts w:hint="eastAsia" w:ascii="宋体" w:hAnsi="宋体" w:cs="宋体"/>
          <w:sz w:val="22"/>
          <w:szCs w:val="22"/>
          <w:highlight w:val="none"/>
        </w:rPr>
        <w:cr/>
      </w:r>
      <w:r>
        <w:rPr>
          <w:rFonts w:hint="eastAsia" w:ascii="宋体" w:hAnsi="宋体" w:cs="宋体"/>
          <w:sz w:val="22"/>
          <w:szCs w:val="22"/>
          <w:highlight w:val="none"/>
        </w:rPr>
        <w:t>6   具有履行合同所必需的设备和专业技术能力的承诺函；</w:t>
      </w:r>
      <w:r>
        <w:rPr>
          <w:rFonts w:hint="eastAsia" w:ascii="宋体" w:hAnsi="宋体" w:cs="宋体"/>
          <w:sz w:val="22"/>
          <w:szCs w:val="22"/>
          <w:highlight w:val="none"/>
        </w:rPr>
        <w:cr/>
      </w:r>
      <w:r>
        <w:rPr>
          <w:rFonts w:hint="eastAsia" w:ascii="宋体" w:hAnsi="宋体" w:cs="宋体"/>
          <w:sz w:val="22"/>
          <w:szCs w:val="22"/>
          <w:highlight w:val="none"/>
        </w:rPr>
        <w:t>7   具有良好的商业信誉和健全的财务会计制度的承诺函；</w:t>
      </w:r>
      <w:r>
        <w:rPr>
          <w:rFonts w:hint="eastAsia" w:ascii="宋体" w:hAnsi="宋体" w:cs="宋体"/>
          <w:sz w:val="22"/>
          <w:szCs w:val="22"/>
          <w:highlight w:val="none"/>
        </w:rPr>
        <w:cr/>
      </w:r>
      <w:r>
        <w:rPr>
          <w:rFonts w:hint="eastAsia" w:ascii="宋体" w:hAnsi="宋体" w:cs="宋体"/>
          <w:sz w:val="22"/>
          <w:szCs w:val="22"/>
          <w:highlight w:val="none"/>
        </w:rPr>
        <w:t>8   安全生产责任事故</w:t>
      </w:r>
      <w:r>
        <w:rPr>
          <w:rFonts w:hint="eastAsia" w:ascii="宋体" w:hAnsi="宋体" w:cs="宋体"/>
          <w:bCs/>
          <w:color w:val="000000"/>
          <w:sz w:val="22"/>
          <w:szCs w:val="22"/>
          <w:highlight w:val="none"/>
        </w:rPr>
        <w:t>承诺函</w:t>
      </w:r>
    </w:p>
    <w:p w14:paraId="252BA8E8">
      <w:pPr>
        <w:pStyle w:val="11"/>
        <w:spacing w:after="0" w:line="440" w:lineRule="exact"/>
        <w:rPr>
          <w:rFonts w:ascii="宋体" w:hAnsi="宋体" w:cs="宋体"/>
          <w:sz w:val="22"/>
          <w:szCs w:val="22"/>
          <w:highlight w:val="none"/>
        </w:rPr>
      </w:pPr>
      <w:r>
        <w:rPr>
          <w:rFonts w:hint="eastAsia" w:ascii="宋体" w:hAnsi="宋体" w:cs="宋体"/>
          <w:sz w:val="22"/>
          <w:szCs w:val="22"/>
          <w:highlight w:val="none"/>
        </w:rPr>
        <w:t>9   投标人未被列入失信被执行人名单、重大税收违法案件当事人名单、政府采购严重违法失信行为记录名单、安全生产严重失信主体名单，信用信息以信用中国网站（www.creditchina.gov.cn）、中国政府采购网（www.ccgp.gov.cn）、应急管理部（https://zwfw.mem.gov.cn/zwthlw/pages/hlwmh/yyfw/qyaqscxycx/qyaqscxycx_index.html）公布为准。（须提供网站查询截图并加盖单位公章）</w:t>
      </w:r>
    </w:p>
    <w:p w14:paraId="3BBA88A2">
      <w:pPr>
        <w:pStyle w:val="40"/>
        <w:spacing w:line="440" w:lineRule="exact"/>
        <w:rPr>
          <w:rFonts w:ascii="宋体" w:hAnsi="宋体" w:cs="宋体"/>
          <w:sz w:val="22"/>
          <w:szCs w:val="22"/>
          <w:highlight w:val="none"/>
        </w:rPr>
      </w:pPr>
      <w:r>
        <w:rPr>
          <w:rFonts w:hint="eastAsia" w:ascii="宋体" w:hAnsi="宋体" w:cs="宋体"/>
          <w:sz w:val="22"/>
          <w:szCs w:val="22"/>
          <w:highlight w:val="none"/>
        </w:rPr>
        <w:t>10   具有有效的《中华人民共和国特种设备生产许可证》，许可项目为起重机械安装（含修理），许可子项目含门座式起重机(须提供证书复印件并加盖单位公章)或具有有效的《中华人民共和国特种设备安装改造维修许可证（起重机械）》，类型为门座式起重机，施工类别含维修(须提供证书复印件并加盖单位公章)；</w:t>
      </w:r>
    </w:p>
    <w:p w14:paraId="37B21FB1">
      <w:pPr>
        <w:pStyle w:val="40"/>
        <w:spacing w:line="440" w:lineRule="exact"/>
        <w:rPr>
          <w:rFonts w:ascii="宋体" w:hAnsi="宋体" w:cs="宋体"/>
          <w:sz w:val="22"/>
          <w:szCs w:val="22"/>
          <w:highlight w:val="none"/>
        </w:rPr>
      </w:pPr>
      <w:r>
        <w:rPr>
          <w:rFonts w:hint="eastAsia" w:ascii="宋体" w:hAnsi="宋体" w:cs="宋体"/>
          <w:sz w:val="22"/>
          <w:szCs w:val="22"/>
          <w:highlight w:val="none"/>
        </w:rPr>
        <w:t>11  单位规模及业绩（格式自拟）</w:t>
      </w:r>
    </w:p>
    <w:p w14:paraId="5BBB9022">
      <w:pPr>
        <w:pStyle w:val="40"/>
        <w:spacing w:line="440" w:lineRule="exact"/>
        <w:rPr>
          <w:rFonts w:ascii="宋体" w:hAnsi="宋体" w:cs="宋体"/>
          <w:sz w:val="22"/>
          <w:szCs w:val="22"/>
          <w:highlight w:val="none"/>
        </w:rPr>
      </w:pPr>
      <w:r>
        <w:rPr>
          <w:rFonts w:hint="eastAsia" w:ascii="宋体" w:hAnsi="宋体" w:cs="宋体"/>
          <w:sz w:val="22"/>
          <w:szCs w:val="22"/>
          <w:highlight w:val="none"/>
        </w:rPr>
        <w:t>12  招标文件要求的或投标人认为有必要提供的其他情况说明（格式自拟，加盖公章）</w:t>
      </w:r>
    </w:p>
    <w:p w14:paraId="6E75B003">
      <w:pPr>
        <w:spacing w:line="460" w:lineRule="exact"/>
        <w:rPr>
          <w:rFonts w:ascii="宋体" w:hAnsi="宋体" w:cs="新宋体"/>
          <w:sz w:val="22"/>
          <w:szCs w:val="22"/>
          <w:highlight w:val="none"/>
        </w:rPr>
      </w:pPr>
    </w:p>
    <w:p w14:paraId="38243FD0">
      <w:pPr>
        <w:spacing w:line="360" w:lineRule="auto"/>
        <w:jc w:val="left"/>
        <w:rPr>
          <w:rFonts w:ascii="宋体" w:hAnsi="宋体"/>
          <w:b/>
          <w:color w:val="000000"/>
          <w:sz w:val="36"/>
          <w:szCs w:val="36"/>
          <w:highlight w:val="none"/>
        </w:rPr>
      </w:pPr>
      <w:r>
        <w:rPr>
          <w:rFonts w:hint="eastAsia" w:ascii="宋体" w:hAnsi="宋体"/>
          <w:color w:val="000000"/>
          <w:sz w:val="28"/>
          <w:szCs w:val="28"/>
          <w:highlight w:val="none"/>
        </w:rPr>
        <w:br w:type="page"/>
      </w:r>
      <w:r>
        <w:rPr>
          <w:rFonts w:hint="eastAsia" w:ascii="宋体" w:hAnsi="宋体"/>
          <w:color w:val="000000"/>
          <w:sz w:val="28"/>
          <w:szCs w:val="32"/>
          <w:highlight w:val="none"/>
        </w:rPr>
        <w:t>附件一-1</w:t>
      </w:r>
    </w:p>
    <w:p w14:paraId="7E66CE39">
      <w:pPr>
        <w:snapToGrid w:val="0"/>
        <w:spacing w:before="156" w:beforeLines="50" w:after="50" w:line="360" w:lineRule="auto"/>
        <w:jc w:val="center"/>
        <w:outlineLvl w:val="3"/>
        <w:rPr>
          <w:rFonts w:ascii="宋体" w:hAnsi="宋体"/>
          <w:b/>
          <w:color w:val="000000"/>
          <w:sz w:val="28"/>
          <w:szCs w:val="28"/>
          <w:highlight w:val="none"/>
        </w:rPr>
      </w:pPr>
      <w:r>
        <w:rPr>
          <w:rFonts w:hint="eastAsia" w:ascii="宋体" w:hAnsi="宋体"/>
          <w:b/>
          <w:color w:val="000000"/>
          <w:sz w:val="28"/>
          <w:szCs w:val="28"/>
          <w:highlight w:val="none"/>
        </w:rPr>
        <w:t>法定代表人授权委托书</w:t>
      </w:r>
    </w:p>
    <w:p w14:paraId="2030F54B">
      <w:pPr>
        <w:snapToGrid w:val="0"/>
        <w:spacing w:before="156" w:beforeLines="50" w:after="50" w:line="360" w:lineRule="auto"/>
        <w:rPr>
          <w:rFonts w:ascii="宋体" w:hAnsi="宋体"/>
          <w:b/>
          <w:bCs/>
          <w:color w:val="000000"/>
          <w:sz w:val="22"/>
          <w:szCs w:val="22"/>
          <w:highlight w:val="none"/>
        </w:rPr>
      </w:pPr>
      <w:r>
        <w:rPr>
          <w:rFonts w:hint="eastAsia" w:ascii="宋体" w:hAnsi="宋体"/>
          <w:bCs/>
          <w:color w:val="000000"/>
          <w:sz w:val="22"/>
          <w:szCs w:val="22"/>
          <w:highlight w:val="none"/>
        </w:rPr>
        <w:t>致：温州港集团有限公司龙湾港务分公司</w:t>
      </w:r>
      <w:r>
        <w:rPr>
          <w:rFonts w:hint="eastAsia" w:ascii="宋体" w:hAnsi="宋体"/>
          <w:color w:val="000000"/>
          <w:sz w:val="22"/>
          <w:szCs w:val="22"/>
          <w:highlight w:val="none"/>
        </w:rPr>
        <w:t>：</w:t>
      </w:r>
    </w:p>
    <w:p w14:paraId="26DECF7A">
      <w:pPr>
        <w:snapToGrid w:val="0"/>
        <w:spacing w:before="156" w:beforeLines="50" w:after="50" w:line="360" w:lineRule="auto"/>
        <w:ind w:firstLine="440" w:firstLineChars="200"/>
        <w:rPr>
          <w:rFonts w:ascii="宋体" w:hAnsi="宋体"/>
          <w:color w:val="000000"/>
          <w:sz w:val="22"/>
          <w:szCs w:val="22"/>
          <w:highlight w:val="none"/>
        </w:rPr>
      </w:pPr>
      <w:r>
        <w:rPr>
          <w:rFonts w:hint="eastAsia" w:ascii="宋体" w:hAnsi="宋体"/>
          <w:color w:val="000000"/>
          <w:sz w:val="22"/>
          <w:szCs w:val="22"/>
          <w:highlight w:val="none"/>
        </w:rPr>
        <w:t>我</w:t>
      </w:r>
      <w:r>
        <w:rPr>
          <w:rFonts w:hint="eastAsia" w:ascii="宋体" w:hAnsi="宋体"/>
          <w:color w:val="000000"/>
          <w:sz w:val="22"/>
          <w:szCs w:val="22"/>
          <w:highlight w:val="none"/>
          <w:u w:val="single"/>
        </w:rPr>
        <w:t>（姓名）</w:t>
      </w:r>
      <w:r>
        <w:rPr>
          <w:rFonts w:hint="eastAsia" w:ascii="宋体" w:hAnsi="宋体"/>
          <w:color w:val="000000"/>
          <w:sz w:val="22"/>
          <w:szCs w:val="22"/>
          <w:highlight w:val="none"/>
        </w:rPr>
        <w:t>系</w:t>
      </w:r>
      <w:r>
        <w:rPr>
          <w:rFonts w:hint="eastAsia" w:ascii="宋体" w:hAnsi="宋体"/>
          <w:color w:val="000000"/>
          <w:sz w:val="22"/>
          <w:szCs w:val="22"/>
          <w:highlight w:val="none"/>
          <w:u w:val="single"/>
        </w:rPr>
        <w:t>（投标人名称）</w:t>
      </w:r>
      <w:r>
        <w:rPr>
          <w:rFonts w:hint="eastAsia" w:ascii="宋体" w:hAnsi="宋体"/>
          <w:color w:val="000000"/>
          <w:sz w:val="22"/>
          <w:szCs w:val="22"/>
          <w:highlight w:val="none"/>
        </w:rPr>
        <w:t>的法定代表人，现授权委托本单位在职职工</w:t>
      </w:r>
      <w:r>
        <w:rPr>
          <w:rFonts w:hint="eastAsia" w:ascii="宋体" w:hAnsi="宋体"/>
          <w:color w:val="000000"/>
          <w:sz w:val="22"/>
          <w:szCs w:val="22"/>
          <w:highlight w:val="none"/>
          <w:u w:val="single"/>
        </w:rPr>
        <w:t>（姓名）</w:t>
      </w:r>
      <w:r>
        <w:rPr>
          <w:rFonts w:hint="eastAsia" w:ascii="宋体" w:hAnsi="宋体"/>
          <w:color w:val="000000"/>
          <w:sz w:val="22"/>
          <w:szCs w:val="22"/>
          <w:highlight w:val="none"/>
        </w:rPr>
        <w:t>以我方的名义参加</w:t>
      </w:r>
      <w:r>
        <w:rPr>
          <w:rFonts w:hint="eastAsia" w:ascii="宋体" w:hAnsi="宋体"/>
          <w:color w:val="000000"/>
          <w:sz w:val="22"/>
          <w:szCs w:val="22"/>
          <w:highlight w:val="none"/>
          <w:u w:val="single"/>
        </w:rPr>
        <w:t xml:space="preserve">          项目</w:t>
      </w:r>
      <w:r>
        <w:rPr>
          <w:rFonts w:hint="eastAsia" w:ascii="宋体" w:hAnsi="宋体"/>
          <w:color w:val="000000"/>
          <w:sz w:val="22"/>
          <w:szCs w:val="22"/>
          <w:highlight w:val="none"/>
        </w:rPr>
        <w:t>的投标活动，并代表我方全权办理针对上述项目的投标、开标、评标、签约等具体事务和签署相关文件。</w:t>
      </w:r>
    </w:p>
    <w:p w14:paraId="6D1ED534">
      <w:pPr>
        <w:snapToGrid w:val="0"/>
        <w:spacing w:before="156" w:beforeLines="50" w:after="50" w:line="360" w:lineRule="auto"/>
        <w:rPr>
          <w:rFonts w:ascii="宋体" w:hAnsi="宋体"/>
          <w:color w:val="000000"/>
          <w:sz w:val="22"/>
          <w:szCs w:val="22"/>
          <w:highlight w:val="none"/>
        </w:rPr>
      </w:pPr>
      <w:r>
        <w:rPr>
          <w:rFonts w:hint="eastAsia" w:ascii="宋体" w:hAnsi="宋体"/>
          <w:color w:val="000000"/>
          <w:sz w:val="22"/>
          <w:szCs w:val="22"/>
          <w:highlight w:val="none"/>
        </w:rPr>
        <w:t>我方对被授权人的签名事项负全部责任。</w:t>
      </w:r>
    </w:p>
    <w:p w14:paraId="5882E973">
      <w:pPr>
        <w:snapToGrid w:val="0"/>
        <w:spacing w:before="156" w:beforeLines="50" w:after="50" w:line="360" w:lineRule="auto"/>
        <w:ind w:firstLine="480"/>
        <w:rPr>
          <w:rFonts w:ascii="宋体" w:hAnsi="宋体"/>
          <w:color w:val="000000"/>
          <w:sz w:val="22"/>
          <w:szCs w:val="22"/>
          <w:highlight w:val="none"/>
        </w:rPr>
      </w:pPr>
      <w:r>
        <w:rPr>
          <w:rFonts w:hint="eastAsia" w:ascii="宋体" w:hAnsi="宋体"/>
          <w:color w:val="000000"/>
          <w:sz w:val="22"/>
          <w:szCs w:val="22"/>
          <w:highlight w:val="none"/>
          <w:u w:val="single"/>
        </w:rPr>
        <w:t>在撤销授权的书面通知以前，本授权书一直有效。</w:t>
      </w:r>
      <w:r>
        <w:rPr>
          <w:rFonts w:hint="eastAsia" w:ascii="宋体" w:hAnsi="宋体"/>
          <w:color w:val="000000"/>
          <w:sz w:val="22"/>
          <w:szCs w:val="22"/>
          <w:highlight w:val="none"/>
        </w:rPr>
        <w:t>被授权人在授权书有效期内签署的所有文件不因授权的撤销而失效。</w:t>
      </w:r>
    </w:p>
    <w:p w14:paraId="3FDC1E9F">
      <w:pPr>
        <w:snapToGrid w:val="0"/>
        <w:spacing w:before="156" w:beforeLines="50" w:after="50" w:line="360" w:lineRule="auto"/>
        <w:ind w:firstLine="480"/>
        <w:rPr>
          <w:rFonts w:ascii="宋体" w:hAnsi="宋体"/>
          <w:color w:val="000000"/>
          <w:sz w:val="22"/>
          <w:szCs w:val="22"/>
          <w:highlight w:val="none"/>
        </w:rPr>
      </w:pPr>
      <w:r>
        <w:rPr>
          <w:rFonts w:hint="eastAsia" w:ascii="宋体" w:hAnsi="宋体"/>
          <w:color w:val="000000"/>
          <w:sz w:val="22"/>
          <w:szCs w:val="22"/>
          <w:highlight w:val="none"/>
        </w:rPr>
        <w:t>被授权人无转委托权，特此委托。</w:t>
      </w:r>
    </w:p>
    <w:p w14:paraId="4F39CFE0">
      <w:pPr>
        <w:snapToGrid w:val="0"/>
        <w:spacing w:before="156" w:beforeLines="50" w:after="50" w:line="360" w:lineRule="auto"/>
        <w:rPr>
          <w:rFonts w:ascii="宋体" w:hAnsi="宋体"/>
          <w:color w:val="000000"/>
          <w:sz w:val="22"/>
          <w:szCs w:val="22"/>
          <w:highlight w:val="none"/>
        </w:rPr>
      </w:pPr>
    </w:p>
    <w:p w14:paraId="0B06311E">
      <w:pPr>
        <w:snapToGrid w:val="0"/>
        <w:spacing w:before="156" w:beforeLines="50" w:after="50" w:line="360" w:lineRule="auto"/>
        <w:rPr>
          <w:rFonts w:ascii="宋体" w:hAnsi="宋体"/>
          <w:color w:val="000000"/>
          <w:sz w:val="22"/>
          <w:szCs w:val="22"/>
          <w:highlight w:val="none"/>
        </w:rPr>
      </w:pPr>
      <w:r>
        <w:rPr>
          <w:rFonts w:hint="eastAsia" w:ascii="宋体" w:hAnsi="宋体"/>
          <w:color w:val="000000"/>
          <w:sz w:val="22"/>
          <w:szCs w:val="22"/>
          <w:highlight w:val="none"/>
        </w:rPr>
        <w:t>法定代表人签名：</w:t>
      </w:r>
    </w:p>
    <w:p w14:paraId="3C949297">
      <w:pPr>
        <w:snapToGrid w:val="0"/>
        <w:spacing w:before="156" w:beforeLines="50" w:after="50" w:line="360" w:lineRule="auto"/>
        <w:rPr>
          <w:rFonts w:ascii="宋体" w:hAnsi="宋体"/>
          <w:color w:val="000000"/>
          <w:sz w:val="22"/>
          <w:szCs w:val="22"/>
          <w:highlight w:val="none"/>
          <w:u w:val="single"/>
        </w:rPr>
      </w:pPr>
      <w:r>
        <w:rPr>
          <w:rFonts w:hint="eastAsia" w:ascii="宋体" w:hAnsi="宋体"/>
          <w:color w:val="000000"/>
          <w:sz w:val="22"/>
          <w:szCs w:val="22"/>
          <w:highlight w:val="none"/>
        </w:rPr>
        <w:t xml:space="preserve">被授权人签名：                 </w:t>
      </w:r>
    </w:p>
    <w:p w14:paraId="4C6E37B7">
      <w:pPr>
        <w:snapToGrid w:val="0"/>
        <w:spacing w:before="156" w:beforeLines="50" w:after="50" w:line="360" w:lineRule="auto"/>
        <w:rPr>
          <w:rFonts w:ascii="宋体" w:hAnsi="宋体"/>
          <w:color w:val="000000"/>
          <w:sz w:val="22"/>
          <w:szCs w:val="22"/>
          <w:highlight w:val="none"/>
        </w:rPr>
      </w:pPr>
      <w:r>
        <w:rPr>
          <w:rFonts w:hint="eastAsia" w:ascii="宋体" w:hAnsi="宋体"/>
          <w:color w:val="000000"/>
          <w:sz w:val="22"/>
          <w:szCs w:val="22"/>
          <w:highlight w:val="none"/>
        </w:rPr>
        <w:t>被授权人身份证号码：</w:t>
      </w:r>
    </w:p>
    <w:p w14:paraId="64CAF719">
      <w:pPr>
        <w:snapToGrid w:val="0"/>
        <w:spacing w:before="156" w:beforeLines="50" w:after="50" w:line="360" w:lineRule="auto"/>
        <w:rPr>
          <w:rFonts w:ascii="宋体" w:hAnsi="宋体"/>
          <w:color w:val="000000"/>
          <w:sz w:val="22"/>
          <w:szCs w:val="22"/>
          <w:highlight w:val="none"/>
        </w:rPr>
      </w:pPr>
      <w:r>
        <w:rPr>
          <w:rFonts w:hint="eastAsia" w:ascii="宋体" w:hAnsi="宋体"/>
          <w:color w:val="000000"/>
          <w:sz w:val="22"/>
          <w:szCs w:val="22"/>
          <w:highlight w:val="none"/>
        </w:rPr>
        <w:t>投标人公章：</w:t>
      </w:r>
    </w:p>
    <w:p w14:paraId="62A228AD">
      <w:pPr>
        <w:snapToGrid w:val="0"/>
        <w:spacing w:before="156" w:beforeLines="50" w:after="50" w:line="360" w:lineRule="auto"/>
        <w:rPr>
          <w:rFonts w:ascii="宋体" w:hAnsi="宋体"/>
          <w:b/>
          <w:color w:val="000000"/>
          <w:sz w:val="22"/>
          <w:szCs w:val="22"/>
          <w:highlight w:val="none"/>
        </w:rPr>
      </w:pPr>
      <w:r>
        <w:rPr>
          <w:rFonts w:hint="eastAsia" w:ascii="宋体" w:hAnsi="宋体"/>
          <w:color w:val="000000"/>
          <w:sz w:val="22"/>
          <w:szCs w:val="22"/>
          <w:highlight w:val="none"/>
        </w:rPr>
        <w:t>年   月   日</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8"/>
      </w:tblGrid>
      <w:tr w14:paraId="34EB8D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8" w:hRule="atLeast"/>
        </w:trPr>
        <w:tc>
          <w:tcPr>
            <w:tcW w:w="9288" w:type="dxa"/>
          </w:tcPr>
          <w:p w14:paraId="55ED7ECF">
            <w:pPr>
              <w:snapToGrid w:val="0"/>
              <w:spacing w:before="156" w:beforeLines="50" w:after="50" w:line="360" w:lineRule="auto"/>
              <w:rPr>
                <w:rFonts w:ascii="宋体" w:hAnsi="宋体"/>
                <w:b/>
                <w:color w:val="000000"/>
                <w:sz w:val="28"/>
                <w:szCs w:val="28"/>
                <w:highlight w:val="none"/>
              </w:rPr>
            </w:pPr>
            <w:r>
              <w:rPr>
                <w:rFonts w:hint="eastAsia" w:ascii="宋体" w:hAnsi="宋体"/>
                <w:b/>
                <w:color w:val="000000"/>
                <w:sz w:val="28"/>
                <w:szCs w:val="28"/>
                <w:highlight w:val="none"/>
              </w:rPr>
              <w:t>附法定代表人身份证正反面复印件</w:t>
            </w:r>
          </w:p>
        </w:tc>
      </w:tr>
      <w:tr w14:paraId="5A28CB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7" w:hRule="atLeast"/>
        </w:trPr>
        <w:tc>
          <w:tcPr>
            <w:tcW w:w="9288" w:type="dxa"/>
          </w:tcPr>
          <w:p w14:paraId="063AE857">
            <w:pPr>
              <w:snapToGrid w:val="0"/>
              <w:spacing w:before="156" w:beforeLines="50" w:after="50" w:line="360" w:lineRule="auto"/>
              <w:rPr>
                <w:rFonts w:ascii="宋体" w:hAnsi="宋体"/>
                <w:b/>
                <w:color w:val="000000"/>
                <w:sz w:val="28"/>
                <w:szCs w:val="28"/>
                <w:highlight w:val="none"/>
              </w:rPr>
            </w:pPr>
            <w:r>
              <w:rPr>
                <w:rFonts w:hint="eastAsia" w:ascii="宋体" w:hAnsi="宋体"/>
                <w:b/>
                <w:color w:val="000000"/>
                <w:sz w:val="28"/>
                <w:szCs w:val="28"/>
                <w:highlight w:val="none"/>
              </w:rPr>
              <w:t>附被授权人身份证正反面复印件</w:t>
            </w:r>
          </w:p>
        </w:tc>
      </w:tr>
    </w:tbl>
    <w:p w14:paraId="48795BA1">
      <w:pPr>
        <w:spacing w:line="360" w:lineRule="auto"/>
        <w:jc w:val="left"/>
        <w:rPr>
          <w:rFonts w:ascii="宋体" w:hAnsi="宋体" w:cs="宋体"/>
          <w:snapToGrid w:val="0"/>
          <w:sz w:val="28"/>
          <w:szCs w:val="28"/>
          <w:highlight w:val="none"/>
        </w:rPr>
      </w:pPr>
    </w:p>
    <w:p w14:paraId="5D1B0A0E">
      <w:pPr>
        <w:spacing w:line="360" w:lineRule="auto"/>
        <w:jc w:val="left"/>
        <w:rPr>
          <w:rFonts w:ascii="宋体" w:hAnsi="宋体"/>
          <w:color w:val="000000"/>
          <w:sz w:val="28"/>
          <w:szCs w:val="32"/>
          <w:highlight w:val="none"/>
        </w:rPr>
      </w:pPr>
      <w:r>
        <w:rPr>
          <w:rFonts w:hint="eastAsia" w:ascii="宋体" w:hAnsi="宋体"/>
          <w:color w:val="000000"/>
          <w:sz w:val="28"/>
          <w:szCs w:val="32"/>
          <w:highlight w:val="none"/>
        </w:rPr>
        <w:t>附件一-2</w:t>
      </w:r>
    </w:p>
    <w:p w14:paraId="3697325B">
      <w:pPr>
        <w:spacing w:line="360" w:lineRule="auto"/>
        <w:jc w:val="center"/>
        <w:outlineLvl w:val="3"/>
        <w:rPr>
          <w:rFonts w:ascii="宋体" w:hAnsi="宋体" w:cs="宋体"/>
          <w:b/>
          <w:bCs/>
          <w:snapToGrid w:val="0"/>
          <w:sz w:val="28"/>
          <w:szCs w:val="28"/>
          <w:highlight w:val="none"/>
        </w:rPr>
      </w:pPr>
      <w:r>
        <w:rPr>
          <w:rFonts w:hint="eastAsia" w:ascii="宋体" w:hAnsi="宋体" w:cs="宋体"/>
          <w:b/>
          <w:bCs/>
          <w:snapToGrid w:val="0"/>
          <w:sz w:val="28"/>
          <w:szCs w:val="28"/>
          <w:highlight w:val="none"/>
        </w:rPr>
        <w:t>法定代表人资格证明书</w:t>
      </w:r>
    </w:p>
    <w:p w14:paraId="4B29FDA7">
      <w:pPr>
        <w:spacing w:line="360" w:lineRule="auto"/>
        <w:ind w:left="-6" w:leftChars="-3" w:firstLine="440" w:firstLineChars="200"/>
        <w:rPr>
          <w:rFonts w:ascii="宋体" w:hAnsi="宋体" w:cs="宋体"/>
          <w:sz w:val="22"/>
          <w:szCs w:val="22"/>
          <w:highlight w:val="none"/>
        </w:rPr>
      </w:pPr>
    </w:p>
    <w:p w14:paraId="2C0E402B">
      <w:pPr>
        <w:spacing w:line="360" w:lineRule="auto"/>
        <w:ind w:left="-6" w:leftChars="-3" w:firstLine="440" w:firstLineChars="200"/>
        <w:rPr>
          <w:rFonts w:ascii="宋体" w:hAnsi="宋体" w:cs="宋体"/>
          <w:sz w:val="22"/>
          <w:szCs w:val="22"/>
          <w:highlight w:val="none"/>
        </w:rPr>
      </w:pPr>
    </w:p>
    <w:p w14:paraId="4853CE28">
      <w:pPr>
        <w:spacing w:line="360" w:lineRule="auto"/>
        <w:rPr>
          <w:rFonts w:ascii="宋体" w:hAnsi="宋体" w:cs="宋体"/>
          <w:sz w:val="22"/>
          <w:szCs w:val="22"/>
          <w:highlight w:val="none"/>
          <w:u w:val="single"/>
        </w:rPr>
      </w:pPr>
      <w:r>
        <w:rPr>
          <w:rFonts w:hint="eastAsia" w:ascii="宋体" w:hAnsi="宋体" w:cs="宋体"/>
          <w:sz w:val="22"/>
          <w:szCs w:val="22"/>
          <w:highlight w:val="none"/>
        </w:rPr>
        <w:t xml:space="preserve">    单位名称：</w:t>
      </w:r>
    </w:p>
    <w:p w14:paraId="748D58F1">
      <w:pPr>
        <w:spacing w:line="360" w:lineRule="auto"/>
        <w:ind w:left="-6" w:leftChars="-3" w:firstLine="440" w:firstLineChars="200"/>
        <w:rPr>
          <w:rFonts w:ascii="宋体" w:hAnsi="宋体" w:cs="宋体"/>
          <w:sz w:val="22"/>
          <w:szCs w:val="22"/>
          <w:highlight w:val="none"/>
          <w:u w:val="single"/>
        </w:rPr>
      </w:pPr>
      <w:r>
        <w:rPr>
          <w:rFonts w:hint="eastAsia" w:ascii="宋体" w:hAnsi="宋体" w:cs="宋体"/>
          <w:sz w:val="22"/>
          <w:szCs w:val="22"/>
          <w:highlight w:val="none"/>
        </w:rPr>
        <w:t>地    址：</w:t>
      </w:r>
    </w:p>
    <w:p w14:paraId="0C2FD054">
      <w:pPr>
        <w:spacing w:line="360" w:lineRule="auto"/>
        <w:ind w:left="-6" w:leftChars="-3" w:firstLine="440" w:firstLineChars="200"/>
        <w:rPr>
          <w:rFonts w:ascii="宋体" w:hAnsi="宋体" w:cs="宋体"/>
          <w:sz w:val="22"/>
          <w:szCs w:val="22"/>
          <w:highlight w:val="none"/>
        </w:rPr>
      </w:pPr>
      <w:r>
        <w:rPr>
          <w:rFonts w:hint="eastAsia" w:ascii="宋体" w:hAnsi="宋体" w:cs="宋体"/>
          <w:sz w:val="22"/>
          <w:szCs w:val="22"/>
          <w:highlight w:val="none"/>
        </w:rPr>
        <w:t>姓名： 性别：年龄：职务：</w:t>
      </w:r>
    </w:p>
    <w:p w14:paraId="1DA1D933">
      <w:pPr>
        <w:spacing w:line="360" w:lineRule="auto"/>
        <w:ind w:left="-6" w:leftChars="-3" w:firstLine="440" w:firstLineChars="200"/>
        <w:rPr>
          <w:rFonts w:ascii="宋体" w:hAnsi="宋体" w:cs="宋体"/>
          <w:sz w:val="22"/>
          <w:szCs w:val="22"/>
          <w:highlight w:val="none"/>
        </w:rPr>
      </w:pPr>
      <w:r>
        <w:rPr>
          <w:rFonts w:hint="eastAsia" w:ascii="宋体" w:hAnsi="宋体" w:cs="宋体"/>
          <w:sz w:val="22"/>
          <w:szCs w:val="22"/>
          <w:highlight w:val="none"/>
        </w:rPr>
        <w:t>身份证号码：系</w:t>
      </w:r>
      <w:r>
        <w:rPr>
          <w:rFonts w:hint="eastAsia" w:ascii="宋体" w:hAnsi="宋体" w:cs="宋体"/>
          <w:sz w:val="22"/>
          <w:szCs w:val="22"/>
          <w:highlight w:val="none"/>
          <w:u w:val="single"/>
        </w:rPr>
        <w:t xml:space="preserve">               （单位名称）</w:t>
      </w:r>
      <w:r>
        <w:rPr>
          <w:rFonts w:hint="eastAsia" w:ascii="宋体" w:hAnsi="宋体" w:cs="宋体"/>
          <w:sz w:val="22"/>
          <w:szCs w:val="22"/>
          <w:highlight w:val="none"/>
        </w:rPr>
        <w:t>的法定代表人。</w:t>
      </w:r>
    </w:p>
    <w:p w14:paraId="5CA41A2F">
      <w:pPr>
        <w:spacing w:line="360" w:lineRule="auto"/>
        <w:ind w:left="-6" w:leftChars="-3" w:firstLine="440" w:firstLineChars="200"/>
        <w:rPr>
          <w:rFonts w:ascii="宋体" w:hAnsi="宋体" w:cs="宋体"/>
          <w:sz w:val="22"/>
          <w:szCs w:val="22"/>
          <w:highlight w:val="none"/>
        </w:rPr>
      </w:pPr>
      <w:r>
        <w:rPr>
          <w:rFonts w:hint="eastAsia" w:ascii="宋体" w:hAnsi="宋体" w:cs="宋体"/>
          <w:sz w:val="22"/>
          <w:szCs w:val="22"/>
          <w:highlight w:val="none"/>
        </w:rPr>
        <w:t>特此证明。</w:t>
      </w:r>
    </w:p>
    <w:p w14:paraId="75D30A88">
      <w:pPr>
        <w:spacing w:line="360" w:lineRule="auto"/>
        <w:ind w:left="4060" w:leftChars="1881" w:hanging="110" w:hangingChars="50"/>
        <w:rPr>
          <w:rFonts w:ascii="宋体" w:hAnsi="宋体" w:cs="宋体"/>
          <w:sz w:val="22"/>
          <w:szCs w:val="22"/>
          <w:highlight w:val="none"/>
        </w:rPr>
      </w:pPr>
    </w:p>
    <w:p w14:paraId="59BC3174">
      <w:pPr>
        <w:spacing w:line="360" w:lineRule="auto"/>
        <w:ind w:left="4060" w:leftChars="1881" w:hanging="110" w:hangingChars="50"/>
        <w:rPr>
          <w:rFonts w:ascii="宋体" w:hAnsi="宋体" w:cs="宋体"/>
          <w:sz w:val="22"/>
          <w:szCs w:val="22"/>
          <w:highlight w:val="none"/>
        </w:rPr>
      </w:pPr>
    </w:p>
    <w:p w14:paraId="0210ED5B">
      <w:pPr>
        <w:spacing w:line="360" w:lineRule="auto"/>
        <w:ind w:left="4060" w:leftChars="1881" w:hanging="110" w:hangingChars="50"/>
        <w:rPr>
          <w:rFonts w:ascii="宋体" w:hAnsi="宋体" w:cs="宋体"/>
          <w:sz w:val="22"/>
          <w:szCs w:val="22"/>
          <w:highlight w:val="none"/>
        </w:rPr>
      </w:pPr>
    </w:p>
    <w:p w14:paraId="5E74F7E3">
      <w:pPr>
        <w:spacing w:line="360" w:lineRule="auto"/>
        <w:ind w:left="4060" w:leftChars="1881" w:hanging="110" w:hangingChars="50"/>
        <w:rPr>
          <w:rFonts w:ascii="宋体" w:hAnsi="宋体" w:cs="宋体"/>
          <w:sz w:val="22"/>
          <w:szCs w:val="22"/>
          <w:highlight w:val="none"/>
        </w:rPr>
      </w:pPr>
      <w:r>
        <w:rPr>
          <w:rFonts w:hint="eastAsia" w:ascii="宋体" w:hAnsi="宋体" w:cs="宋体"/>
          <w:sz w:val="22"/>
          <w:szCs w:val="22"/>
          <w:highlight w:val="none"/>
        </w:rPr>
        <w:t>投  标  人(盖公章)：</w:t>
      </w:r>
    </w:p>
    <w:p w14:paraId="6245B1BA">
      <w:pPr>
        <w:spacing w:line="360" w:lineRule="auto"/>
        <w:ind w:left="4060" w:leftChars="1881" w:hanging="110" w:hangingChars="50"/>
        <w:rPr>
          <w:rFonts w:ascii="宋体" w:hAnsi="宋体" w:cs="宋体"/>
          <w:bCs/>
          <w:sz w:val="22"/>
          <w:szCs w:val="22"/>
          <w:highlight w:val="none"/>
        </w:rPr>
      </w:pPr>
    </w:p>
    <w:p w14:paraId="12C9E89B">
      <w:pPr>
        <w:spacing w:line="360" w:lineRule="auto"/>
        <w:ind w:left="4060" w:leftChars="1881" w:hanging="110" w:hangingChars="50"/>
        <w:rPr>
          <w:rFonts w:ascii="宋体" w:hAnsi="宋体" w:cs="宋体"/>
          <w:sz w:val="22"/>
          <w:szCs w:val="22"/>
          <w:highlight w:val="none"/>
        </w:rPr>
      </w:pPr>
      <w:r>
        <w:rPr>
          <w:rFonts w:hint="eastAsia" w:ascii="宋体" w:hAnsi="宋体" w:cs="宋体"/>
          <w:bCs/>
          <w:sz w:val="22"/>
          <w:szCs w:val="22"/>
          <w:highlight w:val="none"/>
        </w:rPr>
        <w:t xml:space="preserve">日      期： </w:t>
      </w:r>
      <w:r>
        <w:rPr>
          <w:rFonts w:hint="eastAsia" w:ascii="宋体" w:hAnsi="宋体" w:cs="宋体"/>
          <w:sz w:val="22"/>
          <w:szCs w:val="22"/>
          <w:highlight w:val="none"/>
        </w:rPr>
        <w:t>年  月   日</w:t>
      </w:r>
    </w:p>
    <w:p w14:paraId="59A89030">
      <w:pPr>
        <w:spacing w:line="360" w:lineRule="auto"/>
        <w:jc w:val="left"/>
        <w:rPr>
          <w:rFonts w:ascii="宋体" w:hAnsi="宋体"/>
          <w:b/>
          <w:color w:val="000000"/>
          <w:sz w:val="28"/>
          <w:szCs w:val="28"/>
          <w:highlight w:val="none"/>
        </w:rPr>
      </w:pPr>
      <w:r>
        <w:rPr>
          <w:rFonts w:ascii="宋体" w:hAnsi="宋体"/>
          <w:b/>
          <w:color w:val="000000"/>
          <w:sz w:val="22"/>
          <w:szCs w:val="22"/>
          <w:highlight w:val="none"/>
        </w:rPr>
        <w:br w:type="page"/>
      </w:r>
      <w:r>
        <w:rPr>
          <w:rFonts w:hint="eastAsia" w:ascii="宋体" w:hAnsi="宋体"/>
          <w:color w:val="000000"/>
          <w:sz w:val="28"/>
          <w:szCs w:val="32"/>
          <w:highlight w:val="none"/>
        </w:rPr>
        <w:t>附件二</w:t>
      </w:r>
    </w:p>
    <w:p w14:paraId="1B3E5846">
      <w:pPr>
        <w:snapToGrid w:val="0"/>
        <w:spacing w:before="156" w:beforeLines="50" w:after="50" w:line="360" w:lineRule="auto"/>
        <w:jc w:val="center"/>
        <w:outlineLvl w:val="3"/>
        <w:rPr>
          <w:rFonts w:ascii="宋体" w:hAnsi="宋体"/>
          <w:b/>
          <w:color w:val="000000"/>
          <w:sz w:val="28"/>
          <w:szCs w:val="28"/>
          <w:highlight w:val="none"/>
        </w:rPr>
      </w:pPr>
      <w:r>
        <w:rPr>
          <w:rFonts w:hint="eastAsia" w:ascii="宋体" w:hAnsi="宋体"/>
          <w:b/>
          <w:color w:val="000000"/>
          <w:sz w:val="28"/>
          <w:szCs w:val="28"/>
          <w:highlight w:val="none"/>
        </w:rPr>
        <w:t>投标声明书</w:t>
      </w:r>
    </w:p>
    <w:p w14:paraId="093A3902">
      <w:pPr>
        <w:snapToGrid w:val="0"/>
        <w:spacing w:before="156" w:beforeLines="50" w:after="50" w:line="360" w:lineRule="auto"/>
        <w:rPr>
          <w:rFonts w:ascii="宋体" w:hAnsi="宋体" w:cs="宋体"/>
          <w:color w:val="000000"/>
          <w:sz w:val="22"/>
          <w:szCs w:val="22"/>
          <w:highlight w:val="none"/>
        </w:rPr>
      </w:pPr>
      <w:r>
        <w:rPr>
          <w:rFonts w:hint="eastAsia" w:ascii="宋体" w:hAnsi="宋体" w:cs="宋体"/>
          <w:color w:val="000000"/>
          <w:sz w:val="22"/>
          <w:szCs w:val="22"/>
          <w:highlight w:val="none"/>
        </w:rPr>
        <w:t>致：温州港集团有限公司龙湾港务分公司：</w:t>
      </w:r>
    </w:p>
    <w:p w14:paraId="46BC4782">
      <w:pPr>
        <w:snapToGrid w:val="0"/>
        <w:spacing w:before="156" w:beforeLines="50" w:after="50" w:line="360" w:lineRule="auto"/>
        <w:ind w:firstLine="660" w:firstLineChars="300"/>
        <w:rPr>
          <w:rFonts w:ascii="宋体" w:hAnsi="宋体" w:cs="宋体"/>
          <w:color w:val="000000"/>
          <w:sz w:val="22"/>
          <w:szCs w:val="22"/>
          <w:highlight w:val="none"/>
        </w:rPr>
      </w:pPr>
      <w:r>
        <w:rPr>
          <w:rFonts w:hint="eastAsia" w:ascii="宋体" w:hAnsi="宋体" w:cs="宋体"/>
          <w:color w:val="000000"/>
          <w:sz w:val="22"/>
          <w:szCs w:val="22"/>
          <w:highlight w:val="none"/>
          <w:u w:val="single"/>
        </w:rPr>
        <w:t>（投标人名称）</w:t>
      </w:r>
      <w:r>
        <w:rPr>
          <w:rFonts w:hint="eastAsia" w:ascii="宋体" w:hAnsi="宋体" w:cs="宋体"/>
          <w:color w:val="000000"/>
          <w:sz w:val="22"/>
          <w:szCs w:val="22"/>
          <w:highlight w:val="none"/>
        </w:rPr>
        <w:t>系中华人民共和国合法企业，经营地址。</w:t>
      </w:r>
    </w:p>
    <w:p w14:paraId="3054480A">
      <w:pPr>
        <w:snapToGrid w:val="0"/>
        <w:spacing w:before="156" w:beforeLines="50" w:after="50" w:line="360" w:lineRule="auto"/>
        <w:ind w:firstLine="645"/>
        <w:rPr>
          <w:rFonts w:ascii="宋体" w:hAnsi="宋体" w:cs="宋体"/>
          <w:color w:val="000000"/>
          <w:sz w:val="22"/>
          <w:szCs w:val="22"/>
          <w:highlight w:val="none"/>
        </w:rPr>
      </w:pPr>
      <w:r>
        <w:rPr>
          <w:rFonts w:hint="eastAsia" w:ascii="宋体" w:hAnsi="宋体" w:cs="宋体"/>
          <w:color w:val="000000"/>
          <w:sz w:val="22"/>
          <w:szCs w:val="22"/>
          <w:highlight w:val="none"/>
        </w:rPr>
        <w:t>我</w:t>
      </w:r>
      <w:r>
        <w:rPr>
          <w:rFonts w:hint="eastAsia" w:ascii="宋体" w:hAnsi="宋体" w:cs="宋体"/>
          <w:color w:val="000000"/>
          <w:sz w:val="22"/>
          <w:szCs w:val="22"/>
          <w:highlight w:val="none"/>
          <w:u w:val="single"/>
        </w:rPr>
        <w:t>（姓名）</w:t>
      </w:r>
      <w:r>
        <w:rPr>
          <w:rFonts w:hint="eastAsia" w:ascii="宋体" w:hAnsi="宋体" w:cs="宋体"/>
          <w:color w:val="000000"/>
          <w:sz w:val="22"/>
          <w:szCs w:val="22"/>
          <w:highlight w:val="none"/>
        </w:rPr>
        <w:t>系</w:t>
      </w:r>
      <w:r>
        <w:rPr>
          <w:rFonts w:hint="eastAsia" w:ascii="宋体" w:hAnsi="宋体" w:cs="宋体"/>
          <w:color w:val="000000"/>
          <w:sz w:val="22"/>
          <w:szCs w:val="22"/>
          <w:highlight w:val="none"/>
          <w:u w:val="single"/>
        </w:rPr>
        <w:t>（投标人名称）</w:t>
      </w:r>
      <w:r>
        <w:rPr>
          <w:rFonts w:hint="eastAsia" w:ascii="宋体" w:hAnsi="宋体" w:cs="宋体"/>
          <w:color w:val="000000"/>
          <w:sz w:val="22"/>
          <w:szCs w:val="22"/>
          <w:highlight w:val="none"/>
        </w:rPr>
        <w:t>的法定代表人，我方愿意参加贵方组织的</w:t>
      </w:r>
      <w:r>
        <w:rPr>
          <w:rFonts w:hint="eastAsia" w:ascii="宋体" w:hAnsi="宋体" w:cs="宋体"/>
          <w:color w:val="000000"/>
          <w:sz w:val="22"/>
          <w:szCs w:val="22"/>
          <w:highlight w:val="none"/>
          <w:u w:val="single"/>
        </w:rPr>
        <w:t xml:space="preserve">      </w:t>
      </w:r>
      <w:r>
        <w:rPr>
          <w:rFonts w:hint="eastAsia" w:ascii="宋体" w:hAnsi="宋体" w:cs="宋体"/>
          <w:color w:val="000000"/>
          <w:sz w:val="22"/>
          <w:szCs w:val="22"/>
          <w:highlight w:val="none"/>
        </w:rPr>
        <w:t>项目的投标，为便于贵方公正、择优地确定中标人及其投标产品和服务，我方就本次投标有关事项郑重声明如下：</w:t>
      </w:r>
    </w:p>
    <w:p w14:paraId="43097C2D">
      <w:pPr>
        <w:snapToGrid w:val="0"/>
        <w:spacing w:line="360" w:lineRule="auto"/>
        <w:ind w:firstLine="440" w:firstLineChars="200"/>
        <w:rPr>
          <w:rFonts w:ascii="宋体" w:hAnsi="宋体" w:cs="宋体"/>
          <w:color w:val="000000"/>
          <w:sz w:val="22"/>
          <w:szCs w:val="22"/>
          <w:highlight w:val="none"/>
        </w:rPr>
      </w:pPr>
      <w:r>
        <w:rPr>
          <w:rFonts w:hint="eastAsia" w:ascii="宋体" w:hAnsi="宋体" w:cs="宋体"/>
          <w:color w:val="000000"/>
          <w:sz w:val="22"/>
          <w:szCs w:val="22"/>
          <w:highlight w:val="none"/>
        </w:rPr>
        <w:t>1.我方向贵方提交的所有投标文件、资料都是准确的和真实的。</w:t>
      </w:r>
    </w:p>
    <w:p w14:paraId="21B0A124">
      <w:pPr>
        <w:snapToGrid w:val="0"/>
        <w:spacing w:line="360" w:lineRule="auto"/>
        <w:ind w:firstLine="440" w:firstLineChars="200"/>
        <w:rPr>
          <w:rFonts w:ascii="宋体" w:hAnsi="宋体" w:cs="宋体"/>
          <w:color w:val="000000"/>
          <w:sz w:val="22"/>
          <w:szCs w:val="22"/>
          <w:highlight w:val="none"/>
        </w:rPr>
      </w:pPr>
      <w:r>
        <w:rPr>
          <w:rFonts w:hint="eastAsia" w:ascii="宋体" w:hAnsi="宋体" w:cs="宋体"/>
          <w:color w:val="000000"/>
          <w:sz w:val="22"/>
          <w:szCs w:val="22"/>
          <w:highlight w:val="none"/>
        </w:rPr>
        <w:t>2.我方不是招标人的附属机构；在获知本项目采购信息后，与招标人聘请的为此项目提供咨询服务的公司及其附属机构没有任何联系。</w:t>
      </w:r>
    </w:p>
    <w:p w14:paraId="15C67249">
      <w:pPr>
        <w:snapToGrid w:val="0"/>
        <w:spacing w:line="360" w:lineRule="auto"/>
        <w:ind w:firstLine="440" w:firstLineChars="200"/>
        <w:rPr>
          <w:rFonts w:ascii="宋体" w:hAnsi="宋体" w:cs="宋体"/>
          <w:color w:val="000000"/>
          <w:sz w:val="22"/>
          <w:szCs w:val="22"/>
          <w:highlight w:val="none"/>
        </w:rPr>
      </w:pPr>
      <w:r>
        <w:rPr>
          <w:rFonts w:hint="eastAsia" w:ascii="宋体" w:hAnsi="宋体" w:cs="宋体"/>
          <w:color w:val="000000"/>
          <w:sz w:val="22"/>
          <w:szCs w:val="22"/>
          <w:highlight w:val="none"/>
        </w:rPr>
        <w:t>3.我方不是联合体投标，假如有幸中标我方承诺不会将本项目分包转包</w:t>
      </w:r>
    </w:p>
    <w:p w14:paraId="7261DD34">
      <w:pPr>
        <w:snapToGrid w:val="0"/>
        <w:spacing w:line="360" w:lineRule="auto"/>
        <w:ind w:firstLine="440" w:firstLineChars="200"/>
        <w:rPr>
          <w:rFonts w:ascii="宋体" w:hAnsi="宋体" w:cs="宋体"/>
          <w:color w:val="000000"/>
          <w:sz w:val="22"/>
          <w:szCs w:val="22"/>
          <w:highlight w:val="none"/>
        </w:rPr>
      </w:pPr>
      <w:r>
        <w:rPr>
          <w:rFonts w:hint="eastAsia" w:ascii="宋体" w:hAnsi="宋体" w:cs="宋体"/>
          <w:color w:val="000000"/>
          <w:sz w:val="22"/>
          <w:szCs w:val="22"/>
          <w:highlight w:val="none"/>
        </w:rPr>
        <w:t>4.我方与其他投标人不存在“单位负责人为同一人或者存在控股、管理关系”，否则均按否决投标处理。</w:t>
      </w:r>
    </w:p>
    <w:p w14:paraId="5A120674">
      <w:pPr>
        <w:snapToGrid w:val="0"/>
        <w:spacing w:line="360" w:lineRule="auto"/>
        <w:ind w:firstLine="440" w:firstLineChars="200"/>
        <w:rPr>
          <w:rFonts w:ascii="宋体" w:hAnsi="宋体" w:cs="宋体"/>
          <w:color w:val="000000"/>
          <w:sz w:val="22"/>
          <w:szCs w:val="22"/>
          <w:highlight w:val="none"/>
        </w:rPr>
      </w:pPr>
      <w:r>
        <w:rPr>
          <w:rFonts w:hint="eastAsia" w:ascii="宋体" w:hAnsi="宋体" w:cs="宋体"/>
          <w:color w:val="000000"/>
          <w:sz w:val="22"/>
          <w:szCs w:val="22"/>
          <w:highlight w:val="none"/>
        </w:rPr>
        <w:t>5.我方符合招标文件规定的投标人资格条件。</w:t>
      </w:r>
    </w:p>
    <w:p w14:paraId="48F35F65">
      <w:pPr>
        <w:snapToGrid w:val="0"/>
        <w:spacing w:line="360" w:lineRule="auto"/>
        <w:ind w:firstLine="440" w:firstLineChars="200"/>
        <w:rPr>
          <w:rFonts w:ascii="宋体" w:hAnsi="宋体" w:cs="宋体"/>
          <w:color w:val="000000"/>
          <w:sz w:val="22"/>
          <w:szCs w:val="22"/>
          <w:highlight w:val="none"/>
        </w:rPr>
      </w:pPr>
      <w:r>
        <w:rPr>
          <w:rFonts w:hint="eastAsia" w:ascii="宋体" w:hAnsi="宋体" w:cs="宋体"/>
          <w:color w:val="000000"/>
          <w:sz w:val="22"/>
          <w:szCs w:val="22"/>
          <w:highlight w:val="none"/>
        </w:rPr>
        <w:t>6.以上事项如有虚假或隐瞒，我方愿意承担一切后果，并不再寻求任何旨在减轻或免除法律责任的辩解。</w:t>
      </w:r>
    </w:p>
    <w:p w14:paraId="0A9F1510">
      <w:pPr>
        <w:pStyle w:val="15"/>
        <w:tabs>
          <w:tab w:val="left" w:pos="939"/>
        </w:tabs>
        <w:snapToGrid w:val="0"/>
        <w:spacing w:line="360" w:lineRule="auto"/>
        <w:ind w:left="735" w:leftChars="150" w:hanging="420" w:hangingChars="191"/>
        <w:rPr>
          <w:rFonts w:ascii="宋体" w:hAnsi="宋体" w:cs="宋体"/>
          <w:color w:val="000000"/>
          <w:sz w:val="22"/>
          <w:szCs w:val="22"/>
          <w:highlight w:val="none"/>
        </w:rPr>
      </w:pPr>
    </w:p>
    <w:p w14:paraId="23CCF845">
      <w:pPr>
        <w:snapToGrid w:val="0"/>
        <w:spacing w:before="156" w:beforeLines="50" w:line="360" w:lineRule="auto"/>
        <w:ind w:firstLine="440" w:firstLineChars="200"/>
        <w:rPr>
          <w:rFonts w:ascii="宋体" w:hAnsi="宋体" w:cs="宋体"/>
          <w:color w:val="000000"/>
          <w:sz w:val="22"/>
          <w:szCs w:val="22"/>
          <w:highlight w:val="none"/>
        </w:rPr>
      </w:pPr>
    </w:p>
    <w:p w14:paraId="6DD7B58F">
      <w:pPr>
        <w:spacing w:line="380" w:lineRule="exact"/>
        <w:jc w:val="left"/>
        <w:rPr>
          <w:rFonts w:ascii="宋体" w:hAnsi="宋体" w:cs="宋体"/>
          <w:sz w:val="22"/>
          <w:szCs w:val="22"/>
          <w:highlight w:val="none"/>
        </w:rPr>
      </w:pPr>
      <w:r>
        <w:rPr>
          <w:rFonts w:hint="eastAsia" w:ascii="宋体" w:hAnsi="宋体" w:cs="宋体"/>
          <w:sz w:val="22"/>
          <w:szCs w:val="22"/>
          <w:highlight w:val="none"/>
        </w:rPr>
        <w:t xml:space="preserve">投标人全称（加盖单位公章）： </w:t>
      </w:r>
    </w:p>
    <w:p w14:paraId="2FB9C66B">
      <w:pPr>
        <w:spacing w:line="380" w:lineRule="exact"/>
        <w:jc w:val="left"/>
        <w:rPr>
          <w:rFonts w:ascii="宋体" w:hAnsi="宋体" w:cs="宋体"/>
          <w:sz w:val="22"/>
          <w:szCs w:val="22"/>
          <w:highlight w:val="none"/>
        </w:rPr>
      </w:pPr>
      <w:r>
        <w:rPr>
          <w:rFonts w:hint="eastAsia" w:ascii="宋体" w:hAnsi="宋体" w:cs="宋体"/>
          <w:sz w:val="22"/>
          <w:szCs w:val="22"/>
          <w:highlight w:val="none"/>
        </w:rPr>
        <w:t>法定代表人或授权代表（签字或盖章）：</w:t>
      </w:r>
    </w:p>
    <w:p w14:paraId="556FA0C2">
      <w:pPr>
        <w:spacing w:line="380" w:lineRule="exact"/>
        <w:jc w:val="left"/>
        <w:rPr>
          <w:rFonts w:ascii="宋体" w:hAnsi="宋体" w:cs="宋体"/>
          <w:sz w:val="22"/>
          <w:szCs w:val="22"/>
          <w:highlight w:val="none"/>
        </w:rPr>
      </w:pPr>
      <w:r>
        <w:rPr>
          <w:rFonts w:hint="eastAsia" w:ascii="宋体" w:hAnsi="宋体" w:cs="宋体"/>
          <w:sz w:val="22"/>
          <w:szCs w:val="22"/>
          <w:highlight w:val="none"/>
        </w:rPr>
        <w:t>日 期：  年  月  日</w:t>
      </w:r>
    </w:p>
    <w:p w14:paraId="4A4BC865">
      <w:pPr>
        <w:spacing w:line="360" w:lineRule="auto"/>
        <w:jc w:val="left"/>
        <w:rPr>
          <w:rFonts w:ascii="宋体" w:hAnsi="宋体"/>
          <w:color w:val="000000"/>
          <w:sz w:val="28"/>
          <w:szCs w:val="28"/>
          <w:highlight w:val="none"/>
        </w:rPr>
      </w:pPr>
      <w:r>
        <w:rPr>
          <w:rFonts w:ascii="宋体" w:hAnsi="宋体"/>
          <w:color w:val="000000"/>
          <w:sz w:val="28"/>
          <w:szCs w:val="28"/>
          <w:highlight w:val="none"/>
        </w:rPr>
        <w:br w:type="page"/>
      </w:r>
      <w:r>
        <w:rPr>
          <w:rFonts w:hint="eastAsia" w:ascii="宋体" w:hAnsi="宋体"/>
          <w:color w:val="000000"/>
          <w:sz w:val="28"/>
          <w:szCs w:val="32"/>
          <w:highlight w:val="none"/>
        </w:rPr>
        <w:t>附件三</w:t>
      </w:r>
    </w:p>
    <w:p w14:paraId="001FC4D1">
      <w:pPr>
        <w:spacing w:line="360" w:lineRule="auto"/>
        <w:jc w:val="center"/>
        <w:outlineLvl w:val="3"/>
        <w:rPr>
          <w:b/>
          <w:bCs/>
          <w:snapToGrid w:val="0"/>
          <w:sz w:val="28"/>
          <w:szCs w:val="28"/>
          <w:highlight w:val="none"/>
        </w:rPr>
      </w:pPr>
      <w:r>
        <w:rPr>
          <w:rFonts w:hint="eastAsia"/>
          <w:b/>
          <w:bCs/>
          <w:snapToGrid w:val="0"/>
          <w:sz w:val="28"/>
          <w:szCs w:val="28"/>
          <w:highlight w:val="none"/>
        </w:rPr>
        <w:t>营业执照(或事业法人登记证书或其它工商等登记证明材料)</w:t>
      </w:r>
      <w:r>
        <w:rPr>
          <w:b/>
          <w:bCs/>
          <w:snapToGrid w:val="0"/>
          <w:sz w:val="28"/>
          <w:szCs w:val="28"/>
          <w:highlight w:val="none"/>
        </w:rPr>
        <w:t xml:space="preserve"> </w:t>
      </w:r>
    </w:p>
    <w:p w14:paraId="05F51C1E">
      <w:pPr>
        <w:spacing w:line="460" w:lineRule="exact"/>
        <w:rPr>
          <w:rFonts w:ascii="宋体" w:hAnsi="宋体" w:cs="Courier New"/>
          <w:b/>
          <w:sz w:val="22"/>
          <w:szCs w:val="22"/>
          <w:highlight w:val="none"/>
        </w:rPr>
      </w:pPr>
      <w:r>
        <w:rPr>
          <w:rFonts w:hint="eastAsia" w:ascii="宋体" w:hAnsi="宋体" w:cs="Courier New"/>
          <w:b/>
          <w:sz w:val="22"/>
          <w:szCs w:val="22"/>
          <w:highlight w:val="none"/>
        </w:rPr>
        <w:t>说明：</w:t>
      </w:r>
    </w:p>
    <w:p w14:paraId="0B8E5C38">
      <w:pPr>
        <w:spacing w:line="460" w:lineRule="exact"/>
        <w:rPr>
          <w:rFonts w:ascii="宋体" w:hAnsi="宋体" w:cs="Courier New"/>
          <w:b/>
          <w:sz w:val="22"/>
          <w:szCs w:val="22"/>
          <w:highlight w:val="none"/>
        </w:rPr>
      </w:pPr>
      <w:r>
        <w:rPr>
          <w:rFonts w:ascii="宋体" w:hAnsi="宋体" w:cs="Courier New"/>
          <w:b/>
          <w:sz w:val="22"/>
          <w:szCs w:val="22"/>
          <w:highlight w:val="none"/>
        </w:rPr>
        <w:t>1</w:t>
      </w:r>
      <w:r>
        <w:rPr>
          <w:rFonts w:hint="eastAsia" w:ascii="宋体" w:hAnsi="宋体" w:cs="Courier New"/>
          <w:b/>
          <w:sz w:val="22"/>
          <w:szCs w:val="22"/>
          <w:highlight w:val="none"/>
        </w:rPr>
        <w:t>、投标人</w:t>
      </w:r>
      <w:r>
        <w:rPr>
          <w:rFonts w:ascii="宋体" w:hAnsi="宋体" w:cs="Courier New"/>
          <w:b/>
          <w:sz w:val="22"/>
          <w:szCs w:val="22"/>
          <w:highlight w:val="none"/>
        </w:rPr>
        <w:t>为企业的，提供有效的营业执照复印件；</w:t>
      </w:r>
      <w:r>
        <w:rPr>
          <w:rFonts w:hint="eastAsia" w:ascii="宋体" w:hAnsi="宋体" w:cs="Courier New"/>
          <w:b/>
          <w:sz w:val="22"/>
          <w:szCs w:val="22"/>
          <w:highlight w:val="none"/>
        </w:rPr>
        <w:t>投标人</w:t>
      </w:r>
      <w:r>
        <w:rPr>
          <w:rFonts w:ascii="宋体" w:hAnsi="宋体" w:cs="Courier New"/>
          <w:b/>
          <w:sz w:val="22"/>
          <w:szCs w:val="22"/>
          <w:highlight w:val="none"/>
        </w:rPr>
        <w:t>为事业单位的，提供有效的事业单位法人证书复印件；</w:t>
      </w:r>
      <w:r>
        <w:rPr>
          <w:rFonts w:hint="eastAsia" w:ascii="宋体" w:hAnsi="宋体" w:cs="Courier New"/>
          <w:b/>
          <w:sz w:val="22"/>
          <w:szCs w:val="22"/>
          <w:highlight w:val="none"/>
        </w:rPr>
        <w:t>投标人</w:t>
      </w:r>
      <w:r>
        <w:rPr>
          <w:rFonts w:ascii="宋体" w:hAnsi="宋体" w:cs="Courier New"/>
          <w:b/>
          <w:sz w:val="22"/>
          <w:szCs w:val="22"/>
          <w:highlight w:val="none"/>
        </w:rPr>
        <w:t>为社会团体的，提供有效的社会团体法人登记证书复印件；</w:t>
      </w:r>
      <w:r>
        <w:rPr>
          <w:rFonts w:hint="eastAsia" w:ascii="宋体" w:hAnsi="宋体" w:cs="Courier New"/>
          <w:b/>
          <w:sz w:val="22"/>
          <w:szCs w:val="22"/>
          <w:highlight w:val="none"/>
        </w:rPr>
        <w:t>投标人</w:t>
      </w:r>
      <w:r>
        <w:rPr>
          <w:rFonts w:ascii="宋体" w:hAnsi="宋体" w:cs="Courier New"/>
          <w:b/>
          <w:sz w:val="22"/>
          <w:szCs w:val="22"/>
          <w:highlight w:val="none"/>
        </w:rPr>
        <w:t>为合伙企业、个体工商户的，提供有效的营业执照复印件；</w:t>
      </w:r>
      <w:r>
        <w:rPr>
          <w:rFonts w:hint="eastAsia" w:ascii="宋体" w:hAnsi="宋体" w:cs="Courier New"/>
          <w:b/>
          <w:sz w:val="22"/>
          <w:szCs w:val="22"/>
          <w:highlight w:val="none"/>
        </w:rPr>
        <w:t>投标人</w:t>
      </w:r>
      <w:r>
        <w:rPr>
          <w:rFonts w:ascii="宋体" w:hAnsi="宋体" w:cs="Courier New"/>
          <w:b/>
          <w:sz w:val="22"/>
          <w:szCs w:val="22"/>
          <w:highlight w:val="none"/>
        </w:rPr>
        <w:t>为非企业专业服务机构的，提供有效的执业许可证等证明材料复印件；其他</w:t>
      </w:r>
      <w:r>
        <w:rPr>
          <w:rFonts w:hint="eastAsia" w:ascii="宋体" w:hAnsi="宋体" w:cs="Courier New"/>
          <w:b/>
          <w:sz w:val="22"/>
          <w:szCs w:val="22"/>
          <w:highlight w:val="none"/>
        </w:rPr>
        <w:t>投标人</w:t>
      </w:r>
      <w:r>
        <w:rPr>
          <w:rFonts w:ascii="宋体" w:hAnsi="宋体" w:cs="Courier New"/>
          <w:b/>
          <w:sz w:val="22"/>
          <w:szCs w:val="22"/>
          <w:highlight w:val="none"/>
        </w:rPr>
        <w:t>应按照有关法律、法规和规章规定，提供有效的相应具体证照复印件。</w:t>
      </w:r>
    </w:p>
    <w:p w14:paraId="7FBCA78E">
      <w:pPr>
        <w:spacing w:line="460" w:lineRule="exact"/>
        <w:rPr>
          <w:rFonts w:ascii="宋体" w:hAnsi="宋体" w:cs="Courier New"/>
          <w:b/>
          <w:sz w:val="22"/>
          <w:szCs w:val="22"/>
          <w:highlight w:val="none"/>
        </w:rPr>
      </w:pPr>
      <w:r>
        <w:rPr>
          <w:rFonts w:ascii="宋体" w:hAnsi="宋体" w:cs="Courier New"/>
          <w:b/>
          <w:sz w:val="22"/>
          <w:szCs w:val="22"/>
          <w:highlight w:val="none"/>
        </w:rPr>
        <w:t>2、</w:t>
      </w:r>
      <w:r>
        <w:rPr>
          <w:rFonts w:hint="eastAsia" w:ascii="宋体" w:hAnsi="宋体" w:cs="Courier New"/>
          <w:b/>
          <w:sz w:val="22"/>
          <w:szCs w:val="22"/>
          <w:highlight w:val="none"/>
        </w:rPr>
        <w:t>投标人</w:t>
      </w:r>
      <w:r>
        <w:rPr>
          <w:rFonts w:ascii="宋体" w:hAnsi="宋体" w:cs="Courier New"/>
          <w:b/>
          <w:sz w:val="22"/>
          <w:szCs w:val="22"/>
          <w:highlight w:val="none"/>
        </w:rPr>
        <w:t>提供的相应证明材料复印件均应符合：内容完整、清晰、整洁，并由</w:t>
      </w:r>
      <w:r>
        <w:rPr>
          <w:rFonts w:hint="eastAsia" w:ascii="宋体" w:hAnsi="宋体" w:cs="Courier New"/>
          <w:b/>
          <w:sz w:val="22"/>
          <w:szCs w:val="22"/>
          <w:highlight w:val="none"/>
        </w:rPr>
        <w:t>投标人</w:t>
      </w:r>
      <w:r>
        <w:rPr>
          <w:rFonts w:ascii="宋体" w:hAnsi="宋体" w:cs="Courier New"/>
          <w:b/>
          <w:sz w:val="22"/>
          <w:szCs w:val="22"/>
          <w:highlight w:val="none"/>
        </w:rPr>
        <w:t>加盖其单位公章。</w:t>
      </w:r>
    </w:p>
    <w:p w14:paraId="5CA3192A">
      <w:pPr>
        <w:widowControl/>
        <w:adjustRightInd w:val="0"/>
        <w:snapToGrid w:val="0"/>
        <w:spacing w:line="360" w:lineRule="auto"/>
        <w:ind w:firstLine="703"/>
        <w:jc w:val="center"/>
        <w:rPr>
          <w:b/>
          <w:bCs/>
          <w:snapToGrid w:val="0"/>
          <w:sz w:val="28"/>
          <w:szCs w:val="28"/>
          <w:highlight w:val="none"/>
        </w:rPr>
      </w:pPr>
    </w:p>
    <w:p w14:paraId="22ADA321">
      <w:pPr>
        <w:snapToGrid w:val="0"/>
        <w:spacing w:before="50" w:after="50" w:line="360" w:lineRule="auto"/>
        <w:rPr>
          <w:rFonts w:ascii="宋体" w:hAnsi="宋体" w:cs="宋体"/>
          <w:sz w:val="28"/>
          <w:szCs w:val="28"/>
          <w:highlight w:val="none"/>
        </w:rPr>
      </w:pPr>
    </w:p>
    <w:p w14:paraId="307C5C30">
      <w:pPr>
        <w:snapToGrid w:val="0"/>
        <w:spacing w:before="50" w:after="50" w:line="360" w:lineRule="auto"/>
        <w:rPr>
          <w:rFonts w:ascii="宋体" w:hAnsi="宋体" w:cs="宋体"/>
          <w:sz w:val="28"/>
          <w:szCs w:val="28"/>
          <w:highlight w:val="none"/>
        </w:rPr>
      </w:pPr>
    </w:p>
    <w:p w14:paraId="262501C8">
      <w:pPr>
        <w:snapToGrid w:val="0"/>
        <w:spacing w:before="50" w:after="50" w:line="360" w:lineRule="auto"/>
        <w:rPr>
          <w:rFonts w:ascii="宋体" w:hAnsi="宋体" w:cs="宋体"/>
          <w:sz w:val="28"/>
          <w:szCs w:val="28"/>
          <w:highlight w:val="none"/>
        </w:rPr>
      </w:pPr>
    </w:p>
    <w:p w14:paraId="0E0DBC2F">
      <w:pPr>
        <w:snapToGrid w:val="0"/>
        <w:spacing w:before="50" w:after="50" w:line="360" w:lineRule="auto"/>
        <w:rPr>
          <w:rFonts w:ascii="宋体" w:hAnsi="宋体" w:cs="宋体"/>
          <w:sz w:val="28"/>
          <w:szCs w:val="28"/>
          <w:highlight w:val="none"/>
        </w:rPr>
      </w:pPr>
    </w:p>
    <w:p w14:paraId="645AB5AE">
      <w:pPr>
        <w:snapToGrid w:val="0"/>
        <w:spacing w:before="50" w:after="50" w:line="360" w:lineRule="auto"/>
        <w:rPr>
          <w:rFonts w:ascii="宋体" w:hAnsi="宋体" w:cs="宋体"/>
          <w:sz w:val="28"/>
          <w:szCs w:val="28"/>
          <w:highlight w:val="none"/>
        </w:rPr>
      </w:pPr>
    </w:p>
    <w:p w14:paraId="2C20DE21">
      <w:pPr>
        <w:snapToGrid w:val="0"/>
        <w:spacing w:before="50" w:after="50" w:line="360" w:lineRule="auto"/>
        <w:rPr>
          <w:rFonts w:ascii="宋体" w:hAnsi="宋体" w:cs="宋体"/>
          <w:sz w:val="28"/>
          <w:szCs w:val="28"/>
          <w:highlight w:val="none"/>
        </w:rPr>
      </w:pPr>
    </w:p>
    <w:p w14:paraId="17C3253F">
      <w:pPr>
        <w:snapToGrid w:val="0"/>
        <w:spacing w:before="50" w:after="50" w:line="360" w:lineRule="auto"/>
        <w:rPr>
          <w:rFonts w:ascii="宋体" w:hAnsi="宋体" w:cs="宋体"/>
          <w:sz w:val="28"/>
          <w:szCs w:val="28"/>
          <w:highlight w:val="none"/>
        </w:rPr>
      </w:pPr>
    </w:p>
    <w:p w14:paraId="1C405680">
      <w:pPr>
        <w:snapToGrid w:val="0"/>
        <w:spacing w:before="50" w:after="50" w:line="360" w:lineRule="auto"/>
        <w:rPr>
          <w:rFonts w:ascii="宋体" w:hAnsi="宋体" w:cs="宋体"/>
          <w:sz w:val="28"/>
          <w:szCs w:val="28"/>
          <w:highlight w:val="none"/>
        </w:rPr>
      </w:pPr>
    </w:p>
    <w:p w14:paraId="4CD61ED9">
      <w:pPr>
        <w:snapToGrid w:val="0"/>
        <w:spacing w:before="50" w:after="50" w:line="360" w:lineRule="auto"/>
        <w:rPr>
          <w:rFonts w:ascii="宋体" w:hAnsi="宋体" w:cs="宋体"/>
          <w:sz w:val="28"/>
          <w:szCs w:val="28"/>
          <w:highlight w:val="none"/>
        </w:rPr>
      </w:pPr>
    </w:p>
    <w:p w14:paraId="74B9C072">
      <w:pPr>
        <w:snapToGrid w:val="0"/>
        <w:spacing w:before="50" w:after="50" w:line="360" w:lineRule="auto"/>
        <w:rPr>
          <w:rFonts w:ascii="宋体" w:hAnsi="宋体" w:cs="宋体"/>
          <w:sz w:val="28"/>
          <w:szCs w:val="28"/>
          <w:highlight w:val="none"/>
        </w:rPr>
      </w:pPr>
    </w:p>
    <w:p w14:paraId="344FD51D">
      <w:pPr>
        <w:snapToGrid w:val="0"/>
        <w:spacing w:before="50" w:after="50" w:line="360" w:lineRule="auto"/>
        <w:rPr>
          <w:rFonts w:ascii="宋体" w:hAnsi="宋体" w:cs="宋体"/>
          <w:sz w:val="28"/>
          <w:szCs w:val="28"/>
          <w:highlight w:val="none"/>
        </w:rPr>
      </w:pPr>
    </w:p>
    <w:p w14:paraId="2D8068B2">
      <w:pPr>
        <w:snapToGrid w:val="0"/>
        <w:spacing w:before="50" w:after="50" w:line="360" w:lineRule="auto"/>
        <w:rPr>
          <w:rFonts w:ascii="宋体" w:hAnsi="宋体" w:cs="宋体"/>
          <w:sz w:val="28"/>
          <w:szCs w:val="28"/>
          <w:highlight w:val="none"/>
        </w:rPr>
      </w:pPr>
    </w:p>
    <w:p w14:paraId="313456B6">
      <w:pPr>
        <w:snapToGrid w:val="0"/>
        <w:spacing w:before="50" w:after="50" w:line="360" w:lineRule="auto"/>
        <w:rPr>
          <w:rFonts w:ascii="宋体" w:hAnsi="宋体" w:cs="宋体"/>
          <w:sz w:val="28"/>
          <w:szCs w:val="28"/>
          <w:highlight w:val="none"/>
        </w:rPr>
      </w:pPr>
    </w:p>
    <w:p w14:paraId="6666A458">
      <w:pPr>
        <w:snapToGrid w:val="0"/>
        <w:spacing w:before="50" w:after="50" w:line="360" w:lineRule="auto"/>
        <w:rPr>
          <w:rFonts w:ascii="宋体" w:hAnsi="宋体" w:cs="宋体"/>
          <w:sz w:val="28"/>
          <w:szCs w:val="28"/>
          <w:highlight w:val="none"/>
        </w:rPr>
      </w:pPr>
    </w:p>
    <w:p w14:paraId="5C2DC086">
      <w:pPr>
        <w:spacing w:line="360" w:lineRule="auto"/>
        <w:jc w:val="left"/>
        <w:rPr>
          <w:rFonts w:ascii="宋体" w:hAnsi="宋体"/>
          <w:color w:val="000000"/>
          <w:sz w:val="28"/>
          <w:szCs w:val="32"/>
          <w:highlight w:val="none"/>
        </w:rPr>
      </w:pPr>
      <w:r>
        <w:rPr>
          <w:rFonts w:hint="eastAsia" w:ascii="宋体" w:hAnsi="宋体"/>
          <w:color w:val="000000"/>
          <w:sz w:val="28"/>
          <w:szCs w:val="32"/>
          <w:highlight w:val="none"/>
        </w:rPr>
        <w:t>附件四</w:t>
      </w:r>
    </w:p>
    <w:p w14:paraId="52D2ACDE">
      <w:pPr>
        <w:spacing w:line="360" w:lineRule="auto"/>
        <w:ind w:firstLine="703" w:firstLineChars="250"/>
        <w:jc w:val="center"/>
        <w:outlineLvl w:val="3"/>
        <w:rPr>
          <w:rFonts w:ascii="宋体" w:hAnsi="宋体"/>
          <w:color w:val="000000"/>
          <w:sz w:val="28"/>
          <w:szCs w:val="28"/>
          <w:highlight w:val="none"/>
        </w:rPr>
      </w:pPr>
      <w:r>
        <w:rPr>
          <w:rFonts w:hint="eastAsia" w:ascii="宋体" w:hAnsi="宋体" w:cs="新宋体"/>
          <w:b/>
          <w:kern w:val="0"/>
          <w:sz w:val="28"/>
          <w:szCs w:val="28"/>
          <w:highlight w:val="none"/>
        </w:rPr>
        <w:t>具有履行合同所必需的设备和专业技术能力的承诺函</w:t>
      </w:r>
    </w:p>
    <w:p w14:paraId="2EF4C440">
      <w:pPr>
        <w:spacing w:line="360" w:lineRule="auto"/>
        <w:jc w:val="left"/>
        <w:rPr>
          <w:rFonts w:ascii="宋体" w:hAnsi="宋体"/>
          <w:color w:val="000000"/>
          <w:sz w:val="28"/>
          <w:szCs w:val="28"/>
          <w:highlight w:val="none"/>
        </w:rPr>
      </w:pPr>
    </w:p>
    <w:p w14:paraId="027CE968">
      <w:pPr>
        <w:spacing w:line="460" w:lineRule="exact"/>
        <w:rPr>
          <w:rFonts w:ascii="宋体" w:hAnsi="宋体" w:cs="宋体"/>
          <w:sz w:val="22"/>
          <w:szCs w:val="22"/>
          <w:highlight w:val="none"/>
        </w:rPr>
      </w:pPr>
      <w:r>
        <w:rPr>
          <w:rFonts w:hint="eastAsia" w:ascii="宋体" w:hAnsi="宋体" w:cs="宋体"/>
          <w:sz w:val="22"/>
          <w:szCs w:val="22"/>
          <w:highlight w:val="none"/>
        </w:rPr>
        <w:t>温州港集团有限公司龙湾港务分公司：</w:t>
      </w:r>
    </w:p>
    <w:p w14:paraId="4B88AE18">
      <w:pPr>
        <w:widowControl/>
        <w:adjustRightInd w:val="0"/>
        <w:snapToGrid w:val="0"/>
        <w:spacing w:line="360" w:lineRule="auto"/>
        <w:jc w:val="left"/>
        <w:rPr>
          <w:rFonts w:ascii="宋体" w:hAnsi="宋体" w:cs="宋体"/>
          <w:kern w:val="0"/>
          <w:sz w:val="22"/>
          <w:szCs w:val="22"/>
          <w:highlight w:val="none"/>
        </w:rPr>
      </w:pPr>
    </w:p>
    <w:p w14:paraId="0BF84700">
      <w:pPr>
        <w:widowControl/>
        <w:adjustRightInd w:val="0"/>
        <w:snapToGrid w:val="0"/>
        <w:spacing w:line="360" w:lineRule="auto"/>
        <w:ind w:firstLine="440" w:firstLineChars="200"/>
        <w:jc w:val="left"/>
        <w:rPr>
          <w:rFonts w:ascii="宋体" w:hAnsi="宋体" w:cs="宋体"/>
          <w:kern w:val="0"/>
          <w:sz w:val="22"/>
          <w:szCs w:val="22"/>
          <w:highlight w:val="none"/>
        </w:rPr>
      </w:pPr>
      <w:r>
        <w:rPr>
          <w:rFonts w:hint="eastAsia" w:ascii="宋体" w:hAnsi="宋体" w:cs="宋体"/>
          <w:kern w:val="0"/>
          <w:sz w:val="22"/>
          <w:szCs w:val="22"/>
          <w:highlight w:val="none"/>
        </w:rPr>
        <w:t>我方</w:t>
      </w:r>
      <w:r>
        <w:rPr>
          <w:rFonts w:hint="eastAsia" w:ascii="宋体" w:hAnsi="宋体" w:cs="宋体"/>
          <w:kern w:val="0"/>
          <w:sz w:val="22"/>
          <w:szCs w:val="22"/>
          <w:highlight w:val="none"/>
          <w:u w:val="single"/>
        </w:rPr>
        <w:t xml:space="preserve"> （投标人）</w:t>
      </w:r>
      <w:r>
        <w:rPr>
          <w:rFonts w:hint="eastAsia" w:ascii="宋体" w:hAnsi="宋体" w:cs="宋体"/>
          <w:kern w:val="0"/>
          <w:sz w:val="22"/>
          <w:szCs w:val="22"/>
          <w:highlight w:val="none"/>
        </w:rPr>
        <w:t>承诺具有履行本次</w:t>
      </w:r>
      <w:r>
        <w:rPr>
          <w:rFonts w:hint="eastAsia" w:ascii="宋体" w:hAnsi="宋体" w:cs="宋体"/>
          <w:kern w:val="0"/>
          <w:sz w:val="22"/>
          <w:szCs w:val="22"/>
          <w:highlight w:val="none"/>
          <w:u w:val="single"/>
        </w:rPr>
        <w:t xml:space="preserve">  项目名称（编号：    ）</w:t>
      </w:r>
      <w:r>
        <w:rPr>
          <w:rFonts w:hint="eastAsia" w:ascii="宋体" w:hAnsi="宋体" w:cs="宋体"/>
          <w:kern w:val="0"/>
          <w:sz w:val="22"/>
          <w:szCs w:val="22"/>
          <w:highlight w:val="none"/>
        </w:rPr>
        <w:t>招标合同所必需的设备和专业技术能力。如有虚假，招标人可取消我方任何资格（投标/中标/签订合同），我方对此无任何异议。</w:t>
      </w:r>
    </w:p>
    <w:p w14:paraId="194E7E5D">
      <w:pPr>
        <w:widowControl/>
        <w:adjustRightInd w:val="0"/>
        <w:snapToGrid w:val="0"/>
        <w:spacing w:line="360" w:lineRule="auto"/>
        <w:ind w:firstLine="440" w:firstLineChars="200"/>
        <w:jc w:val="left"/>
        <w:rPr>
          <w:rFonts w:ascii="宋体" w:hAnsi="宋体" w:cs="宋体"/>
          <w:kern w:val="0"/>
          <w:sz w:val="22"/>
          <w:szCs w:val="22"/>
          <w:highlight w:val="none"/>
        </w:rPr>
      </w:pPr>
    </w:p>
    <w:p w14:paraId="7218F9AE">
      <w:pPr>
        <w:widowControl/>
        <w:adjustRightInd w:val="0"/>
        <w:snapToGrid w:val="0"/>
        <w:spacing w:line="360" w:lineRule="auto"/>
        <w:ind w:firstLine="440" w:firstLineChars="200"/>
        <w:jc w:val="left"/>
        <w:rPr>
          <w:rFonts w:ascii="宋体" w:hAnsi="宋体" w:cs="宋体"/>
          <w:kern w:val="0"/>
          <w:sz w:val="22"/>
          <w:szCs w:val="22"/>
          <w:highlight w:val="none"/>
        </w:rPr>
      </w:pPr>
      <w:r>
        <w:rPr>
          <w:rFonts w:hint="eastAsia" w:ascii="宋体" w:hAnsi="宋体" w:cs="宋体"/>
          <w:kern w:val="0"/>
          <w:sz w:val="22"/>
          <w:szCs w:val="22"/>
          <w:highlight w:val="none"/>
        </w:rPr>
        <w:t>特此承诺！</w:t>
      </w:r>
    </w:p>
    <w:p w14:paraId="4DC4DC14">
      <w:pPr>
        <w:widowControl/>
        <w:adjustRightInd w:val="0"/>
        <w:snapToGrid w:val="0"/>
        <w:spacing w:line="360" w:lineRule="auto"/>
        <w:ind w:firstLine="440" w:firstLineChars="200"/>
        <w:jc w:val="left"/>
        <w:rPr>
          <w:rFonts w:ascii="宋体" w:hAnsi="宋体" w:cs="宋体"/>
          <w:kern w:val="0"/>
          <w:sz w:val="22"/>
          <w:szCs w:val="22"/>
          <w:highlight w:val="none"/>
        </w:rPr>
      </w:pPr>
    </w:p>
    <w:p w14:paraId="77FDCBF9">
      <w:pPr>
        <w:spacing w:line="380" w:lineRule="exact"/>
        <w:jc w:val="left"/>
        <w:rPr>
          <w:rFonts w:ascii="宋体" w:hAnsi="宋体" w:cs="宋体"/>
          <w:sz w:val="22"/>
          <w:szCs w:val="22"/>
          <w:highlight w:val="none"/>
        </w:rPr>
      </w:pPr>
      <w:r>
        <w:rPr>
          <w:rFonts w:hint="eastAsia" w:ascii="宋体" w:hAnsi="宋体" w:cs="宋体"/>
          <w:sz w:val="22"/>
          <w:szCs w:val="22"/>
          <w:highlight w:val="none"/>
        </w:rPr>
        <w:t xml:space="preserve">投标人全称（加盖单位公章）： </w:t>
      </w:r>
    </w:p>
    <w:p w14:paraId="2F600A25">
      <w:pPr>
        <w:spacing w:line="380" w:lineRule="exact"/>
        <w:jc w:val="left"/>
        <w:rPr>
          <w:rFonts w:ascii="宋体" w:hAnsi="宋体" w:cs="宋体"/>
          <w:sz w:val="22"/>
          <w:szCs w:val="22"/>
          <w:highlight w:val="none"/>
        </w:rPr>
      </w:pPr>
      <w:r>
        <w:rPr>
          <w:rFonts w:hint="eastAsia" w:ascii="宋体" w:hAnsi="宋体" w:cs="宋体"/>
          <w:sz w:val="22"/>
          <w:szCs w:val="22"/>
          <w:highlight w:val="none"/>
        </w:rPr>
        <w:t>法定代表人或授权代表（签字或盖章）：</w:t>
      </w:r>
    </w:p>
    <w:p w14:paraId="07F9BD65">
      <w:pPr>
        <w:spacing w:line="380" w:lineRule="exact"/>
        <w:jc w:val="left"/>
        <w:rPr>
          <w:rFonts w:ascii="宋体" w:hAnsi="宋体" w:cs="宋体"/>
          <w:sz w:val="22"/>
          <w:szCs w:val="22"/>
          <w:highlight w:val="none"/>
        </w:rPr>
      </w:pPr>
      <w:r>
        <w:rPr>
          <w:rFonts w:hint="eastAsia" w:ascii="宋体" w:hAnsi="宋体" w:cs="宋体"/>
          <w:sz w:val="22"/>
          <w:szCs w:val="22"/>
          <w:highlight w:val="none"/>
        </w:rPr>
        <w:t>日 期：  年  月  日</w:t>
      </w:r>
    </w:p>
    <w:p w14:paraId="1BCEAC63">
      <w:pPr>
        <w:spacing w:line="360" w:lineRule="auto"/>
        <w:jc w:val="left"/>
        <w:rPr>
          <w:rFonts w:ascii="宋体" w:hAnsi="宋体" w:cs="宋体"/>
          <w:color w:val="000000"/>
          <w:sz w:val="22"/>
          <w:szCs w:val="22"/>
          <w:highlight w:val="none"/>
        </w:rPr>
      </w:pPr>
    </w:p>
    <w:p w14:paraId="180D05DE">
      <w:pPr>
        <w:spacing w:line="360" w:lineRule="auto"/>
        <w:jc w:val="left"/>
        <w:rPr>
          <w:rFonts w:ascii="宋体" w:hAnsi="宋体"/>
          <w:color w:val="000000"/>
          <w:sz w:val="28"/>
          <w:szCs w:val="28"/>
          <w:highlight w:val="none"/>
        </w:rPr>
      </w:pPr>
    </w:p>
    <w:p w14:paraId="6CB5EF3C">
      <w:pPr>
        <w:spacing w:line="360" w:lineRule="auto"/>
        <w:jc w:val="left"/>
        <w:rPr>
          <w:rFonts w:ascii="宋体" w:hAnsi="宋体"/>
          <w:color w:val="000000"/>
          <w:sz w:val="28"/>
          <w:szCs w:val="28"/>
          <w:highlight w:val="none"/>
        </w:rPr>
      </w:pPr>
    </w:p>
    <w:p w14:paraId="70135D4D">
      <w:pPr>
        <w:spacing w:line="360" w:lineRule="auto"/>
        <w:jc w:val="left"/>
        <w:rPr>
          <w:rFonts w:ascii="宋体" w:hAnsi="宋体"/>
          <w:color w:val="000000"/>
          <w:sz w:val="28"/>
          <w:szCs w:val="28"/>
          <w:highlight w:val="none"/>
        </w:rPr>
      </w:pPr>
    </w:p>
    <w:p w14:paraId="6807694B">
      <w:pPr>
        <w:spacing w:line="360" w:lineRule="auto"/>
        <w:jc w:val="left"/>
        <w:rPr>
          <w:rFonts w:ascii="宋体" w:hAnsi="宋体"/>
          <w:color w:val="000000"/>
          <w:sz w:val="28"/>
          <w:szCs w:val="28"/>
          <w:highlight w:val="none"/>
        </w:rPr>
      </w:pPr>
    </w:p>
    <w:p w14:paraId="69193FB2">
      <w:pPr>
        <w:spacing w:line="360" w:lineRule="auto"/>
        <w:jc w:val="left"/>
        <w:rPr>
          <w:rFonts w:ascii="宋体" w:hAnsi="宋体"/>
          <w:color w:val="000000"/>
          <w:sz w:val="28"/>
          <w:szCs w:val="28"/>
          <w:highlight w:val="none"/>
        </w:rPr>
      </w:pPr>
    </w:p>
    <w:p w14:paraId="775AFB42">
      <w:pPr>
        <w:spacing w:line="360" w:lineRule="auto"/>
        <w:jc w:val="left"/>
        <w:rPr>
          <w:rFonts w:ascii="宋体" w:hAnsi="宋体"/>
          <w:color w:val="000000"/>
          <w:sz w:val="28"/>
          <w:szCs w:val="28"/>
          <w:highlight w:val="none"/>
        </w:rPr>
      </w:pPr>
    </w:p>
    <w:p w14:paraId="4EEDE1B7">
      <w:pPr>
        <w:spacing w:line="360" w:lineRule="auto"/>
        <w:jc w:val="left"/>
        <w:rPr>
          <w:rFonts w:ascii="宋体" w:hAnsi="宋体"/>
          <w:color w:val="000000"/>
          <w:sz w:val="28"/>
          <w:szCs w:val="28"/>
          <w:highlight w:val="none"/>
        </w:rPr>
      </w:pPr>
    </w:p>
    <w:p w14:paraId="73B5FB1A">
      <w:pPr>
        <w:pStyle w:val="11"/>
        <w:rPr>
          <w:highlight w:val="none"/>
        </w:rPr>
      </w:pPr>
    </w:p>
    <w:p w14:paraId="4D7FDA60">
      <w:pPr>
        <w:spacing w:line="360" w:lineRule="auto"/>
        <w:jc w:val="left"/>
        <w:rPr>
          <w:rFonts w:ascii="宋体" w:hAnsi="宋体"/>
          <w:color w:val="000000"/>
          <w:sz w:val="28"/>
          <w:szCs w:val="28"/>
          <w:highlight w:val="none"/>
        </w:rPr>
      </w:pPr>
    </w:p>
    <w:p w14:paraId="6CD186A6">
      <w:pPr>
        <w:spacing w:line="360" w:lineRule="auto"/>
        <w:jc w:val="left"/>
        <w:rPr>
          <w:rFonts w:ascii="宋体" w:hAnsi="宋体"/>
          <w:color w:val="000000"/>
          <w:sz w:val="28"/>
          <w:szCs w:val="28"/>
          <w:highlight w:val="none"/>
        </w:rPr>
      </w:pPr>
    </w:p>
    <w:p w14:paraId="07B2F7CB">
      <w:pPr>
        <w:spacing w:line="360" w:lineRule="auto"/>
        <w:jc w:val="left"/>
        <w:rPr>
          <w:rFonts w:ascii="宋体" w:hAnsi="宋体"/>
          <w:color w:val="000000"/>
          <w:sz w:val="28"/>
          <w:szCs w:val="28"/>
          <w:highlight w:val="none"/>
        </w:rPr>
      </w:pPr>
    </w:p>
    <w:p w14:paraId="470A01A6">
      <w:pPr>
        <w:spacing w:line="360" w:lineRule="auto"/>
        <w:jc w:val="left"/>
        <w:rPr>
          <w:rFonts w:ascii="宋体" w:hAnsi="宋体"/>
          <w:color w:val="000000"/>
          <w:sz w:val="28"/>
          <w:szCs w:val="32"/>
          <w:highlight w:val="none"/>
        </w:rPr>
      </w:pPr>
      <w:r>
        <w:rPr>
          <w:rFonts w:hint="eastAsia" w:ascii="宋体" w:hAnsi="宋体"/>
          <w:color w:val="000000"/>
          <w:sz w:val="28"/>
          <w:szCs w:val="32"/>
          <w:highlight w:val="none"/>
        </w:rPr>
        <w:t>附件五</w:t>
      </w:r>
    </w:p>
    <w:p w14:paraId="1D277910">
      <w:pPr>
        <w:tabs>
          <w:tab w:val="left" w:pos="0"/>
          <w:tab w:val="left" w:pos="600"/>
          <w:tab w:val="left" w:pos="780"/>
        </w:tabs>
        <w:spacing w:line="400" w:lineRule="exact"/>
        <w:jc w:val="center"/>
        <w:outlineLvl w:val="3"/>
        <w:rPr>
          <w:rFonts w:ascii="宋体" w:hAnsi="宋体"/>
          <w:b/>
          <w:color w:val="000000"/>
          <w:sz w:val="28"/>
          <w:szCs w:val="28"/>
          <w:highlight w:val="none"/>
        </w:rPr>
      </w:pPr>
      <w:r>
        <w:rPr>
          <w:rFonts w:hint="eastAsia" w:ascii="宋体" w:hAnsi="宋体"/>
          <w:b/>
          <w:color w:val="000000"/>
          <w:sz w:val="28"/>
          <w:szCs w:val="28"/>
          <w:highlight w:val="none"/>
        </w:rPr>
        <w:t>具有良好的信誉和健全的财务会计制度的承诺函</w:t>
      </w:r>
    </w:p>
    <w:p w14:paraId="12D1E89C">
      <w:pPr>
        <w:widowControl/>
        <w:adjustRightInd w:val="0"/>
        <w:snapToGrid w:val="0"/>
        <w:spacing w:line="440" w:lineRule="exact"/>
        <w:jc w:val="left"/>
        <w:rPr>
          <w:rFonts w:ascii="宋体" w:hAnsi="宋体" w:cs="Arial"/>
          <w:kern w:val="0"/>
          <w:sz w:val="22"/>
          <w:szCs w:val="22"/>
          <w:highlight w:val="none"/>
          <w:u w:val="single"/>
        </w:rPr>
      </w:pPr>
    </w:p>
    <w:p w14:paraId="57CADB08">
      <w:pPr>
        <w:widowControl/>
        <w:adjustRightInd w:val="0"/>
        <w:snapToGrid w:val="0"/>
        <w:spacing w:line="440" w:lineRule="exact"/>
        <w:jc w:val="left"/>
        <w:rPr>
          <w:rFonts w:ascii="宋体" w:hAnsi="宋体" w:cs="Arial"/>
          <w:kern w:val="0"/>
          <w:sz w:val="22"/>
          <w:szCs w:val="22"/>
          <w:highlight w:val="none"/>
        </w:rPr>
      </w:pPr>
      <w:r>
        <w:rPr>
          <w:rFonts w:hint="eastAsia" w:ascii="宋体" w:hAnsi="宋体" w:cs="Arial"/>
          <w:kern w:val="0"/>
          <w:sz w:val="22"/>
          <w:szCs w:val="22"/>
          <w:highlight w:val="none"/>
          <w:u w:val="single"/>
        </w:rPr>
        <w:t>温州港集团有限公司龙湾港务分公司：</w:t>
      </w:r>
      <w:r>
        <w:rPr>
          <w:rFonts w:hint="eastAsia" w:ascii="宋体" w:hAnsi="宋体" w:cs="Arial"/>
          <w:kern w:val="0"/>
          <w:sz w:val="22"/>
          <w:szCs w:val="22"/>
          <w:highlight w:val="none"/>
        </w:rPr>
        <w:t xml:space="preserve"> </w:t>
      </w:r>
    </w:p>
    <w:p w14:paraId="33E3C23C">
      <w:pPr>
        <w:widowControl/>
        <w:adjustRightInd w:val="0"/>
        <w:snapToGrid w:val="0"/>
        <w:spacing w:line="440" w:lineRule="exact"/>
        <w:ind w:firstLine="440" w:firstLineChars="200"/>
        <w:jc w:val="left"/>
        <w:rPr>
          <w:rFonts w:ascii="宋体" w:hAnsi="宋体" w:cs="Arial"/>
          <w:kern w:val="0"/>
          <w:sz w:val="22"/>
          <w:szCs w:val="22"/>
          <w:highlight w:val="none"/>
        </w:rPr>
      </w:pPr>
      <w:r>
        <w:rPr>
          <w:rFonts w:hint="eastAsia" w:ascii="宋体" w:hAnsi="宋体" w:cs="Arial"/>
          <w:kern w:val="0"/>
          <w:sz w:val="22"/>
          <w:szCs w:val="22"/>
          <w:highlight w:val="none"/>
        </w:rPr>
        <w:t>我方</w:t>
      </w:r>
      <w:r>
        <w:rPr>
          <w:rFonts w:hint="eastAsia" w:ascii="宋体" w:hAnsi="宋体" w:cs="Arial"/>
          <w:kern w:val="0"/>
          <w:sz w:val="22"/>
          <w:szCs w:val="22"/>
          <w:highlight w:val="none"/>
          <w:u w:val="single"/>
        </w:rPr>
        <w:t xml:space="preserve"> （投标人全称）</w:t>
      </w:r>
      <w:r>
        <w:rPr>
          <w:rFonts w:hint="eastAsia" w:ascii="宋体" w:hAnsi="宋体" w:cs="Arial"/>
          <w:kern w:val="0"/>
          <w:sz w:val="22"/>
          <w:szCs w:val="22"/>
          <w:highlight w:val="none"/>
        </w:rPr>
        <w:t>具有良好的商业信誉</w:t>
      </w:r>
      <w:r>
        <w:rPr>
          <w:rFonts w:hint="eastAsia" w:ascii="宋体" w:hAnsi="宋体"/>
          <w:sz w:val="22"/>
          <w:szCs w:val="22"/>
          <w:highlight w:val="none"/>
        </w:rPr>
        <w:t>和健全的财务会计制度</w:t>
      </w:r>
      <w:r>
        <w:rPr>
          <w:rFonts w:hint="eastAsia" w:ascii="宋体" w:hAnsi="宋体" w:cs="Arial"/>
          <w:kern w:val="0"/>
          <w:sz w:val="22"/>
          <w:szCs w:val="22"/>
          <w:highlight w:val="none"/>
        </w:rPr>
        <w:t>，依法缴纳税收和社会保障资金，未被列入失信被执行人名单、重大税收违法案件当事人名单、采购严重违法失信行为记录名单，参加本次采购活动前3年内在经营活动中没有重大违法记录（没有因违法经营受到刑事处罚，没有被责令停产停业、被吊销许可证或者执照、被处以较大数额罚款等行政处罚，没有因违法经营被禁止参加采购活动的期限未满情形）。如有虚假，招标人可取消我方任何资格（投标/中标/签订合同），我方对此无任何异议。</w:t>
      </w:r>
    </w:p>
    <w:p w14:paraId="146EC643">
      <w:pPr>
        <w:widowControl/>
        <w:adjustRightInd w:val="0"/>
        <w:snapToGrid w:val="0"/>
        <w:spacing w:line="440" w:lineRule="exact"/>
        <w:ind w:firstLine="440" w:firstLineChars="200"/>
        <w:jc w:val="left"/>
        <w:rPr>
          <w:rFonts w:ascii="宋体" w:hAnsi="宋体" w:cs="Arial"/>
          <w:kern w:val="0"/>
          <w:sz w:val="22"/>
          <w:szCs w:val="22"/>
          <w:highlight w:val="none"/>
        </w:rPr>
      </w:pPr>
    </w:p>
    <w:p w14:paraId="79DD2222">
      <w:pPr>
        <w:widowControl/>
        <w:adjustRightInd w:val="0"/>
        <w:snapToGrid w:val="0"/>
        <w:spacing w:line="440" w:lineRule="exact"/>
        <w:ind w:firstLine="440" w:firstLineChars="200"/>
        <w:jc w:val="left"/>
        <w:rPr>
          <w:rFonts w:ascii="宋体" w:hAnsi="宋体" w:cs="Arial"/>
          <w:kern w:val="0"/>
          <w:sz w:val="22"/>
          <w:szCs w:val="22"/>
          <w:highlight w:val="none"/>
        </w:rPr>
      </w:pPr>
      <w:r>
        <w:rPr>
          <w:rFonts w:hint="eastAsia" w:ascii="宋体" w:hAnsi="宋体" w:cs="Arial"/>
          <w:kern w:val="0"/>
          <w:sz w:val="22"/>
          <w:szCs w:val="22"/>
          <w:highlight w:val="none"/>
        </w:rPr>
        <w:t>特此承诺！</w:t>
      </w:r>
    </w:p>
    <w:p w14:paraId="3A1771E1">
      <w:pPr>
        <w:widowControl/>
        <w:adjustRightInd w:val="0"/>
        <w:snapToGrid w:val="0"/>
        <w:spacing w:line="440" w:lineRule="exact"/>
        <w:ind w:firstLine="440" w:firstLineChars="200"/>
        <w:jc w:val="left"/>
        <w:rPr>
          <w:rFonts w:ascii="宋体" w:hAnsi="宋体" w:cs="Arial"/>
          <w:kern w:val="0"/>
          <w:sz w:val="22"/>
          <w:szCs w:val="22"/>
          <w:highlight w:val="none"/>
        </w:rPr>
      </w:pPr>
    </w:p>
    <w:p w14:paraId="6C5EF32C">
      <w:pPr>
        <w:spacing w:line="380" w:lineRule="exact"/>
        <w:ind w:firstLine="440" w:firstLineChars="200"/>
        <w:rPr>
          <w:rFonts w:ascii="宋体" w:hAnsi="宋体"/>
          <w:color w:val="000000"/>
          <w:sz w:val="22"/>
          <w:szCs w:val="22"/>
          <w:highlight w:val="none"/>
        </w:rPr>
      </w:pPr>
      <w:r>
        <w:rPr>
          <w:rFonts w:hint="eastAsia" w:ascii="宋体" w:hAnsi="宋体"/>
          <w:color w:val="000000"/>
          <w:sz w:val="22"/>
          <w:szCs w:val="22"/>
          <w:highlight w:val="none"/>
        </w:rPr>
        <w:t>投标人全称（盖章）：</w:t>
      </w:r>
    </w:p>
    <w:p w14:paraId="27A65717">
      <w:pPr>
        <w:spacing w:line="380" w:lineRule="exact"/>
        <w:ind w:firstLine="440" w:firstLineChars="200"/>
        <w:rPr>
          <w:rFonts w:ascii="宋体" w:hAnsi="宋体"/>
          <w:color w:val="000000"/>
          <w:sz w:val="22"/>
          <w:szCs w:val="22"/>
          <w:highlight w:val="none"/>
        </w:rPr>
      </w:pPr>
      <w:r>
        <w:rPr>
          <w:rFonts w:hint="eastAsia" w:ascii="宋体" w:hAnsi="宋体"/>
          <w:color w:val="000000"/>
          <w:sz w:val="22"/>
          <w:szCs w:val="22"/>
          <w:highlight w:val="none"/>
        </w:rPr>
        <w:t>法定代表人或授权代表（签字或盖章）：</w:t>
      </w:r>
    </w:p>
    <w:p w14:paraId="1916C3DE">
      <w:pPr>
        <w:spacing w:line="380" w:lineRule="exact"/>
        <w:ind w:firstLine="440" w:firstLineChars="200"/>
        <w:rPr>
          <w:rFonts w:ascii="宋体" w:hAnsi="宋体" w:cs="Arial"/>
          <w:b/>
          <w:bCs/>
          <w:color w:val="000000"/>
          <w:sz w:val="22"/>
          <w:szCs w:val="22"/>
          <w:highlight w:val="none"/>
        </w:rPr>
      </w:pPr>
      <w:r>
        <w:rPr>
          <w:rFonts w:hint="eastAsia" w:ascii="宋体" w:hAnsi="宋体"/>
          <w:color w:val="000000"/>
          <w:sz w:val="22"/>
          <w:szCs w:val="22"/>
          <w:highlight w:val="none"/>
        </w:rPr>
        <w:t>日 期：  年  月  日</w:t>
      </w:r>
      <w:r>
        <w:rPr>
          <w:rFonts w:hint="eastAsia" w:ascii="宋体" w:hAnsi="宋体" w:cs="Arial"/>
          <w:b/>
          <w:bCs/>
          <w:color w:val="000000"/>
          <w:sz w:val="22"/>
          <w:szCs w:val="22"/>
          <w:highlight w:val="none"/>
        </w:rPr>
        <w:t xml:space="preserve"> </w:t>
      </w:r>
    </w:p>
    <w:p w14:paraId="3F1B7A90">
      <w:pPr>
        <w:spacing w:line="360" w:lineRule="auto"/>
        <w:jc w:val="left"/>
        <w:rPr>
          <w:rFonts w:ascii="宋体" w:hAnsi="宋体"/>
          <w:color w:val="000000"/>
          <w:sz w:val="22"/>
          <w:szCs w:val="22"/>
          <w:highlight w:val="none"/>
        </w:rPr>
      </w:pPr>
    </w:p>
    <w:p w14:paraId="0551CFA5">
      <w:pPr>
        <w:tabs>
          <w:tab w:val="left" w:pos="2830"/>
        </w:tabs>
        <w:snapToGrid w:val="0"/>
        <w:spacing w:before="50" w:after="50" w:line="360" w:lineRule="auto"/>
        <w:rPr>
          <w:rFonts w:ascii="宋体" w:hAnsi="宋体" w:cs="宋体"/>
          <w:sz w:val="28"/>
          <w:szCs w:val="28"/>
          <w:highlight w:val="none"/>
        </w:rPr>
      </w:pPr>
    </w:p>
    <w:p w14:paraId="526527A4">
      <w:pPr>
        <w:tabs>
          <w:tab w:val="left" w:pos="2830"/>
        </w:tabs>
        <w:snapToGrid w:val="0"/>
        <w:spacing w:before="50" w:after="50" w:line="360" w:lineRule="auto"/>
        <w:rPr>
          <w:rFonts w:ascii="宋体" w:hAnsi="宋体" w:cs="宋体"/>
          <w:sz w:val="28"/>
          <w:szCs w:val="28"/>
          <w:highlight w:val="none"/>
        </w:rPr>
      </w:pPr>
    </w:p>
    <w:p w14:paraId="10689595">
      <w:pPr>
        <w:tabs>
          <w:tab w:val="left" w:pos="2830"/>
        </w:tabs>
        <w:snapToGrid w:val="0"/>
        <w:spacing w:before="50" w:after="50" w:line="360" w:lineRule="auto"/>
        <w:rPr>
          <w:rFonts w:ascii="宋体" w:hAnsi="宋体" w:cs="宋体"/>
          <w:sz w:val="28"/>
          <w:szCs w:val="28"/>
          <w:highlight w:val="none"/>
        </w:rPr>
      </w:pPr>
    </w:p>
    <w:p w14:paraId="72648EF5">
      <w:pPr>
        <w:tabs>
          <w:tab w:val="left" w:pos="2830"/>
        </w:tabs>
        <w:snapToGrid w:val="0"/>
        <w:spacing w:before="50" w:after="50" w:line="360" w:lineRule="auto"/>
        <w:rPr>
          <w:rFonts w:ascii="宋体" w:hAnsi="宋体" w:cs="宋体"/>
          <w:sz w:val="28"/>
          <w:szCs w:val="28"/>
          <w:highlight w:val="none"/>
        </w:rPr>
      </w:pPr>
    </w:p>
    <w:p w14:paraId="7AA9FCFC">
      <w:pPr>
        <w:tabs>
          <w:tab w:val="left" w:pos="2830"/>
        </w:tabs>
        <w:snapToGrid w:val="0"/>
        <w:spacing w:before="50" w:after="50" w:line="360" w:lineRule="auto"/>
        <w:rPr>
          <w:rFonts w:ascii="宋体" w:hAnsi="宋体" w:cs="宋体"/>
          <w:sz w:val="28"/>
          <w:szCs w:val="28"/>
          <w:highlight w:val="none"/>
        </w:rPr>
      </w:pPr>
    </w:p>
    <w:p w14:paraId="056A0F9C">
      <w:pPr>
        <w:tabs>
          <w:tab w:val="left" w:pos="2830"/>
        </w:tabs>
        <w:snapToGrid w:val="0"/>
        <w:spacing w:before="50" w:after="50" w:line="360" w:lineRule="auto"/>
        <w:rPr>
          <w:rFonts w:ascii="宋体" w:hAnsi="宋体" w:cs="宋体"/>
          <w:sz w:val="28"/>
          <w:szCs w:val="28"/>
          <w:highlight w:val="none"/>
        </w:rPr>
      </w:pPr>
    </w:p>
    <w:p w14:paraId="1047E91F">
      <w:pPr>
        <w:tabs>
          <w:tab w:val="left" w:pos="2830"/>
        </w:tabs>
        <w:snapToGrid w:val="0"/>
        <w:spacing w:before="50" w:after="50" w:line="360" w:lineRule="auto"/>
        <w:rPr>
          <w:rFonts w:ascii="宋体" w:hAnsi="宋体" w:cs="宋体"/>
          <w:sz w:val="28"/>
          <w:szCs w:val="28"/>
          <w:highlight w:val="none"/>
        </w:rPr>
      </w:pPr>
    </w:p>
    <w:p w14:paraId="5A3C1F3D">
      <w:pPr>
        <w:tabs>
          <w:tab w:val="left" w:pos="2830"/>
        </w:tabs>
        <w:snapToGrid w:val="0"/>
        <w:spacing w:before="50" w:after="50" w:line="360" w:lineRule="auto"/>
        <w:rPr>
          <w:rFonts w:ascii="宋体" w:hAnsi="宋体" w:cs="宋体"/>
          <w:sz w:val="28"/>
          <w:szCs w:val="28"/>
          <w:highlight w:val="none"/>
        </w:rPr>
      </w:pPr>
    </w:p>
    <w:p w14:paraId="1D8EC933">
      <w:pPr>
        <w:tabs>
          <w:tab w:val="left" w:pos="2830"/>
        </w:tabs>
        <w:snapToGrid w:val="0"/>
        <w:spacing w:before="50" w:after="50" w:line="360" w:lineRule="auto"/>
        <w:rPr>
          <w:rFonts w:ascii="宋体" w:hAnsi="宋体" w:cs="宋体"/>
          <w:sz w:val="28"/>
          <w:szCs w:val="28"/>
          <w:highlight w:val="none"/>
        </w:rPr>
      </w:pPr>
    </w:p>
    <w:p w14:paraId="788483B1">
      <w:pPr>
        <w:spacing w:line="360" w:lineRule="auto"/>
        <w:jc w:val="left"/>
        <w:rPr>
          <w:rFonts w:ascii="宋体" w:hAnsi="宋体"/>
          <w:color w:val="000000"/>
          <w:sz w:val="28"/>
          <w:szCs w:val="28"/>
          <w:highlight w:val="none"/>
        </w:rPr>
      </w:pPr>
    </w:p>
    <w:p w14:paraId="71EE3889">
      <w:pPr>
        <w:widowControl/>
        <w:jc w:val="left"/>
        <w:rPr>
          <w:rFonts w:ascii="宋体" w:hAnsi="宋体"/>
          <w:color w:val="000000"/>
          <w:sz w:val="24"/>
          <w:szCs w:val="28"/>
          <w:highlight w:val="none"/>
        </w:rPr>
      </w:pPr>
    </w:p>
    <w:p w14:paraId="634449D2">
      <w:pPr>
        <w:widowControl/>
        <w:jc w:val="left"/>
        <w:rPr>
          <w:rFonts w:ascii="宋体" w:hAnsi="宋体"/>
          <w:color w:val="000000"/>
          <w:sz w:val="24"/>
          <w:szCs w:val="28"/>
          <w:highlight w:val="none"/>
        </w:rPr>
      </w:pPr>
    </w:p>
    <w:p w14:paraId="245B491C">
      <w:pPr>
        <w:spacing w:line="360" w:lineRule="auto"/>
        <w:jc w:val="left"/>
        <w:rPr>
          <w:rFonts w:ascii="宋体" w:hAnsi="宋体"/>
          <w:color w:val="000000"/>
          <w:sz w:val="28"/>
          <w:szCs w:val="32"/>
          <w:highlight w:val="none"/>
        </w:rPr>
      </w:pPr>
      <w:r>
        <w:rPr>
          <w:rFonts w:hint="eastAsia" w:ascii="宋体" w:hAnsi="宋体"/>
          <w:color w:val="000000"/>
          <w:sz w:val="28"/>
          <w:szCs w:val="32"/>
          <w:highlight w:val="none"/>
        </w:rPr>
        <w:t>附件六</w:t>
      </w:r>
    </w:p>
    <w:p w14:paraId="1FFAD8E4">
      <w:pPr>
        <w:tabs>
          <w:tab w:val="left" w:pos="482"/>
          <w:tab w:val="left" w:pos="2183"/>
          <w:tab w:val="left" w:pos="3884"/>
          <w:tab w:val="left" w:pos="5585"/>
        </w:tabs>
        <w:autoSpaceDE w:val="0"/>
        <w:autoSpaceDN w:val="0"/>
        <w:jc w:val="center"/>
        <w:outlineLvl w:val="3"/>
        <w:rPr>
          <w:rFonts w:cs="宋体"/>
          <w:sz w:val="36"/>
          <w:szCs w:val="36"/>
          <w:highlight w:val="none"/>
        </w:rPr>
      </w:pPr>
      <w:r>
        <w:rPr>
          <w:rFonts w:hint="eastAsia" w:cs="宋体"/>
          <w:b/>
          <w:bCs/>
          <w:sz w:val="28"/>
          <w:szCs w:val="28"/>
          <w:highlight w:val="none"/>
        </w:rPr>
        <w:t>安全生产责任事故承诺函</w:t>
      </w:r>
    </w:p>
    <w:p w14:paraId="54D44F6A">
      <w:pPr>
        <w:spacing w:line="440" w:lineRule="exact"/>
        <w:rPr>
          <w:rFonts w:ascii="宋体" w:hAnsi="宋体" w:cs="宋体"/>
          <w:sz w:val="22"/>
          <w:szCs w:val="22"/>
          <w:highlight w:val="none"/>
        </w:rPr>
      </w:pPr>
      <w:r>
        <w:rPr>
          <w:rFonts w:hint="eastAsia" w:cs="宋体"/>
          <w:highlight w:val="none"/>
        </w:rPr>
        <w:t>（</w:t>
      </w:r>
      <w:r>
        <w:rPr>
          <w:rFonts w:hint="eastAsia" w:ascii="宋体" w:hAnsi="宋体" w:cs="宋体"/>
          <w:sz w:val="22"/>
          <w:szCs w:val="22"/>
          <w:highlight w:val="none"/>
        </w:rPr>
        <w:t>招标人名称）：</w:t>
      </w:r>
    </w:p>
    <w:p w14:paraId="14655961">
      <w:pPr>
        <w:spacing w:line="440" w:lineRule="exact"/>
        <w:rPr>
          <w:rFonts w:ascii="宋体" w:hAnsi="宋体" w:cs="宋体"/>
          <w:sz w:val="22"/>
          <w:szCs w:val="22"/>
          <w:highlight w:val="none"/>
        </w:rPr>
      </w:pPr>
    </w:p>
    <w:p w14:paraId="3341E5BB">
      <w:pPr>
        <w:wordWrap w:val="0"/>
        <w:spacing w:line="440" w:lineRule="exact"/>
        <w:ind w:firstLine="440" w:firstLineChars="200"/>
        <w:rPr>
          <w:rFonts w:ascii="宋体" w:hAnsi="宋体" w:cs="宋体"/>
          <w:sz w:val="22"/>
          <w:szCs w:val="22"/>
          <w:highlight w:val="none"/>
        </w:rPr>
      </w:pPr>
      <w:r>
        <w:rPr>
          <w:rFonts w:hint="eastAsia" w:ascii="宋体" w:hAnsi="宋体" w:cs="宋体"/>
          <w:sz w:val="22"/>
          <w:szCs w:val="22"/>
          <w:highlight w:val="none"/>
        </w:rPr>
        <w:t>我方承诺近3年公司所承担范围内无1人死亡及以上安全生产责任事故（含劳务外包人员）。</w:t>
      </w:r>
    </w:p>
    <w:p w14:paraId="2694DE71">
      <w:pPr>
        <w:wordWrap w:val="0"/>
        <w:spacing w:line="440" w:lineRule="exact"/>
        <w:ind w:firstLine="440" w:firstLineChars="200"/>
        <w:rPr>
          <w:rFonts w:ascii="宋体" w:hAnsi="宋体" w:cs="宋体"/>
          <w:sz w:val="22"/>
          <w:szCs w:val="22"/>
          <w:highlight w:val="none"/>
        </w:rPr>
      </w:pPr>
      <w:r>
        <w:rPr>
          <w:rFonts w:hint="eastAsia" w:ascii="宋体" w:hAnsi="宋体" w:cs="宋体"/>
          <w:sz w:val="22"/>
          <w:szCs w:val="22"/>
          <w:highlight w:val="none"/>
        </w:rPr>
        <w:t>以上事项如有虚假或隐瞒，我方愿意承担一切后果，并不再寻求任何旨在减轻或免除法律责任的辩解。招标人可取消我方任何资格（投标/中标/签订合同），我方对此无任何异议。</w:t>
      </w:r>
    </w:p>
    <w:p w14:paraId="59BF300A">
      <w:pPr>
        <w:spacing w:line="440" w:lineRule="exact"/>
        <w:rPr>
          <w:rFonts w:ascii="宋体" w:hAnsi="宋体" w:cs="宋体"/>
          <w:sz w:val="22"/>
          <w:szCs w:val="22"/>
          <w:highlight w:val="none"/>
        </w:rPr>
      </w:pPr>
    </w:p>
    <w:p w14:paraId="1B80CD43">
      <w:pPr>
        <w:snapToGrid w:val="0"/>
        <w:spacing w:line="440" w:lineRule="exact"/>
        <w:jc w:val="left"/>
        <w:rPr>
          <w:rFonts w:ascii="宋体" w:hAnsi="宋体" w:cs="宋体"/>
          <w:b/>
          <w:sz w:val="22"/>
          <w:szCs w:val="22"/>
          <w:highlight w:val="none"/>
        </w:rPr>
      </w:pPr>
    </w:p>
    <w:p w14:paraId="2D3B78A1">
      <w:pPr>
        <w:spacing w:line="440" w:lineRule="exact"/>
        <w:rPr>
          <w:rFonts w:ascii="宋体" w:hAnsi="宋体" w:cs="宋体"/>
          <w:sz w:val="22"/>
          <w:szCs w:val="22"/>
          <w:highlight w:val="none"/>
        </w:rPr>
      </w:pPr>
    </w:p>
    <w:p w14:paraId="3D42325B">
      <w:pPr>
        <w:spacing w:line="440" w:lineRule="exact"/>
        <w:rPr>
          <w:rFonts w:ascii="宋体" w:hAnsi="宋体" w:cs="宋体"/>
          <w:sz w:val="22"/>
          <w:szCs w:val="22"/>
          <w:highlight w:val="none"/>
        </w:rPr>
      </w:pPr>
      <w:r>
        <w:rPr>
          <w:rFonts w:hint="eastAsia" w:ascii="宋体" w:hAnsi="宋体" w:cs="宋体"/>
          <w:sz w:val="22"/>
          <w:szCs w:val="22"/>
          <w:highlight w:val="none"/>
        </w:rPr>
        <w:t>投标人全称（盖章）：</w:t>
      </w:r>
    </w:p>
    <w:p w14:paraId="072B461B">
      <w:pPr>
        <w:spacing w:line="440" w:lineRule="exact"/>
        <w:rPr>
          <w:rFonts w:ascii="宋体" w:hAnsi="宋体" w:cs="宋体"/>
          <w:sz w:val="22"/>
          <w:szCs w:val="22"/>
          <w:highlight w:val="none"/>
        </w:rPr>
      </w:pPr>
      <w:r>
        <w:rPr>
          <w:rFonts w:hint="eastAsia" w:ascii="宋体" w:hAnsi="宋体" w:cs="宋体"/>
          <w:sz w:val="22"/>
          <w:szCs w:val="22"/>
          <w:highlight w:val="none"/>
        </w:rPr>
        <w:t>法定代表人或其授权代表（签字或盖章）：</w:t>
      </w:r>
    </w:p>
    <w:p w14:paraId="5FE35FCD">
      <w:pPr>
        <w:spacing w:line="440" w:lineRule="exact"/>
        <w:rPr>
          <w:rFonts w:ascii="宋体" w:hAnsi="宋体" w:cs="宋体"/>
          <w:sz w:val="22"/>
          <w:szCs w:val="22"/>
          <w:highlight w:val="none"/>
        </w:rPr>
      </w:pPr>
      <w:r>
        <w:rPr>
          <w:rFonts w:hint="eastAsia" w:ascii="宋体" w:hAnsi="宋体" w:cs="宋体"/>
          <w:sz w:val="22"/>
          <w:szCs w:val="22"/>
          <w:highlight w:val="none"/>
        </w:rPr>
        <w:t>日期：     年   月  日</w:t>
      </w:r>
    </w:p>
    <w:p w14:paraId="2EC977F4">
      <w:pPr>
        <w:pStyle w:val="12"/>
        <w:spacing w:after="0" w:line="440" w:lineRule="exact"/>
        <w:ind w:firstLine="220"/>
        <w:rPr>
          <w:rFonts w:ascii="宋体" w:hAnsi="宋体" w:cs="宋体"/>
          <w:sz w:val="22"/>
          <w:szCs w:val="22"/>
          <w:highlight w:val="none"/>
        </w:rPr>
      </w:pPr>
    </w:p>
    <w:p w14:paraId="5E1B9D37">
      <w:pPr>
        <w:pStyle w:val="12"/>
        <w:spacing w:after="0" w:line="440" w:lineRule="exact"/>
        <w:ind w:firstLine="220"/>
        <w:rPr>
          <w:rFonts w:ascii="宋体" w:hAnsi="宋体" w:cs="宋体"/>
          <w:sz w:val="22"/>
          <w:szCs w:val="22"/>
          <w:highlight w:val="none"/>
        </w:rPr>
      </w:pPr>
    </w:p>
    <w:p w14:paraId="5EFC429C">
      <w:pPr>
        <w:pStyle w:val="12"/>
        <w:spacing w:after="0" w:line="440" w:lineRule="exact"/>
        <w:ind w:firstLine="220"/>
        <w:rPr>
          <w:rFonts w:ascii="宋体" w:hAnsi="宋体" w:cs="宋体"/>
          <w:sz w:val="22"/>
          <w:szCs w:val="22"/>
          <w:highlight w:val="none"/>
        </w:rPr>
      </w:pPr>
    </w:p>
    <w:p w14:paraId="6F56A2D6">
      <w:pPr>
        <w:pStyle w:val="12"/>
        <w:spacing w:after="0" w:line="440" w:lineRule="exact"/>
        <w:ind w:firstLine="220"/>
        <w:rPr>
          <w:rFonts w:ascii="宋体" w:hAnsi="宋体" w:cs="宋体"/>
          <w:sz w:val="22"/>
          <w:szCs w:val="22"/>
          <w:highlight w:val="none"/>
        </w:rPr>
      </w:pPr>
    </w:p>
    <w:p w14:paraId="72B5CFB0">
      <w:pPr>
        <w:jc w:val="left"/>
        <w:rPr>
          <w:rFonts w:ascii="宋体" w:hAnsi="宋体"/>
          <w:color w:val="000000"/>
          <w:sz w:val="24"/>
          <w:szCs w:val="28"/>
          <w:highlight w:val="none"/>
        </w:rPr>
      </w:pPr>
      <w:r>
        <w:rPr>
          <w:rFonts w:hint="eastAsia" w:ascii="宋体" w:hAnsi="宋体"/>
          <w:color w:val="000000"/>
          <w:sz w:val="24"/>
          <w:szCs w:val="28"/>
          <w:highlight w:val="none"/>
        </w:rPr>
        <w:br w:type="page"/>
      </w:r>
    </w:p>
    <w:p w14:paraId="7F2AE8BF">
      <w:pPr>
        <w:spacing w:line="360" w:lineRule="auto"/>
        <w:jc w:val="left"/>
        <w:rPr>
          <w:rFonts w:ascii="宋体" w:hAnsi="宋体"/>
          <w:color w:val="000000"/>
          <w:sz w:val="28"/>
          <w:szCs w:val="32"/>
          <w:highlight w:val="none"/>
        </w:rPr>
      </w:pPr>
      <w:r>
        <w:rPr>
          <w:rFonts w:hint="eastAsia" w:ascii="宋体" w:hAnsi="宋体"/>
          <w:color w:val="000000"/>
          <w:sz w:val="28"/>
          <w:szCs w:val="32"/>
          <w:highlight w:val="none"/>
        </w:rPr>
        <w:t>附件七</w:t>
      </w:r>
    </w:p>
    <w:p w14:paraId="731122B9">
      <w:pPr>
        <w:spacing w:before="156" w:beforeLines="50" w:after="156" w:afterLines="50" w:line="400" w:lineRule="exact"/>
        <w:ind w:firstLine="442" w:firstLineChars="200"/>
        <w:outlineLvl w:val="3"/>
        <w:rPr>
          <w:rFonts w:ascii="宋体" w:hAnsi="宋体"/>
          <w:b/>
          <w:bCs/>
          <w:sz w:val="22"/>
          <w:szCs w:val="22"/>
          <w:highlight w:val="none"/>
        </w:rPr>
      </w:pPr>
      <w:r>
        <w:rPr>
          <w:rFonts w:hint="eastAsia" w:ascii="宋体" w:hAnsi="宋体"/>
          <w:b/>
          <w:bCs/>
          <w:sz w:val="22"/>
          <w:szCs w:val="22"/>
          <w:highlight w:val="none"/>
        </w:rPr>
        <w:t>投标人未被列入失信被执行人名单、重大税收违法案件当事人名单、政府采购严重违法失信行为记录名单、安全生产严重失信主体名单，信用信息以信用中国网站（www.creditchina.gov.cn）、中国政府采购网（www.ccgp.gov.cn）、应急管理部（https://zwfw.mem.gov.cn/zwthlw/pages/hlwmh/yyfw/qyaqscxycx/qyaqscxycx_index.html）公布为准。（须提供网站查询截图并加盖单位公章）</w:t>
      </w:r>
    </w:p>
    <w:p w14:paraId="450CC9AF">
      <w:pPr>
        <w:spacing w:line="360" w:lineRule="auto"/>
        <w:jc w:val="left"/>
        <w:rPr>
          <w:rFonts w:ascii="宋体" w:hAnsi="宋体"/>
          <w:color w:val="000000"/>
          <w:sz w:val="28"/>
          <w:szCs w:val="32"/>
          <w:highlight w:val="none"/>
        </w:rPr>
      </w:pPr>
      <w:r>
        <w:rPr>
          <w:rFonts w:hint="eastAsia" w:ascii="宋体" w:hAnsi="宋体"/>
          <w:sz w:val="22"/>
          <w:szCs w:val="22"/>
          <w:highlight w:val="none"/>
        </w:rPr>
        <w:br w:type="page"/>
      </w:r>
      <w:r>
        <w:rPr>
          <w:rFonts w:hint="eastAsia" w:ascii="宋体" w:hAnsi="宋体"/>
          <w:color w:val="000000"/>
          <w:sz w:val="28"/>
          <w:szCs w:val="32"/>
          <w:highlight w:val="none"/>
        </w:rPr>
        <w:t>附件八</w:t>
      </w:r>
    </w:p>
    <w:p w14:paraId="6B6F837C">
      <w:pPr>
        <w:spacing w:before="156" w:beforeLines="50" w:after="156" w:afterLines="50" w:line="400" w:lineRule="exact"/>
        <w:ind w:firstLine="442" w:firstLineChars="200"/>
        <w:outlineLvl w:val="3"/>
        <w:rPr>
          <w:rFonts w:ascii="宋体" w:hAnsi="宋体"/>
          <w:b/>
          <w:bCs/>
          <w:sz w:val="22"/>
          <w:szCs w:val="22"/>
          <w:highlight w:val="none"/>
        </w:rPr>
      </w:pPr>
      <w:r>
        <w:rPr>
          <w:rFonts w:hint="eastAsia" w:ascii="宋体" w:hAnsi="宋体"/>
          <w:b/>
          <w:bCs/>
          <w:sz w:val="22"/>
          <w:szCs w:val="22"/>
          <w:highlight w:val="none"/>
        </w:rPr>
        <w:t>具有有效的《中华人民共和国特种设备生产许可证》，许可项目为起重机械安装（含修理），许可子项目含门座式起重机(须提供证书复印件并加盖单位公章)或具有有效的《中华人民共和国特种设备安装改造维修许可证（起重机械）》，类型为门座式起重机，施工类别含维修(须提供证书复印件并加盖单位公章)；</w:t>
      </w:r>
    </w:p>
    <w:p w14:paraId="6200B801">
      <w:pPr>
        <w:spacing w:line="360" w:lineRule="auto"/>
        <w:jc w:val="left"/>
        <w:rPr>
          <w:rFonts w:ascii="宋体" w:hAnsi="宋体"/>
          <w:color w:val="000000"/>
          <w:sz w:val="28"/>
          <w:szCs w:val="32"/>
          <w:highlight w:val="none"/>
        </w:rPr>
      </w:pPr>
      <w:r>
        <w:rPr>
          <w:rFonts w:hint="eastAsia" w:ascii="宋体" w:hAnsi="宋体"/>
          <w:sz w:val="22"/>
          <w:szCs w:val="22"/>
          <w:highlight w:val="none"/>
        </w:rPr>
        <w:br w:type="page"/>
      </w:r>
      <w:r>
        <w:rPr>
          <w:rFonts w:hint="eastAsia" w:ascii="宋体" w:hAnsi="宋体"/>
          <w:color w:val="000000"/>
          <w:sz w:val="28"/>
          <w:szCs w:val="32"/>
          <w:highlight w:val="none"/>
        </w:rPr>
        <w:t>附件九</w:t>
      </w:r>
    </w:p>
    <w:p w14:paraId="496CF040">
      <w:pPr>
        <w:tabs>
          <w:tab w:val="left" w:pos="482"/>
          <w:tab w:val="left" w:pos="2183"/>
          <w:tab w:val="left" w:pos="3884"/>
          <w:tab w:val="left" w:pos="5585"/>
        </w:tabs>
        <w:autoSpaceDE w:val="0"/>
        <w:autoSpaceDN w:val="0"/>
        <w:jc w:val="center"/>
        <w:outlineLvl w:val="3"/>
        <w:rPr>
          <w:rFonts w:ascii="宋体" w:hAnsi="宋体" w:cs="Arial"/>
          <w:b/>
          <w:bCs/>
          <w:kern w:val="0"/>
          <w:sz w:val="22"/>
          <w:szCs w:val="22"/>
          <w:highlight w:val="none"/>
        </w:rPr>
      </w:pPr>
      <w:r>
        <w:rPr>
          <w:rFonts w:hint="eastAsia" w:ascii="宋体" w:hAnsi="宋体"/>
          <w:b/>
          <w:bCs/>
          <w:color w:val="000000"/>
          <w:sz w:val="28"/>
          <w:szCs w:val="32"/>
          <w:highlight w:val="none"/>
        </w:rPr>
        <w:t>单位规模及业绩（格式自拟）</w:t>
      </w:r>
    </w:p>
    <w:p w14:paraId="7F7664CE">
      <w:pPr>
        <w:widowControl/>
        <w:adjustRightInd w:val="0"/>
        <w:snapToGrid w:val="0"/>
        <w:spacing w:line="440" w:lineRule="exact"/>
        <w:ind w:firstLine="442" w:firstLineChars="200"/>
        <w:jc w:val="left"/>
        <w:rPr>
          <w:rFonts w:ascii="宋体" w:hAnsi="宋体" w:cs="Arial"/>
          <w:b/>
          <w:bCs/>
          <w:kern w:val="0"/>
          <w:sz w:val="22"/>
          <w:szCs w:val="22"/>
          <w:highlight w:val="none"/>
        </w:rPr>
      </w:pPr>
      <w:r>
        <w:rPr>
          <w:rFonts w:hint="eastAsia" w:ascii="宋体" w:hAnsi="宋体" w:cs="Arial"/>
          <w:b/>
          <w:bCs/>
          <w:kern w:val="0"/>
          <w:sz w:val="22"/>
          <w:szCs w:val="22"/>
          <w:highlight w:val="none"/>
        </w:rPr>
        <w:t>1</w:t>
      </w:r>
      <w:r>
        <w:rPr>
          <w:rFonts w:ascii="宋体" w:hAnsi="宋体" w:cs="Arial"/>
          <w:b/>
          <w:bCs/>
          <w:kern w:val="0"/>
          <w:sz w:val="22"/>
          <w:szCs w:val="22"/>
          <w:highlight w:val="none"/>
        </w:rPr>
        <w:t>.单位规模20人及以上（须提供社保证明材料并加盖单位公章）；</w:t>
      </w:r>
    </w:p>
    <w:p w14:paraId="1ECCBFDA">
      <w:pPr>
        <w:widowControl/>
        <w:adjustRightInd w:val="0"/>
        <w:snapToGrid w:val="0"/>
        <w:spacing w:line="440" w:lineRule="exact"/>
        <w:ind w:firstLine="442" w:firstLineChars="200"/>
        <w:jc w:val="left"/>
        <w:rPr>
          <w:rFonts w:ascii="宋体" w:hAnsi="宋体" w:cs="Arial"/>
          <w:b/>
          <w:bCs/>
          <w:kern w:val="0"/>
          <w:sz w:val="22"/>
          <w:szCs w:val="22"/>
          <w:highlight w:val="none"/>
        </w:rPr>
      </w:pPr>
      <w:r>
        <w:rPr>
          <w:rFonts w:hint="eastAsia" w:ascii="宋体" w:hAnsi="宋体" w:cs="Arial"/>
          <w:b/>
          <w:bCs/>
          <w:kern w:val="0"/>
          <w:sz w:val="22"/>
          <w:szCs w:val="22"/>
          <w:highlight w:val="none"/>
        </w:rPr>
        <w:t>2</w:t>
      </w:r>
      <w:r>
        <w:rPr>
          <w:rFonts w:ascii="宋体" w:hAnsi="宋体" w:cs="Arial"/>
          <w:b/>
          <w:bCs/>
          <w:kern w:val="0"/>
          <w:sz w:val="22"/>
          <w:szCs w:val="22"/>
          <w:highlight w:val="none"/>
        </w:rPr>
        <w:t>.</w:t>
      </w:r>
      <w:r>
        <w:rPr>
          <w:rFonts w:hint="eastAsia" w:ascii="宋体" w:hAnsi="宋体" w:cs="Arial"/>
          <w:b/>
          <w:bCs/>
          <w:kern w:val="0"/>
          <w:sz w:val="22"/>
          <w:szCs w:val="22"/>
          <w:highlight w:val="none"/>
        </w:rPr>
        <w:t>具有3年及以上“门座式起重机回转支承更换或维修”业绩（即合同签订时间在2023年4月1日以前，须提供合同复印件并加盖单位公章）；</w:t>
      </w:r>
    </w:p>
    <w:p w14:paraId="65A77BAF">
      <w:pPr>
        <w:rPr>
          <w:rFonts w:ascii="宋体" w:hAnsi="宋体"/>
          <w:sz w:val="22"/>
          <w:szCs w:val="22"/>
          <w:highlight w:val="none"/>
        </w:rPr>
      </w:pPr>
      <w:r>
        <w:rPr>
          <w:rFonts w:hint="eastAsia" w:ascii="宋体" w:hAnsi="宋体"/>
          <w:sz w:val="22"/>
          <w:szCs w:val="22"/>
          <w:highlight w:val="none"/>
        </w:rPr>
        <w:br w:type="page"/>
      </w:r>
    </w:p>
    <w:p w14:paraId="66D25AD6">
      <w:pPr>
        <w:tabs>
          <w:tab w:val="left" w:pos="482"/>
          <w:tab w:val="left" w:pos="2183"/>
          <w:tab w:val="left" w:pos="3884"/>
          <w:tab w:val="left" w:pos="5585"/>
        </w:tabs>
        <w:autoSpaceDE w:val="0"/>
        <w:autoSpaceDN w:val="0"/>
        <w:jc w:val="left"/>
        <w:outlineLvl w:val="3"/>
        <w:rPr>
          <w:rFonts w:cs="宋体"/>
          <w:b/>
          <w:bCs/>
          <w:sz w:val="28"/>
          <w:szCs w:val="28"/>
          <w:highlight w:val="none"/>
        </w:rPr>
      </w:pPr>
      <w:r>
        <w:rPr>
          <w:rFonts w:hint="eastAsia" w:ascii="宋体" w:hAnsi="宋体"/>
          <w:b/>
          <w:bCs/>
          <w:color w:val="000000"/>
          <w:sz w:val="28"/>
          <w:szCs w:val="32"/>
          <w:highlight w:val="none"/>
        </w:rPr>
        <w:t>招标文件要求的或投标人认为有必要提供的其他情况说明（格式自拟，加盖公章）</w:t>
      </w:r>
    </w:p>
    <w:p w14:paraId="19DF1310">
      <w:pPr>
        <w:rPr>
          <w:rFonts w:ascii="宋体" w:hAnsi="宋体"/>
          <w:sz w:val="22"/>
          <w:szCs w:val="22"/>
          <w:highlight w:val="none"/>
        </w:rPr>
      </w:pPr>
      <w:r>
        <w:rPr>
          <w:rFonts w:hint="eastAsia" w:ascii="宋体" w:hAnsi="宋体"/>
          <w:sz w:val="22"/>
          <w:szCs w:val="22"/>
          <w:highlight w:val="none"/>
        </w:rPr>
        <w:br w:type="page"/>
      </w:r>
    </w:p>
    <w:p w14:paraId="5DEC8011">
      <w:pPr>
        <w:rPr>
          <w:rFonts w:ascii="宋体" w:hAnsi="宋体"/>
          <w:sz w:val="22"/>
          <w:szCs w:val="22"/>
          <w:highlight w:val="none"/>
        </w:rPr>
      </w:pPr>
    </w:p>
    <w:p w14:paraId="3616CF6E">
      <w:pPr>
        <w:rPr>
          <w:rFonts w:ascii="宋体" w:hAnsi="宋体"/>
          <w:sz w:val="22"/>
          <w:szCs w:val="22"/>
          <w:highlight w:val="none"/>
        </w:rPr>
      </w:pPr>
    </w:p>
    <w:p w14:paraId="5198185B">
      <w:pPr>
        <w:rPr>
          <w:rFonts w:ascii="宋体" w:hAnsi="宋体"/>
          <w:sz w:val="22"/>
          <w:szCs w:val="22"/>
          <w:highlight w:val="none"/>
        </w:rPr>
      </w:pPr>
      <w:r>
        <w:rPr>
          <w:rFonts w:hint="eastAsia" w:ascii="宋体" w:hAnsi="宋体"/>
          <w:sz w:val="22"/>
          <w:szCs w:val="22"/>
          <w:highlight w:val="none"/>
        </w:rPr>
        <w:t>（商务技术标封面，供参考）</w:t>
      </w:r>
    </w:p>
    <w:p w14:paraId="38249880">
      <w:pPr>
        <w:spacing w:before="156" w:beforeLines="50" w:after="156" w:afterLines="50"/>
        <w:rPr>
          <w:rFonts w:ascii="宋体" w:hAnsi="宋体"/>
          <w:sz w:val="22"/>
          <w:szCs w:val="22"/>
          <w:highlight w:val="none"/>
        </w:rPr>
      </w:pPr>
    </w:p>
    <w:p w14:paraId="5A1FAF1C">
      <w:pPr>
        <w:rPr>
          <w:rFonts w:ascii="宋体" w:hAnsi="宋体" w:cs="新宋体"/>
          <w:highlight w:val="none"/>
        </w:rPr>
      </w:pPr>
    </w:p>
    <w:p w14:paraId="73CABBAA">
      <w:pPr>
        <w:rPr>
          <w:rFonts w:ascii="宋体" w:hAnsi="宋体" w:cs="新宋体"/>
          <w:highlight w:val="none"/>
        </w:rPr>
      </w:pPr>
    </w:p>
    <w:p w14:paraId="462C1B51">
      <w:pPr>
        <w:rPr>
          <w:rFonts w:ascii="宋体" w:hAnsi="宋体" w:cs="新宋体"/>
          <w:highlight w:val="none"/>
        </w:rPr>
      </w:pPr>
    </w:p>
    <w:p w14:paraId="4AA75477">
      <w:pPr>
        <w:jc w:val="center"/>
        <w:rPr>
          <w:rFonts w:ascii="宋体" w:hAnsi="宋体" w:cs="新宋体"/>
          <w:sz w:val="28"/>
          <w:szCs w:val="28"/>
          <w:highlight w:val="none"/>
        </w:rPr>
      </w:pPr>
      <w:r>
        <w:rPr>
          <w:rFonts w:hint="eastAsia" w:ascii="宋体" w:hAnsi="宋体" w:cs="新宋体"/>
          <w:sz w:val="28"/>
          <w:szCs w:val="28"/>
          <w:highlight w:val="none"/>
          <w:u w:val="single"/>
        </w:rPr>
        <w:t xml:space="preserve">                 </w:t>
      </w:r>
      <w:r>
        <w:rPr>
          <w:rFonts w:hint="eastAsia" w:ascii="宋体" w:hAnsi="宋体" w:cs="新宋体"/>
          <w:sz w:val="28"/>
          <w:szCs w:val="28"/>
          <w:highlight w:val="none"/>
        </w:rPr>
        <w:t>（项目名称）投标文件</w:t>
      </w:r>
    </w:p>
    <w:p w14:paraId="293DCADE">
      <w:pPr>
        <w:rPr>
          <w:rFonts w:ascii="宋体" w:hAnsi="宋体" w:cs="新宋体"/>
          <w:sz w:val="28"/>
          <w:szCs w:val="28"/>
          <w:highlight w:val="none"/>
        </w:rPr>
      </w:pPr>
    </w:p>
    <w:p w14:paraId="1230C3F0">
      <w:pPr>
        <w:rPr>
          <w:rFonts w:ascii="宋体" w:hAnsi="宋体" w:cs="新宋体"/>
          <w:sz w:val="28"/>
          <w:szCs w:val="28"/>
          <w:highlight w:val="none"/>
        </w:rPr>
      </w:pPr>
    </w:p>
    <w:p w14:paraId="4F1F0AA7">
      <w:pPr>
        <w:pStyle w:val="12"/>
        <w:ind w:firstLine="280"/>
        <w:rPr>
          <w:rFonts w:ascii="宋体" w:hAnsi="宋体" w:cs="新宋体"/>
          <w:sz w:val="28"/>
          <w:szCs w:val="28"/>
          <w:highlight w:val="none"/>
        </w:rPr>
      </w:pPr>
    </w:p>
    <w:p w14:paraId="25AAD573">
      <w:pPr>
        <w:pStyle w:val="12"/>
        <w:ind w:firstLine="280"/>
        <w:rPr>
          <w:rFonts w:ascii="宋体" w:hAnsi="宋体" w:cs="新宋体"/>
          <w:sz w:val="28"/>
          <w:szCs w:val="28"/>
          <w:highlight w:val="none"/>
        </w:rPr>
      </w:pPr>
    </w:p>
    <w:p w14:paraId="61F66BED">
      <w:pPr>
        <w:rPr>
          <w:rFonts w:ascii="宋体" w:hAnsi="宋体" w:cs="新宋体"/>
          <w:sz w:val="28"/>
          <w:szCs w:val="28"/>
          <w:highlight w:val="none"/>
        </w:rPr>
      </w:pPr>
    </w:p>
    <w:p w14:paraId="128938F2">
      <w:pPr>
        <w:rPr>
          <w:rFonts w:ascii="宋体" w:hAnsi="宋体" w:cs="新宋体"/>
          <w:sz w:val="28"/>
          <w:szCs w:val="28"/>
          <w:highlight w:val="none"/>
        </w:rPr>
      </w:pPr>
    </w:p>
    <w:p w14:paraId="2EDE3D25">
      <w:pPr>
        <w:spacing w:line="360" w:lineRule="auto"/>
        <w:jc w:val="center"/>
        <w:outlineLvl w:val="2"/>
        <w:rPr>
          <w:rFonts w:ascii="宋体" w:hAnsi="宋体" w:cs="新宋体"/>
          <w:szCs w:val="21"/>
          <w:highlight w:val="none"/>
        </w:rPr>
      </w:pPr>
      <w:bookmarkStart w:id="114" w:name="_Toc15000"/>
      <w:bookmarkStart w:id="115" w:name="_Toc23048"/>
      <w:r>
        <w:rPr>
          <w:rFonts w:hint="eastAsia" w:ascii="宋体" w:hAnsi="宋体" w:cs="新宋体"/>
          <w:sz w:val="52"/>
          <w:szCs w:val="52"/>
          <w:highlight w:val="none"/>
        </w:rPr>
        <w:t>商务技术标</w:t>
      </w:r>
      <w:bookmarkEnd w:id="114"/>
      <w:bookmarkEnd w:id="115"/>
    </w:p>
    <w:p w14:paraId="52028465">
      <w:pPr>
        <w:spacing w:line="360" w:lineRule="auto"/>
        <w:rPr>
          <w:rFonts w:ascii="宋体" w:hAnsi="宋体" w:cs="新宋体"/>
          <w:szCs w:val="21"/>
          <w:highlight w:val="none"/>
        </w:rPr>
      </w:pPr>
    </w:p>
    <w:p w14:paraId="0BDF0A39">
      <w:pPr>
        <w:spacing w:line="360" w:lineRule="auto"/>
        <w:rPr>
          <w:rFonts w:ascii="宋体" w:hAnsi="宋体" w:cs="新宋体"/>
          <w:szCs w:val="21"/>
          <w:highlight w:val="none"/>
        </w:rPr>
      </w:pPr>
    </w:p>
    <w:p w14:paraId="2636AE40">
      <w:pPr>
        <w:pStyle w:val="12"/>
        <w:ind w:firstLine="200"/>
        <w:rPr>
          <w:rFonts w:ascii="宋体" w:hAnsi="宋体"/>
          <w:highlight w:val="none"/>
        </w:rPr>
      </w:pPr>
    </w:p>
    <w:p w14:paraId="36853DD8">
      <w:pPr>
        <w:pStyle w:val="12"/>
        <w:ind w:firstLine="200"/>
        <w:rPr>
          <w:rFonts w:ascii="宋体" w:hAnsi="宋体"/>
          <w:highlight w:val="none"/>
        </w:rPr>
      </w:pPr>
    </w:p>
    <w:p w14:paraId="264864A7">
      <w:pPr>
        <w:pStyle w:val="12"/>
        <w:ind w:firstLine="200"/>
        <w:rPr>
          <w:rFonts w:ascii="宋体" w:hAnsi="宋体"/>
          <w:highlight w:val="none"/>
        </w:rPr>
      </w:pPr>
    </w:p>
    <w:p w14:paraId="71662606">
      <w:pPr>
        <w:spacing w:line="360" w:lineRule="auto"/>
        <w:rPr>
          <w:rFonts w:ascii="宋体" w:hAnsi="宋体" w:cs="新宋体"/>
          <w:szCs w:val="21"/>
          <w:highlight w:val="none"/>
        </w:rPr>
      </w:pPr>
    </w:p>
    <w:p w14:paraId="4F488C11">
      <w:pPr>
        <w:jc w:val="center"/>
        <w:rPr>
          <w:rFonts w:ascii="宋体" w:hAnsi="宋体" w:cs="新宋体"/>
          <w:sz w:val="28"/>
          <w:szCs w:val="28"/>
          <w:highlight w:val="none"/>
        </w:rPr>
      </w:pPr>
      <w:r>
        <w:rPr>
          <w:rFonts w:hint="eastAsia" w:ascii="宋体" w:hAnsi="宋体" w:cs="新宋体"/>
          <w:sz w:val="28"/>
          <w:szCs w:val="28"/>
          <w:highlight w:val="none"/>
        </w:rPr>
        <w:t>投标人：</w:t>
      </w:r>
      <w:r>
        <w:rPr>
          <w:rFonts w:hint="eastAsia" w:ascii="宋体" w:hAnsi="宋体" w:cs="新宋体"/>
          <w:sz w:val="28"/>
          <w:szCs w:val="28"/>
          <w:highlight w:val="none"/>
          <w:u w:val="single"/>
        </w:rPr>
        <w:t xml:space="preserve">                              </w:t>
      </w:r>
      <w:r>
        <w:rPr>
          <w:rFonts w:hint="eastAsia" w:ascii="宋体" w:hAnsi="宋体" w:cs="新宋体"/>
          <w:sz w:val="28"/>
          <w:szCs w:val="28"/>
          <w:highlight w:val="none"/>
        </w:rPr>
        <w:t>（盖单位章）</w:t>
      </w:r>
    </w:p>
    <w:p w14:paraId="079EDBEB">
      <w:pPr>
        <w:rPr>
          <w:rFonts w:ascii="宋体" w:hAnsi="宋体" w:cs="新宋体"/>
          <w:sz w:val="28"/>
          <w:szCs w:val="28"/>
          <w:highlight w:val="none"/>
          <w:u w:val="single"/>
        </w:rPr>
      </w:pPr>
    </w:p>
    <w:p w14:paraId="3F4A0FA5">
      <w:pPr>
        <w:jc w:val="center"/>
        <w:rPr>
          <w:rFonts w:ascii="宋体" w:hAnsi="宋体" w:cs="新宋体"/>
          <w:sz w:val="28"/>
          <w:szCs w:val="28"/>
          <w:highlight w:val="none"/>
        </w:rPr>
      </w:pPr>
      <w:r>
        <w:rPr>
          <w:rFonts w:hint="eastAsia" w:ascii="宋体" w:hAnsi="宋体" w:cs="新宋体"/>
          <w:sz w:val="28"/>
          <w:szCs w:val="28"/>
          <w:highlight w:val="none"/>
        </w:rPr>
        <w:t>法定代表人或授权代表：</w:t>
      </w:r>
      <w:r>
        <w:rPr>
          <w:rFonts w:hint="eastAsia" w:ascii="宋体" w:hAnsi="宋体" w:cs="新宋体"/>
          <w:sz w:val="28"/>
          <w:szCs w:val="28"/>
          <w:highlight w:val="none"/>
          <w:u w:val="single"/>
        </w:rPr>
        <w:t xml:space="preserve">          </w:t>
      </w:r>
      <w:r>
        <w:rPr>
          <w:rFonts w:hint="eastAsia" w:ascii="宋体" w:hAnsi="宋体" w:cs="新宋体"/>
          <w:sz w:val="28"/>
          <w:szCs w:val="28"/>
          <w:highlight w:val="none"/>
        </w:rPr>
        <w:t>（签字或盖章）</w:t>
      </w:r>
    </w:p>
    <w:p w14:paraId="6C922917">
      <w:pPr>
        <w:rPr>
          <w:rFonts w:ascii="宋体" w:hAnsi="宋体" w:cs="新宋体"/>
          <w:sz w:val="28"/>
          <w:szCs w:val="28"/>
          <w:highlight w:val="none"/>
        </w:rPr>
      </w:pPr>
    </w:p>
    <w:p w14:paraId="471E7E50">
      <w:pPr>
        <w:jc w:val="center"/>
        <w:rPr>
          <w:rFonts w:ascii="宋体" w:hAnsi="宋体" w:cs="新宋体"/>
          <w:sz w:val="28"/>
          <w:szCs w:val="28"/>
          <w:highlight w:val="none"/>
        </w:rPr>
      </w:pPr>
      <w:r>
        <w:rPr>
          <w:rFonts w:hint="eastAsia" w:ascii="宋体" w:hAnsi="宋体" w:cs="新宋体"/>
          <w:sz w:val="28"/>
          <w:szCs w:val="28"/>
          <w:highlight w:val="none"/>
          <w:u w:val="single"/>
        </w:rPr>
        <w:t xml:space="preserve">        </w:t>
      </w:r>
      <w:r>
        <w:rPr>
          <w:rFonts w:hint="eastAsia" w:ascii="宋体" w:hAnsi="宋体" w:cs="新宋体"/>
          <w:sz w:val="28"/>
          <w:szCs w:val="28"/>
          <w:highlight w:val="none"/>
        </w:rPr>
        <w:t>年</w:t>
      </w:r>
      <w:r>
        <w:rPr>
          <w:rFonts w:hint="eastAsia" w:ascii="宋体" w:hAnsi="宋体" w:cs="新宋体"/>
          <w:sz w:val="28"/>
          <w:szCs w:val="28"/>
          <w:highlight w:val="none"/>
          <w:u w:val="single"/>
        </w:rPr>
        <w:t xml:space="preserve">        </w:t>
      </w:r>
      <w:r>
        <w:rPr>
          <w:rFonts w:hint="eastAsia" w:ascii="宋体" w:hAnsi="宋体" w:cs="新宋体"/>
          <w:sz w:val="28"/>
          <w:szCs w:val="28"/>
          <w:highlight w:val="none"/>
        </w:rPr>
        <w:t>月</w:t>
      </w:r>
      <w:r>
        <w:rPr>
          <w:rFonts w:hint="eastAsia" w:ascii="宋体" w:hAnsi="宋体" w:cs="新宋体"/>
          <w:sz w:val="28"/>
          <w:szCs w:val="28"/>
          <w:highlight w:val="none"/>
          <w:u w:val="single"/>
        </w:rPr>
        <w:t xml:space="preserve">        </w:t>
      </w:r>
      <w:r>
        <w:rPr>
          <w:rFonts w:hint="eastAsia" w:ascii="宋体" w:hAnsi="宋体" w:cs="新宋体"/>
          <w:sz w:val="28"/>
          <w:szCs w:val="28"/>
          <w:highlight w:val="none"/>
        </w:rPr>
        <w:t>日</w:t>
      </w:r>
    </w:p>
    <w:p w14:paraId="5C2A47F0">
      <w:pPr>
        <w:jc w:val="center"/>
        <w:rPr>
          <w:rFonts w:ascii="宋体" w:hAnsi="宋体" w:cs="宋体"/>
          <w:highlight w:val="none"/>
        </w:rPr>
      </w:pPr>
      <w:r>
        <w:rPr>
          <w:rFonts w:hint="eastAsia" w:ascii="宋体" w:hAnsi="宋体" w:cs="宋体"/>
          <w:highlight w:val="none"/>
        </w:rPr>
        <w:br w:type="page"/>
      </w:r>
      <w:r>
        <w:rPr>
          <w:rFonts w:hint="eastAsia" w:ascii="宋体" w:hAnsi="宋体" w:cs="宋体"/>
          <w:sz w:val="22"/>
          <w:szCs w:val="28"/>
          <w:highlight w:val="none"/>
        </w:rPr>
        <w:t>目录</w:t>
      </w:r>
    </w:p>
    <w:p w14:paraId="1F9B8771">
      <w:pPr>
        <w:spacing w:line="460" w:lineRule="exact"/>
        <w:rPr>
          <w:rFonts w:ascii="宋体" w:hAnsi="宋体" w:cs="新宋体"/>
          <w:sz w:val="22"/>
          <w:szCs w:val="22"/>
          <w:highlight w:val="none"/>
        </w:rPr>
      </w:pPr>
      <w:r>
        <w:rPr>
          <w:rFonts w:ascii="宋体" w:hAnsi="宋体" w:cs="新宋体"/>
          <w:sz w:val="22"/>
          <w:szCs w:val="22"/>
          <w:highlight w:val="none"/>
        </w:rPr>
        <w:t>1</w:t>
      </w:r>
      <w:r>
        <w:rPr>
          <w:rFonts w:hint="eastAsia" w:ascii="宋体" w:hAnsi="宋体" w:cs="新宋体"/>
          <w:sz w:val="22"/>
          <w:szCs w:val="22"/>
          <w:highlight w:val="none"/>
        </w:rPr>
        <w:tab/>
      </w:r>
      <w:r>
        <w:rPr>
          <w:rFonts w:hint="eastAsia" w:ascii="宋体" w:hAnsi="宋体" w:cs="新宋体"/>
          <w:sz w:val="22"/>
          <w:szCs w:val="22"/>
          <w:highlight w:val="none"/>
        </w:rPr>
        <w:t>针对评分细则，编制目录索引，注明评标细则项目所在投标文件页码，格式自拟</w:t>
      </w:r>
    </w:p>
    <w:p w14:paraId="42291961">
      <w:pPr>
        <w:spacing w:line="460" w:lineRule="exact"/>
        <w:rPr>
          <w:rFonts w:ascii="宋体" w:hAnsi="宋体" w:cs="新宋体"/>
          <w:sz w:val="22"/>
          <w:szCs w:val="22"/>
          <w:highlight w:val="none"/>
        </w:rPr>
      </w:pPr>
      <w:r>
        <w:rPr>
          <w:rFonts w:hint="eastAsia" w:ascii="宋体" w:hAnsi="宋体" w:cs="新宋体"/>
          <w:sz w:val="22"/>
          <w:szCs w:val="22"/>
          <w:highlight w:val="none"/>
        </w:rPr>
        <w:t>2</w:t>
      </w:r>
      <w:r>
        <w:rPr>
          <w:rFonts w:hint="eastAsia" w:ascii="宋体" w:hAnsi="宋体" w:cs="新宋体"/>
          <w:sz w:val="22"/>
          <w:szCs w:val="22"/>
          <w:highlight w:val="none"/>
        </w:rPr>
        <w:tab/>
      </w:r>
      <w:r>
        <w:rPr>
          <w:rFonts w:hint="eastAsia" w:ascii="宋体" w:hAnsi="宋体" w:cs="新宋体"/>
          <w:sz w:val="22"/>
          <w:szCs w:val="22"/>
          <w:highlight w:val="none"/>
        </w:rPr>
        <w:t>投标函；</w:t>
      </w:r>
    </w:p>
    <w:p w14:paraId="791EBDE5">
      <w:pPr>
        <w:spacing w:line="460" w:lineRule="exact"/>
        <w:rPr>
          <w:rFonts w:ascii="宋体" w:hAnsi="宋体" w:cs="新宋体"/>
          <w:sz w:val="22"/>
          <w:szCs w:val="22"/>
          <w:highlight w:val="none"/>
        </w:rPr>
      </w:pPr>
      <w:r>
        <w:rPr>
          <w:rFonts w:hint="eastAsia" w:ascii="宋体" w:hAnsi="宋体" w:cs="新宋体"/>
          <w:sz w:val="22"/>
          <w:szCs w:val="22"/>
          <w:highlight w:val="none"/>
        </w:rPr>
        <w:t>3</w:t>
      </w:r>
      <w:r>
        <w:rPr>
          <w:rFonts w:hint="eastAsia" w:ascii="宋体" w:hAnsi="宋体" w:cs="新宋体"/>
          <w:sz w:val="22"/>
          <w:szCs w:val="22"/>
          <w:highlight w:val="none"/>
        </w:rPr>
        <w:tab/>
      </w:r>
      <w:r>
        <w:rPr>
          <w:rFonts w:hint="eastAsia" w:ascii="宋体" w:hAnsi="宋体" w:cs="新宋体"/>
          <w:sz w:val="22"/>
          <w:szCs w:val="22"/>
          <w:highlight w:val="none"/>
        </w:rPr>
        <w:t>技术规格、商务条款偏离表；</w:t>
      </w:r>
    </w:p>
    <w:p w14:paraId="69B66427">
      <w:pPr>
        <w:spacing w:line="460" w:lineRule="exact"/>
        <w:rPr>
          <w:rFonts w:ascii="宋体" w:hAnsi="宋体" w:cs="新宋体"/>
          <w:sz w:val="22"/>
          <w:szCs w:val="22"/>
          <w:highlight w:val="none"/>
        </w:rPr>
      </w:pPr>
      <w:r>
        <w:rPr>
          <w:rFonts w:hint="eastAsia" w:ascii="宋体" w:hAnsi="宋体" w:cs="新宋体"/>
          <w:sz w:val="22"/>
          <w:szCs w:val="22"/>
          <w:highlight w:val="none"/>
        </w:rPr>
        <w:t>4</w:t>
      </w:r>
      <w:r>
        <w:rPr>
          <w:rFonts w:hint="eastAsia" w:ascii="宋体" w:hAnsi="宋体" w:cs="新宋体"/>
          <w:sz w:val="22"/>
          <w:szCs w:val="22"/>
          <w:highlight w:val="none"/>
        </w:rPr>
        <w:tab/>
      </w:r>
      <w:r>
        <w:rPr>
          <w:rFonts w:hint="eastAsia" w:ascii="宋体" w:hAnsi="宋体" w:cs="新宋体"/>
          <w:sz w:val="22"/>
          <w:szCs w:val="22"/>
          <w:highlight w:val="none"/>
        </w:rPr>
        <w:t>投标人基本情况表；</w:t>
      </w:r>
    </w:p>
    <w:p w14:paraId="2C2BAD38">
      <w:pPr>
        <w:spacing w:line="460" w:lineRule="exact"/>
        <w:rPr>
          <w:rFonts w:ascii="宋体" w:hAnsi="宋体" w:cs="新宋体"/>
          <w:sz w:val="22"/>
          <w:szCs w:val="22"/>
          <w:highlight w:val="none"/>
        </w:rPr>
      </w:pPr>
      <w:r>
        <w:rPr>
          <w:rFonts w:hint="eastAsia" w:ascii="宋体" w:hAnsi="宋体" w:cs="新宋体"/>
          <w:sz w:val="22"/>
          <w:szCs w:val="22"/>
          <w:highlight w:val="none"/>
        </w:rPr>
        <w:t>5</w:t>
      </w:r>
      <w:r>
        <w:rPr>
          <w:rFonts w:hint="eastAsia" w:ascii="宋体" w:hAnsi="宋体" w:cs="新宋体"/>
          <w:sz w:val="22"/>
          <w:szCs w:val="22"/>
          <w:highlight w:val="none"/>
        </w:rPr>
        <w:tab/>
      </w:r>
      <w:r>
        <w:rPr>
          <w:rFonts w:hint="eastAsia" w:ascii="宋体" w:hAnsi="宋体" w:cs="新宋体"/>
          <w:sz w:val="22"/>
          <w:szCs w:val="22"/>
          <w:highlight w:val="none"/>
        </w:rPr>
        <w:t>投标人综合实力（格式自拟）；</w:t>
      </w:r>
    </w:p>
    <w:p w14:paraId="40A384C5">
      <w:pPr>
        <w:spacing w:line="460" w:lineRule="exact"/>
        <w:rPr>
          <w:rFonts w:ascii="宋体" w:hAnsi="宋体" w:cs="新宋体"/>
          <w:sz w:val="22"/>
          <w:szCs w:val="22"/>
          <w:highlight w:val="none"/>
        </w:rPr>
      </w:pPr>
      <w:r>
        <w:rPr>
          <w:rFonts w:hint="eastAsia" w:ascii="宋体" w:hAnsi="宋体" w:cs="新宋体"/>
          <w:sz w:val="22"/>
          <w:szCs w:val="22"/>
          <w:highlight w:val="none"/>
        </w:rPr>
        <w:t>6</w:t>
      </w:r>
      <w:r>
        <w:rPr>
          <w:rFonts w:hint="eastAsia" w:ascii="宋体" w:hAnsi="宋体" w:cs="新宋体"/>
          <w:sz w:val="22"/>
          <w:szCs w:val="22"/>
          <w:highlight w:val="none"/>
        </w:rPr>
        <w:tab/>
      </w:r>
      <w:r>
        <w:rPr>
          <w:rFonts w:hint="eastAsia" w:ascii="宋体" w:hAnsi="宋体" w:cs="新宋体"/>
          <w:sz w:val="22"/>
          <w:szCs w:val="22"/>
          <w:highlight w:val="none"/>
        </w:rPr>
        <w:t>技术方案（格式自拟）；</w:t>
      </w:r>
    </w:p>
    <w:p w14:paraId="4F7D993D">
      <w:pPr>
        <w:spacing w:line="460" w:lineRule="exact"/>
        <w:rPr>
          <w:rFonts w:ascii="宋体" w:hAnsi="宋体" w:cs="新宋体"/>
          <w:sz w:val="22"/>
          <w:szCs w:val="22"/>
          <w:highlight w:val="none"/>
        </w:rPr>
      </w:pPr>
      <w:r>
        <w:rPr>
          <w:rFonts w:hint="eastAsia" w:ascii="宋体" w:hAnsi="宋体" w:cs="新宋体"/>
          <w:sz w:val="22"/>
          <w:szCs w:val="22"/>
          <w:highlight w:val="none"/>
        </w:rPr>
        <w:t>7</w:t>
      </w:r>
      <w:r>
        <w:rPr>
          <w:rFonts w:hint="eastAsia" w:ascii="宋体" w:hAnsi="宋体" w:cs="新宋体"/>
          <w:sz w:val="22"/>
          <w:szCs w:val="22"/>
          <w:highlight w:val="none"/>
        </w:rPr>
        <w:tab/>
      </w:r>
      <w:r>
        <w:rPr>
          <w:rFonts w:hint="eastAsia" w:ascii="宋体" w:hAnsi="宋体" w:cs="新宋体"/>
          <w:sz w:val="22"/>
          <w:szCs w:val="22"/>
          <w:highlight w:val="none"/>
        </w:rPr>
        <w:t>施工安全专项方案</w:t>
      </w:r>
      <w:r>
        <w:rPr>
          <w:rFonts w:hint="eastAsia" w:ascii="宋体" w:hAnsi="宋体" w:cs="宋体"/>
          <w:sz w:val="22"/>
          <w:szCs w:val="22"/>
          <w:highlight w:val="none"/>
        </w:rPr>
        <w:t>（格式自拟）；</w:t>
      </w:r>
    </w:p>
    <w:p w14:paraId="7C84AD44">
      <w:pPr>
        <w:spacing w:line="460" w:lineRule="exact"/>
        <w:rPr>
          <w:rFonts w:ascii="宋体" w:hAnsi="宋体" w:cs="新宋体"/>
          <w:sz w:val="22"/>
          <w:szCs w:val="22"/>
          <w:highlight w:val="none"/>
        </w:rPr>
      </w:pPr>
      <w:r>
        <w:rPr>
          <w:rFonts w:hint="eastAsia" w:ascii="宋体" w:hAnsi="宋体" w:cs="新宋体"/>
          <w:sz w:val="22"/>
          <w:szCs w:val="22"/>
          <w:highlight w:val="none"/>
        </w:rPr>
        <w:t>8</w:t>
      </w:r>
      <w:r>
        <w:rPr>
          <w:rFonts w:hint="eastAsia" w:ascii="宋体" w:hAnsi="宋体" w:cs="新宋体"/>
          <w:sz w:val="22"/>
          <w:szCs w:val="22"/>
          <w:highlight w:val="none"/>
        </w:rPr>
        <w:tab/>
      </w:r>
      <w:r>
        <w:rPr>
          <w:rFonts w:hint="eastAsia" w:ascii="宋体" w:hAnsi="宋体" w:cs="新宋体"/>
          <w:sz w:val="22"/>
          <w:szCs w:val="22"/>
          <w:highlight w:val="none"/>
        </w:rPr>
        <w:t>项目负责人业绩（格式自拟）</w:t>
      </w:r>
    </w:p>
    <w:p w14:paraId="7BF03EBA">
      <w:pPr>
        <w:spacing w:line="460" w:lineRule="exact"/>
        <w:rPr>
          <w:rFonts w:ascii="宋体" w:hAnsi="宋体" w:cs="新宋体"/>
          <w:sz w:val="22"/>
          <w:szCs w:val="22"/>
          <w:highlight w:val="none"/>
        </w:rPr>
      </w:pPr>
      <w:r>
        <w:rPr>
          <w:rFonts w:hint="eastAsia" w:ascii="宋体" w:hAnsi="宋体" w:cs="新宋体"/>
          <w:sz w:val="22"/>
          <w:szCs w:val="22"/>
          <w:highlight w:val="none"/>
        </w:rPr>
        <w:t>9</w:t>
      </w:r>
      <w:r>
        <w:rPr>
          <w:rFonts w:hint="eastAsia" w:ascii="宋体" w:hAnsi="宋体" w:cs="新宋体"/>
          <w:sz w:val="22"/>
          <w:szCs w:val="22"/>
          <w:highlight w:val="none"/>
        </w:rPr>
        <w:tab/>
      </w:r>
      <w:r>
        <w:rPr>
          <w:rFonts w:hint="eastAsia" w:ascii="宋体" w:hAnsi="宋体" w:cs="新宋体"/>
          <w:sz w:val="22"/>
          <w:szCs w:val="22"/>
          <w:highlight w:val="none"/>
        </w:rPr>
        <w:t>招标需求中要求提供的其他资料（格式自拟）</w:t>
      </w:r>
    </w:p>
    <w:p w14:paraId="59CFB1C1">
      <w:pPr>
        <w:spacing w:line="460" w:lineRule="exact"/>
        <w:rPr>
          <w:rFonts w:ascii="宋体" w:hAnsi="宋体" w:cs="新宋体"/>
          <w:sz w:val="22"/>
          <w:szCs w:val="22"/>
          <w:highlight w:val="none"/>
        </w:rPr>
      </w:pPr>
      <w:r>
        <w:rPr>
          <w:rFonts w:hint="eastAsia" w:ascii="宋体" w:hAnsi="宋体" w:cs="新宋体"/>
          <w:sz w:val="22"/>
          <w:szCs w:val="22"/>
          <w:highlight w:val="none"/>
        </w:rPr>
        <w:t>10</w:t>
      </w:r>
      <w:r>
        <w:rPr>
          <w:rFonts w:hint="eastAsia" w:ascii="宋体" w:hAnsi="宋体" w:cs="新宋体"/>
          <w:sz w:val="22"/>
          <w:szCs w:val="22"/>
          <w:highlight w:val="none"/>
        </w:rPr>
        <w:tab/>
      </w:r>
      <w:r>
        <w:rPr>
          <w:rFonts w:hint="eastAsia" w:ascii="宋体" w:hAnsi="宋体" w:cs="新宋体"/>
          <w:sz w:val="22"/>
          <w:szCs w:val="22"/>
          <w:highlight w:val="none"/>
        </w:rPr>
        <w:t>关键部件响应</w:t>
      </w:r>
      <w:r>
        <w:rPr>
          <w:rFonts w:hint="eastAsia" w:ascii="宋体" w:hAnsi="宋体" w:cs="宋体"/>
          <w:sz w:val="22"/>
          <w:szCs w:val="22"/>
          <w:highlight w:val="none"/>
        </w:rPr>
        <w:t>（格式自拟）；</w:t>
      </w:r>
    </w:p>
    <w:p w14:paraId="4D3A8222">
      <w:pPr>
        <w:spacing w:line="460" w:lineRule="exact"/>
        <w:rPr>
          <w:rFonts w:ascii="宋体" w:hAnsi="宋体" w:cs="新宋体"/>
          <w:sz w:val="22"/>
          <w:szCs w:val="22"/>
          <w:highlight w:val="none"/>
        </w:rPr>
      </w:pPr>
      <w:r>
        <w:rPr>
          <w:rFonts w:hint="eastAsia" w:ascii="宋体" w:hAnsi="宋体" w:cs="新宋体"/>
          <w:sz w:val="22"/>
          <w:szCs w:val="22"/>
          <w:highlight w:val="none"/>
        </w:rPr>
        <w:t>11</w:t>
      </w:r>
      <w:r>
        <w:rPr>
          <w:rFonts w:hint="eastAsia" w:ascii="宋体" w:hAnsi="宋体" w:cs="新宋体"/>
          <w:sz w:val="22"/>
          <w:szCs w:val="22"/>
          <w:highlight w:val="none"/>
        </w:rPr>
        <w:tab/>
      </w:r>
      <w:r>
        <w:rPr>
          <w:rFonts w:hint="eastAsia" w:ascii="宋体" w:hAnsi="宋体" w:cs="新宋体"/>
          <w:sz w:val="22"/>
          <w:szCs w:val="22"/>
          <w:highlight w:val="none"/>
        </w:rPr>
        <w:t>人员配备（格式自拟）</w:t>
      </w:r>
    </w:p>
    <w:p w14:paraId="0C091EBE">
      <w:pPr>
        <w:spacing w:line="460" w:lineRule="exact"/>
        <w:rPr>
          <w:rFonts w:ascii="宋体" w:hAnsi="宋体" w:cs="新宋体"/>
          <w:sz w:val="22"/>
          <w:szCs w:val="22"/>
          <w:highlight w:val="none"/>
        </w:rPr>
      </w:pPr>
      <w:r>
        <w:rPr>
          <w:rFonts w:hint="eastAsia" w:ascii="宋体" w:hAnsi="宋体" w:cs="新宋体"/>
          <w:sz w:val="22"/>
          <w:szCs w:val="22"/>
          <w:highlight w:val="none"/>
        </w:rPr>
        <w:t>12  质量保证服务计划、售后服务措施及承诺表</w:t>
      </w:r>
    </w:p>
    <w:p w14:paraId="5AB42F7C">
      <w:pPr>
        <w:spacing w:line="460" w:lineRule="exact"/>
        <w:rPr>
          <w:rFonts w:ascii="宋体" w:hAnsi="宋体" w:cs="新宋体"/>
          <w:sz w:val="22"/>
          <w:szCs w:val="22"/>
          <w:highlight w:val="none"/>
        </w:rPr>
      </w:pPr>
      <w:r>
        <w:rPr>
          <w:rFonts w:hint="eastAsia" w:ascii="宋体" w:hAnsi="宋体" w:cs="新宋体"/>
          <w:sz w:val="22"/>
          <w:szCs w:val="22"/>
          <w:highlight w:val="none"/>
        </w:rPr>
        <w:t>13</w:t>
      </w:r>
      <w:r>
        <w:rPr>
          <w:rFonts w:hint="eastAsia" w:ascii="宋体" w:hAnsi="宋体" w:cs="新宋体"/>
          <w:sz w:val="22"/>
          <w:szCs w:val="22"/>
          <w:highlight w:val="none"/>
        </w:rPr>
        <w:tab/>
      </w:r>
      <w:r>
        <w:rPr>
          <w:rFonts w:hint="eastAsia" w:ascii="宋体" w:hAnsi="宋体" w:cs="新宋体"/>
          <w:sz w:val="22"/>
          <w:szCs w:val="22"/>
          <w:highlight w:val="none"/>
        </w:rPr>
        <w:t>投标人需要特别说明的其他文件（格式自拟，加盖公章）</w:t>
      </w:r>
    </w:p>
    <w:p w14:paraId="6B859E0F">
      <w:pPr>
        <w:spacing w:line="360" w:lineRule="auto"/>
        <w:jc w:val="left"/>
        <w:rPr>
          <w:rFonts w:ascii="宋体" w:hAnsi="宋体" w:cs="新宋体"/>
          <w:sz w:val="22"/>
          <w:szCs w:val="22"/>
          <w:highlight w:val="none"/>
        </w:rPr>
      </w:pPr>
      <w:r>
        <w:rPr>
          <w:highlight w:val="none"/>
        </w:rPr>
        <w:br w:type="page"/>
      </w:r>
      <w:r>
        <w:rPr>
          <w:rFonts w:hint="eastAsia" w:ascii="宋体" w:hAnsi="宋体"/>
          <w:color w:val="000000"/>
          <w:sz w:val="28"/>
          <w:szCs w:val="32"/>
          <w:highlight w:val="none"/>
        </w:rPr>
        <w:t>附件十</w:t>
      </w:r>
    </w:p>
    <w:p w14:paraId="148947D7">
      <w:pPr>
        <w:spacing w:line="400" w:lineRule="exact"/>
        <w:jc w:val="center"/>
        <w:outlineLvl w:val="3"/>
        <w:rPr>
          <w:rFonts w:ascii="宋体" w:hAnsi="宋体" w:cs="Courier New"/>
          <w:b/>
          <w:bCs/>
          <w:sz w:val="28"/>
          <w:szCs w:val="28"/>
          <w:highlight w:val="none"/>
        </w:rPr>
      </w:pPr>
      <w:r>
        <w:rPr>
          <w:rFonts w:hint="eastAsia" w:ascii="宋体" w:hAnsi="宋体" w:cs="Courier New"/>
          <w:b/>
          <w:bCs/>
          <w:sz w:val="28"/>
          <w:szCs w:val="28"/>
          <w:highlight w:val="none"/>
        </w:rPr>
        <w:t>投 标 函</w:t>
      </w:r>
    </w:p>
    <w:p w14:paraId="281D6E82">
      <w:pPr>
        <w:spacing w:line="400" w:lineRule="exact"/>
        <w:jc w:val="center"/>
        <w:rPr>
          <w:rFonts w:ascii="宋体" w:hAnsi="宋体" w:cs="Courier New"/>
          <w:b/>
          <w:bCs/>
          <w:sz w:val="30"/>
          <w:szCs w:val="30"/>
          <w:highlight w:val="none"/>
        </w:rPr>
      </w:pPr>
    </w:p>
    <w:p w14:paraId="62D9AF46">
      <w:pPr>
        <w:spacing w:line="440" w:lineRule="exact"/>
        <w:rPr>
          <w:rFonts w:ascii="宋体" w:hAnsi="宋体" w:cs="宋体"/>
          <w:b/>
          <w:sz w:val="22"/>
          <w:szCs w:val="22"/>
          <w:highlight w:val="none"/>
        </w:rPr>
      </w:pPr>
      <w:r>
        <w:rPr>
          <w:rFonts w:hint="eastAsia" w:ascii="宋体" w:hAnsi="宋体" w:cs="宋体"/>
          <w:b/>
          <w:sz w:val="22"/>
          <w:szCs w:val="22"/>
          <w:highlight w:val="none"/>
        </w:rPr>
        <w:t>致：温州港集团有限公司龙湾港务分公司</w:t>
      </w:r>
    </w:p>
    <w:p w14:paraId="7E139C8F">
      <w:pPr>
        <w:spacing w:line="400" w:lineRule="exact"/>
        <w:ind w:firstLine="550" w:firstLineChars="250"/>
        <w:rPr>
          <w:rFonts w:ascii="宋体" w:hAnsi="宋体" w:cs="宋体"/>
          <w:sz w:val="22"/>
          <w:szCs w:val="22"/>
          <w:highlight w:val="none"/>
        </w:rPr>
      </w:pPr>
      <w:r>
        <w:rPr>
          <w:rFonts w:hint="eastAsia" w:ascii="宋体" w:hAnsi="宋体" w:cs="宋体"/>
          <w:sz w:val="22"/>
          <w:szCs w:val="22"/>
          <w:highlight w:val="none"/>
        </w:rPr>
        <w:t>根据贵方为</w:t>
      </w:r>
      <w:r>
        <w:rPr>
          <w:rFonts w:hint="eastAsia" w:ascii="宋体" w:hAnsi="宋体" w:cs="宋体"/>
          <w:sz w:val="22"/>
          <w:szCs w:val="22"/>
          <w:highlight w:val="none"/>
          <w:u w:val="single"/>
        </w:rPr>
        <w:t xml:space="preserve">             </w:t>
      </w:r>
      <w:r>
        <w:rPr>
          <w:rFonts w:hint="eastAsia" w:ascii="宋体" w:hAnsi="宋体" w:cs="宋体"/>
          <w:sz w:val="22"/>
          <w:szCs w:val="22"/>
          <w:highlight w:val="none"/>
        </w:rPr>
        <w:t>项目（项目编号:</w:t>
      </w:r>
      <w:r>
        <w:rPr>
          <w:rFonts w:hint="eastAsia" w:ascii="宋体" w:hAnsi="宋体" w:cs="宋体"/>
          <w:sz w:val="22"/>
          <w:szCs w:val="22"/>
          <w:highlight w:val="none"/>
          <w:u w:val="single"/>
        </w:rPr>
        <w:t xml:space="preserve">    </w:t>
      </w:r>
      <w:r>
        <w:rPr>
          <w:rFonts w:hint="eastAsia" w:ascii="宋体" w:hAnsi="宋体" w:cs="宋体"/>
          <w:sz w:val="22"/>
          <w:szCs w:val="22"/>
          <w:highlight w:val="none"/>
        </w:rPr>
        <w:t>）的投标邀请，我方</w:t>
      </w:r>
      <w:r>
        <w:rPr>
          <w:rFonts w:hint="eastAsia" w:ascii="宋体" w:hAnsi="宋体" w:cs="宋体"/>
          <w:sz w:val="22"/>
          <w:szCs w:val="22"/>
          <w:highlight w:val="none"/>
          <w:u w:val="single"/>
        </w:rPr>
        <w:t xml:space="preserve">        （投标人名称）</w:t>
      </w:r>
      <w:r>
        <w:rPr>
          <w:rFonts w:hint="eastAsia" w:ascii="宋体" w:hAnsi="宋体" w:cs="宋体"/>
          <w:sz w:val="22"/>
          <w:szCs w:val="22"/>
          <w:highlight w:val="none"/>
        </w:rPr>
        <w:t>作为投标人正式授权</w:t>
      </w:r>
      <w:r>
        <w:rPr>
          <w:rFonts w:hint="eastAsia" w:ascii="宋体" w:hAnsi="宋体" w:cs="宋体"/>
          <w:sz w:val="22"/>
          <w:szCs w:val="22"/>
          <w:highlight w:val="none"/>
          <w:u w:val="single"/>
        </w:rPr>
        <w:t xml:space="preserve">           </w:t>
      </w:r>
      <w:r>
        <w:rPr>
          <w:rFonts w:hint="eastAsia" w:ascii="宋体" w:hAnsi="宋体" w:cs="宋体"/>
          <w:sz w:val="22"/>
          <w:szCs w:val="22"/>
          <w:highlight w:val="none"/>
        </w:rPr>
        <w:t>（授权代表全名）代表我方处理有关本投标的一切事宜。</w:t>
      </w:r>
    </w:p>
    <w:p w14:paraId="0CDDEF50">
      <w:pPr>
        <w:snapToGrid w:val="0"/>
        <w:spacing w:line="400" w:lineRule="exact"/>
        <w:ind w:left="-13" w:leftChars="-6" w:firstLine="462" w:firstLineChars="210"/>
        <w:rPr>
          <w:rFonts w:ascii="宋体" w:hAnsi="宋体" w:cs="宋体"/>
          <w:sz w:val="22"/>
          <w:szCs w:val="22"/>
          <w:highlight w:val="none"/>
        </w:rPr>
      </w:pPr>
      <w:r>
        <w:rPr>
          <w:rFonts w:hint="eastAsia" w:ascii="宋体" w:hAnsi="宋体" w:cs="宋体"/>
          <w:sz w:val="22"/>
          <w:szCs w:val="22"/>
          <w:highlight w:val="none"/>
        </w:rPr>
        <w:t>（一）本投标文件的有效期自投标截止日起</w:t>
      </w:r>
      <w:r>
        <w:rPr>
          <w:rFonts w:hint="eastAsia" w:ascii="宋体" w:hAnsi="宋体" w:cs="宋体"/>
          <w:b/>
          <w:sz w:val="22"/>
          <w:szCs w:val="22"/>
          <w:highlight w:val="none"/>
        </w:rPr>
        <w:t xml:space="preserve"> </w:t>
      </w:r>
      <w:r>
        <w:rPr>
          <w:rFonts w:hint="eastAsia" w:ascii="宋体" w:hAnsi="宋体" w:cs="宋体"/>
          <w:b/>
          <w:sz w:val="22"/>
          <w:szCs w:val="22"/>
          <w:highlight w:val="none"/>
          <w:u w:val="single"/>
        </w:rPr>
        <w:t xml:space="preserve"> 90  </w:t>
      </w:r>
      <w:r>
        <w:rPr>
          <w:rFonts w:hint="eastAsia" w:ascii="宋体" w:hAnsi="宋体" w:cs="宋体"/>
          <w:sz w:val="22"/>
          <w:szCs w:val="22"/>
          <w:highlight w:val="none"/>
        </w:rPr>
        <w:t>天内有效，如中标，有效期将延至合同终止日为止；</w:t>
      </w:r>
    </w:p>
    <w:p w14:paraId="6BC82C5C">
      <w:pPr>
        <w:snapToGrid w:val="0"/>
        <w:spacing w:line="400" w:lineRule="exact"/>
        <w:ind w:left="-13" w:leftChars="-6" w:firstLine="462" w:firstLineChars="210"/>
        <w:rPr>
          <w:rFonts w:ascii="宋体" w:hAnsi="宋体" w:cs="宋体"/>
          <w:sz w:val="22"/>
          <w:szCs w:val="22"/>
          <w:highlight w:val="none"/>
        </w:rPr>
      </w:pPr>
      <w:r>
        <w:rPr>
          <w:rFonts w:hint="eastAsia" w:ascii="宋体" w:hAnsi="宋体" w:cs="宋体"/>
          <w:sz w:val="22"/>
          <w:szCs w:val="22"/>
          <w:highlight w:val="none"/>
        </w:rPr>
        <w:t>（二）我方已详细研究了招标文件的所有内容包括修改书（如有）和所有已提供的参考资料以及有关附件，我方完全理解并同意放弃在此方面提出含糊意见或误解的一切权力；</w:t>
      </w:r>
    </w:p>
    <w:p w14:paraId="4F62E620">
      <w:pPr>
        <w:snapToGrid w:val="0"/>
        <w:spacing w:line="400" w:lineRule="exact"/>
        <w:ind w:left="-13" w:leftChars="-6" w:firstLine="462" w:firstLineChars="210"/>
        <w:rPr>
          <w:rFonts w:ascii="宋体" w:hAnsi="宋体" w:cs="宋体"/>
          <w:sz w:val="22"/>
          <w:szCs w:val="22"/>
          <w:highlight w:val="none"/>
        </w:rPr>
      </w:pPr>
      <w:r>
        <w:rPr>
          <w:rFonts w:hint="eastAsia" w:ascii="宋体" w:hAnsi="宋体" w:cs="宋体"/>
          <w:sz w:val="22"/>
          <w:szCs w:val="22"/>
          <w:highlight w:val="none"/>
        </w:rPr>
        <w:t>（三）我方同意提供按照贵方可能要求的与投标有关的一切数据或资料；</w:t>
      </w:r>
    </w:p>
    <w:p w14:paraId="1406F12E">
      <w:pPr>
        <w:snapToGrid w:val="0"/>
        <w:spacing w:line="400" w:lineRule="exact"/>
        <w:ind w:left="-13" w:leftChars="-6" w:firstLine="462" w:firstLineChars="210"/>
        <w:rPr>
          <w:rFonts w:ascii="宋体" w:hAnsi="宋体" w:cs="宋体"/>
          <w:sz w:val="22"/>
          <w:szCs w:val="22"/>
          <w:highlight w:val="none"/>
        </w:rPr>
      </w:pPr>
      <w:r>
        <w:rPr>
          <w:rFonts w:hint="eastAsia" w:ascii="宋体" w:hAnsi="宋体" w:cs="宋体"/>
          <w:sz w:val="22"/>
          <w:szCs w:val="22"/>
          <w:highlight w:val="none"/>
        </w:rPr>
        <w:t>（四）我方理解贵方不一定接受最低报价。</w:t>
      </w:r>
    </w:p>
    <w:p w14:paraId="4DC9FBE0">
      <w:pPr>
        <w:snapToGrid w:val="0"/>
        <w:spacing w:line="400" w:lineRule="exact"/>
        <w:ind w:left="-13" w:leftChars="-6" w:firstLine="462" w:firstLineChars="210"/>
        <w:rPr>
          <w:rFonts w:ascii="宋体" w:hAnsi="宋体" w:cs="宋体"/>
          <w:sz w:val="22"/>
          <w:szCs w:val="22"/>
          <w:highlight w:val="none"/>
        </w:rPr>
      </w:pPr>
      <w:r>
        <w:rPr>
          <w:rFonts w:hint="eastAsia" w:ascii="宋体" w:hAnsi="宋体" w:cs="宋体"/>
          <w:sz w:val="22"/>
          <w:szCs w:val="22"/>
          <w:highlight w:val="none"/>
        </w:rPr>
        <w:t>（五）我方如果中标，将保证履行招标文件以及招标补充文件（如有）中的全部责任和义务，按质、按量、按期完成《合同书》中的全部任务。</w:t>
      </w:r>
    </w:p>
    <w:p w14:paraId="5333DFE4">
      <w:pPr>
        <w:autoSpaceDE w:val="0"/>
        <w:autoSpaceDN w:val="0"/>
        <w:adjustRightInd w:val="0"/>
        <w:snapToGrid w:val="0"/>
        <w:spacing w:line="400" w:lineRule="exact"/>
        <w:ind w:left="-13" w:leftChars="-6" w:firstLine="462" w:firstLineChars="210"/>
        <w:rPr>
          <w:rFonts w:ascii="宋体" w:hAnsi="宋体" w:cs="宋体"/>
          <w:sz w:val="22"/>
          <w:szCs w:val="22"/>
          <w:highlight w:val="none"/>
        </w:rPr>
      </w:pPr>
      <w:r>
        <w:rPr>
          <w:rFonts w:hint="eastAsia" w:ascii="宋体" w:hAnsi="宋体" w:cs="宋体"/>
          <w:sz w:val="22"/>
          <w:szCs w:val="22"/>
          <w:highlight w:val="none"/>
        </w:rPr>
        <w:t>（六）</w:t>
      </w:r>
      <w:r>
        <w:rPr>
          <w:rFonts w:hint="eastAsia" w:ascii="宋体" w:hAnsi="宋体" w:cs="宋体"/>
          <w:sz w:val="22"/>
          <w:szCs w:val="22"/>
          <w:highlight w:val="none"/>
          <w:lang w:val="zh-CN"/>
        </w:rPr>
        <w:t>利益冲突：近三年内直至目前，我公司与本项目的招标人、招标组织机构没有任何的隶属关系。</w:t>
      </w:r>
    </w:p>
    <w:p w14:paraId="77C2FDE7">
      <w:pPr>
        <w:snapToGrid w:val="0"/>
        <w:spacing w:line="400" w:lineRule="exact"/>
        <w:ind w:left="-13" w:leftChars="-6" w:firstLine="462" w:firstLineChars="210"/>
        <w:rPr>
          <w:rFonts w:ascii="宋体" w:hAnsi="宋体" w:cs="宋体"/>
          <w:sz w:val="22"/>
          <w:szCs w:val="22"/>
          <w:highlight w:val="none"/>
        </w:rPr>
      </w:pPr>
      <w:r>
        <w:rPr>
          <w:rFonts w:hint="eastAsia" w:ascii="宋体" w:hAnsi="宋体" w:cs="宋体"/>
          <w:sz w:val="22"/>
          <w:szCs w:val="22"/>
          <w:highlight w:val="none"/>
        </w:rPr>
        <w:t>（七）所有与本投标有关的函件请发往下列地址：</w:t>
      </w:r>
    </w:p>
    <w:p w14:paraId="6670EE59">
      <w:pPr>
        <w:spacing w:line="400" w:lineRule="exact"/>
        <w:ind w:firstLine="435"/>
        <w:rPr>
          <w:rFonts w:ascii="宋体" w:hAnsi="宋体" w:cs="宋体"/>
          <w:sz w:val="22"/>
          <w:szCs w:val="22"/>
          <w:highlight w:val="none"/>
        </w:rPr>
      </w:pPr>
      <w:r>
        <w:rPr>
          <w:rFonts w:hint="eastAsia" w:ascii="宋体" w:hAnsi="宋体" w:cs="宋体"/>
          <w:sz w:val="22"/>
          <w:szCs w:val="22"/>
          <w:highlight w:val="none"/>
        </w:rPr>
        <w:t xml:space="preserve">   地址</w:t>
      </w:r>
      <w:r>
        <w:rPr>
          <w:rFonts w:hint="eastAsia" w:ascii="宋体" w:hAnsi="宋体" w:cs="宋体"/>
          <w:sz w:val="22"/>
          <w:szCs w:val="22"/>
          <w:highlight w:val="none"/>
          <w:u w:val="single"/>
        </w:rPr>
        <w:t xml:space="preserve">                           </w:t>
      </w:r>
    </w:p>
    <w:p w14:paraId="35092FA0">
      <w:pPr>
        <w:spacing w:line="400" w:lineRule="exact"/>
        <w:ind w:firstLine="435"/>
        <w:rPr>
          <w:rFonts w:ascii="宋体" w:hAnsi="宋体" w:cs="宋体"/>
          <w:sz w:val="22"/>
          <w:szCs w:val="22"/>
          <w:highlight w:val="none"/>
        </w:rPr>
      </w:pPr>
      <w:r>
        <w:rPr>
          <w:rFonts w:hint="eastAsia" w:ascii="宋体" w:hAnsi="宋体" w:cs="宋体"/>
          <w:sz w:val="22"/>
          <w:szCs w:val="22"/>
          <w:highlight w:val="none"/>
        </w:rPr>
        <w:t xml:space="preserve">   电话</w:t>
      </w:r>
      <w:r>
        <w:rPr>
          <w:rFonts w:hint="eastAsia" w:ascii="宋体" w:hAnsi="宋体" w:cs="宋体"/>
          <w:sz w:val="22"/>
          <w:szCs w:val="22"/>
          <w:highlight w:val="none"/>
          <w:u w:val="single"/>
        </w:rPr>
        <w:t xml:space="preserve">                           </w:t>
      </w:r>
    </w:p>
    <w:p w14:paraId="38123DCD">
      <w:pPr>
        <w:spacing w:line="400" w:lineRule="exact"/>
        <w:ind w:firstLine="435"/>
        <w:rPr>
          <w:rFonts w:ascii="宋体" w:hAnsi="宋体" w:cs="宋体"/>
          <w:sz w:val="22"/>
          <w:szCs w:val="22"/>
          <w:highlight w:val="none"/>
          <w:u w:val="single"/>
        </w:rPr>
      </w:pPr>
      <w:r>
        <w:rPr>
          <w:rFonts w:hint="eastAsia" w:ascii="宋体" w:hAnsi="宋体" w:cs="宋体"/>
          <w:sz w:val="22"/>
          <w:szCs w:val="22"/>
          <w:highlight w:val="none"/>
        </w:rPr>
        <w:t xml:space="preserve">   传真</w:t>
      </w:r>
      <w:r>
        <w:rPr>
          <w:rFonts w:hint="eastAsia" w:ascii="宋体" w:hAnsi="宋体" w:cs="宋体"/>
          <w:sz w:val="22"/>
          <w:szCs w:val="22"/>
          <w:highlight w:val="none"/>
          <w:u w:val="single"/>
        </w:rPr>
        <w:t xml:space="preserve">                           </w:t>
      </w:r>
    </w:p>
    <w:p w14:paraId="43DA5441">
      <w:pPr>
        <w:spacing w:line="400" w:lineRule="exact"/>
        <w:ind w:firstLine="770" w:firstLineChars="350"/>
        <w:rPr>
          <w:rFonts w:ascii="宋体" w:hAnsi="宋体" w:cs="宋体"/>
          <w:sz w:val="22"/>
          <w:szCs w:val="22"/>
          <w:highlight w:val="none"/>
        </w:rPr>
      </w:pPr>
      <w:r>
        <w:rPr>
          <w:rFonts w:hint="eastAsia" w:ascii="宋体" w:hAnsi="宋体" w:cs="宋体"/>
          <w:sz w:val="22"/>
          <w:szCs w:val="22"/>
          <w:highlight w:val="none"/>
        </w:rPr>
        <w:t>电子邮件</w:t>
      </w:r>
      <w:r>
        <w:rPr>
          <w:rFonts w:hint="eastAsia" w:ascii="宋体" w:hAnsi="宋体" w:cs="宋体"/>
          <w:sz w:val="22"/>
          <w:szCs w:val="22"/>
          <w:highlight w:val="none"/>
          <w:u w:val="single"/>
        </w:rPr>
        <w:t xml:space="preserve">                       </w:t>
      </w:r>
    </w:p>
    <w:p w14:paraId="57209E9B">
      <w:pPr>
        <w:widowControl/>
        <w:adjustRightInd w:val="0"/>
        <w:snapToGrid w:val="0"/>
        <w:spacing w:line="360" w:lineRule="auto"/>
        <w:ind w:firstLine="440" w:firstLineChars="200"/>
        <w:jc w:val="center"/>
        <w:rPr>
          <w:rFonts w:ascii="宋体" w:hAnsi="宋体" w:cs="宋体"/>
          <w:kern w:val="0"/>
          <w:sz w:val="22"/>
          <w:szCs w:val="22"/>
          <w:highlight w:val="none"/>
        </w:rPr>
      </w:pPr>
    </w:p>
    <w:p w14:paraId="633B0C91">
      <w:pPr>
        <w:widowControl/>
        <w:adjustRightInd w:val="0"/>
        <w:snapToGrid w:val="0"/>
        <w:spacing w:line="360" w:lineRule="auto"/>
        <w:ind w:firstLine="440" w:firstLineChars="200"/>
        <w:jc w:val="center"/>
        <w:rPr>
          <w:rFonts w:ascii="宋体" w:hAnsi="宋体" w:cs="宋体"/>
          <w:kern w:val="0"/>
          <w:sz w:val="22"/>
          <w:szCs w:val="22"/>
          <w:highlight w:val="none"/>
        </w:rPr>
      </w:pPr>
      <w:r>
        <w:rPr>
          <w:rFonts w:hint="eastAsia" w:ascii="宋体" w:hAnsi="宋体" w:cs="宋体"/>
          <w:kern w:val="0"/>
          <w:sz w:val="22"/>
          <w:szCs w:val="22"/>
          <w:highlight w:val="none"/>
        </w:rPr>
        <w:t xml:space="preserve">      投标人全称（</w:t>
      </w:r>
      <w:r>
        <w:rPr>
          <w:rFonts w:hint="eastAsia" w:ascii="宋体" w:hAnsi="宋体" w:cs="宋体"/>
          <w:sz w:val="22"/>
          <w:szCs w:val="22"/>
          <w:highlight w:val="none"/>
        </w:rPr>
        <w:t>加盖单位公章</w:t>
      </w:r>
      <w:r>
        <w:rPr>
          <w:rFonts w:hint="eastAsia" w:ascii="宋体" w:hAnsi="宋体" w:cs="宋体"/>
          <w:kern w:val="0"/>
          <w:sz w:val="22"/>
          <w:szCs w:val="22"/>
          <w:highlight w:val="none"/>
        </w:rPr>
        <w:t>）：</w:t>
      </w:r>
    </w:p>
    <w:p w14:paraId="5CE4064E">
      <w:pPr>
        <w:widowControl/>
        <w:adjustRightInd w:val="0"/>
        <w:snapToGrid w:val="0"/>
        <w:spacing w:line="360" w:lineRule="auto"/>
        <w:ind w:firstLine="440" w:firstLineChars="200"/>
        <w:jc w:val="center"/>
        <w:rPr>
          <w:rFonts w:ascii="宋体" w:hAnsi="宋体" w:cs="宋体"/>
          <w:kern w:val="0"/>
          <w:sz w:val="22"/>
          <w:szCs w:val="22"/>
          <w:highlight w:val="none"/>
        </w:rPr>
      </w:pPr>
      <w:r>
        <w:rPr>
          <w:rFonts w:hint="eastAsia" w:ascii="宋体" w:hAnsi="宋体" w:cs="宋体"/>
          <w:kern w:val="0"/>
          <w:sz w:val="22"/>
          <w:szCs w:val="22"/>
          <w:highlight w:val="none"/>
        </w:rPr>
        <w:t xml:space="preserve">               法定代表人或授权代表（签字或盖章）：</w:t>
      </w:r>
    </w:p>
    <w:p w14:paraId="2EFCB67A">
      <w:pPr>
        <w:spacing w:line="440" w:lineRule="exact"/>
        <w:ind w:firstLine="435"/>
        <w:jc w:val="center"/>
        <w:rPr>
          <w:rFonts w:ascii="宋体" w:hAnsi="宋体" w:cs="宋体"/>
          <w:color w:val="000000"/>
          <w:sz w:val="22"/>
          <w:szCs w:val="22"/>
          <w:highlight w:val="none"/>
        </w:rPr>
      </w:pPr>
      <w:r>
        <w:rPr>
          <w:rFonts w:hint="eastAsia" w:ascii="宋体" w:hAnsi="宋体" w:cs="宋体"/>
          <w:kern w:val="0"/>
          <w:sz w:val="22"/>
          <w:szCs w:val="22"/>
          <w:highlight w:val="none"/>
        </w:rPr>
        <w:t xml:space="preserve">        日          期：  年  月  日</w:t>
      </w:r>
    </w:p>
    <w:p w14:paraId="3D896762">
      <w:pPr>
        <w:spacing w:line="360" w:lineRule="auto"/>
        <w:jc w:val="left"/>
        <w:rPr>
          <w:rFonts w:ascii="宋体" w:hAnsi="宋体"/>
          <w:bCs/>
          <w:color w:val="000000"/>
          <w:sz w:val="28"/>
          <w:szCs w:val="28"/>
          <w:highlight w:val="none"/>
        </w:rPr>
      </w:pPr>
      <w:bookmarkStart w:id="116" w:name="_Toc50128412"/>
      <w:r>
        <w:rPr>
          <w:rFonts w:ascii="宋体" w:hAnsi="宋体"/>
          <w:b/>
          <w:color w:val="000000"/>
          <w:sz w:val="28"/>
          <w:szCs w:val="28"/>
          <w:highlight w:val="none"/>
        </w:rPr>
        <w:br w:type="page"/>
      </w:r>
      <w:r>
        <w:rPr>
          <w:rFonts w:hint="eastAsia" w:ascii="宋体" w:hAnsi="宋体"/>
          <w:color w:val="000000"/>
          <w:sz w:val="28"/>
          <w:szCs w:val="32"/>
          <w:highlight w:val="none"/>
        </w:rPr>
        <w:t>附件</w:t>
      </w:r>
      <w:bookmarkEnd w:id="116"/>
      <w:r>
        <w:rPr>
          <w:rFonts w:hint="eastAsia" w:ascii="宋体" w:hAnsi="宋体"/>
          <w:color w:val="000000"/>
          <w:sz w:val="28"/>
          <w:szCs w:val="32"/>
          <w:highlight w:val="none"/>
        </w:rPr>
        <w:t>十一</w:t>
      </w:r>
    </w:p>
    <w:p w14:paraId="27B4B5FF">
      <w:pPr>
        <w:spacing w:line="360" w:lineRule="auto"/>
        <w:jc w:val="center"/>
        <w:outlineLvl w:val="3"/>
        <w:rPr>
          <w:rFonts w:ascii="宋体" w:hAnsi="宋体" w:cs="宋体"/>
          <w:b/>
          <w:bCs/>
          <w:sz w:val="28"/>
          <w:szCs w:val="28"/>
          <w:highlight w:val="none"/>
        </w:rPr>
      </w:pPr>
      <w:r>
        <w:rPr>
          <w:rFonts w:hint="eastAsia" w:ascii="宋体" w:hAnsi="宋体" w:cs="宋体"/>
          <w:b/>
          <w:bCs/>
          <w:sz w:val="28"/>
          <w:szCs w:val="28"/>
          <w:highlight w:val="none"/>
        </w:rPr>
        <w:t>技术规格、商务条款偏离表</w:t>
      </w:r>
    </w:p>
    <w:tbl>
      <w:tblPr>
        <w:tblStyle w:val="30"/>
        <w:tblW w:w="9389" w:type="dxa"/>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
      <w:tblGrid>
        <w:gridCol w:w="939"/>
        <w:gridCol w:w="1358"/>
        <w:gridCol w:w="1867"/>
        <w:gridCol w:w="1800"/>
        <w:gridCol w:w="1863"/>
        <w:gridCol w:w="1562"/>
      </w:tblGrid>
      <w:tr w14:paraId="7C870645">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862" w:hRule="atLeast"/>
          <w:jc w:val="center"/>
        </w:trPr>
        <w:tc>
          <w:tcPr>
            <w:tcW w:w="939" w:type="dxa"/>
          </w:tcPr>
          <w:p w14:paraId="142B4524">
            <w:pPr>
              <w:spacing w:line="380" w:lineRule="exact"/>
              <w:jc w:val="center"/>
              <w:rPr>
                <w:rFonts w:ascii="宋体" w:hAnsi="宋体" w:cs="宋体"/>
                <w:sz w:val="22"/>
                <w:szCs w:val="22"/>
                <w:highlight w:val="none"/>
              </w:rPr>
            </w:pPr>
          </w:p>
        </w:tc>
        <w:tc>
          <w:tcPr>
            <w:tcW w:w="1358" w:type="dxa"/>
            <w:vAlign w:val="center"/>
          </w:tcPr>
          <w:p w14:paraId="54F7BEFF">
            <w:pPr>
              <w:spacing w:line="380" w:lineRule="exact"/>
              <w:jc w:val="center"/>
              <w:rPr>
                <w:rFonts w:ascii="宋体" w:hAnsi="宋体" w:cs="宋体"/>
                <w:sz w:val="22"/>
                <w:szCs w:val="22"/>
                <w:highlight w:val="none"/>
              </w:rPr>
            </w:pPr>
            <w:r>
              <w:rPr>
                <w:rFonts w:hint="eastAsia" w:ascii="宋体" w:hAnsi="宋体" w:cs="宋体"/>
                <w:sz w:val="22"/>
                <w:szCs w:val="22"/>
                <w:highlight w:val="none"/>
              </w:rPr>
              <w:t>序号</w:t>
            </w:r>
          </w:p>
        </w:tc>
        <w:tc>
          <w:tcPr>
            <w:tcW w:w="1867" w:type="dxa"/>
            <w:vAlign w:val="center"/>
          </w:tcPr>
          <w:p w14:paraId="35C29AA9">
            <w:pPr>
              <w:spacing w:line="380" w:lineRule="exact"/>
              <w:jc w:val="center"/>
              <w:rPr>
                <w:rFonts w:ascii="宋体" w:hAnsi="宋体" w:cs="宋体"/>
                <w:sz w:val="22"/>
                <w:szCs w:val="22"/>
                <w:highlight w:val="none"/>
              </w:rPr>
            </w:pPr>
            <w:r>
              <w:rPr>
                <w:rFonts w:hint="eastAsia" w:ascii="宋体" w:hAnsi="宋体" w:cs="宋体"/>
                <w:sz w:val="22"/>
                <w:szCs w:val="22"/>
                <w:highlight w:val="none"/>
              </w:rPr>
              <w:t>招标文件</w:t>
            </w:r>
          </w:p>
          <w:p w14:paraId="2414CE12">
            <w:pPr>
              <w:spacing w:line="380" w:lineRule="exact"/>
              <w:jc w:val="center"/>
              <w:rPr>
                <w:rFonts w:ascii="宋体" w:hAnsi="宋体" w:cs="宋体"/>
                <w:sz w:val="22"/>
                <w:szCs w:val="22"/>
                <w:highlight w:val="none"/>
              </w:rPr>
            </w:pPr>
            <w:r>
              <w:rPr>
                <w:rFonts w:hint="eastAsia" w:ascii="宋体" w:hAnsi="宋体" w:cs="宋体"/>
                <w:sz w:val="22"/>
                <w:szCs w:val="22"/>
                <w:highlight w:val="none"/>
              </w:rPr>
              <w:t>条目号</w:t>
            </w:r>
          </w:p>
        </w:tc>
        <w:tc>
          <w:tcPr>
            <w:tcW w:w="1800" w:type="dxa"/>
            <w:vAlign w:val="center"/>
          </w:tcPr>
          <w:p w14:paraId="0A53F263">
            <w:pPr>
              <w:spacing w:line="380" w:lineRule="exact"/>
              <w:jc w:val="center"/>
              <w:rPr>
                <w:rFonts w:ascii="宋体" w:hAnsi="宋体" w:cs="宋体"/>
                <w:sz w:val="22"/>
                <w:szCs w:val="22"/>
                <w:highlight w:val="none"/>
              </w:rPr>
            </w:pPr>
            <w:r>
              <w:rPr>
                <w:rFonts w:hint="eastAsia" w:ascii="宋体" w:hAnsi="宋体" w:cs="宋体"/>
                <w:sz w:val="22"/>
                <w:szCs w:val="22"/>
                <w:highlight w:val="none"/>
              </w:rPr>
              <w:t>招标文件</w:t>
            </w:r>
          </w:p>
          <w:p w14:paraId="20C97434">
            <w:pPr>
              <w:spacing w:line="380" w:lineRule="exact"/>
              <w:jc w:val="center"/>
              <w:rPr>
                <w:rFonts w:ascii="宋体" w:hAnsi="宋体" w:cs="宋体"/>
                <w:sz w:val="22"/>
                <w:szCs w:val="22"/>
                <w:highlight w:val="none"/>
              </w:rPr>
            </w:pPr>
            <w:r>
              <w:rPr>
                <w:rFonts w:hint="eastAsia" w:ascii="宋体" w:hAnsi="宋体" w:cs="宋体"/>
                <w:sz w:val="22"/>
                <w:szCs w:val="22"/>
                <w:highlight w:val="none"/>
              </w:rPr>
              <w:t>规范要求</w:t>
            </w:r>
          </w:p>
        </w:tc>
        <w:tc>
          <w:tcPr>
            <w:tcW w:w="1863" w:type="dxa"/>
            <w:vAlign w:val="center"/>
          </w:tcPr>
          <w:p w14:paraId="6A08DFFC">
            <w:pPr>
              <w:spacing w:line="380" w:lineRule="exact"/>
              <w:jc w:val="center"/>
              <w:rPr>
                <w:rFonts w:ascii="宋体" w:hAnsi="宋体" w:cs="宋体"/>
                <w:sz w:val="22"/>
                <w:szCs w:val="22"/>
                <w:highlight w:val="none"/>
              </w:rPr>
            </w:pPr>
            <w:r>
              <w:rPr>
                <w:rFonts w:hint="eastAsia" w:ascii="宋体" w:hAnsi="宋体" w:cs="宋体"/>
                <w:sz w:val="22"/>
                <w:szCs w:val="22"/>
                <w:highlight w:val="none"/>
              </w:rPr>
              <w:t>投标文件</w:t>
            </w:r>
          </w:p>
          <w:p w14:paraId="4D898DE4">
            <w:pPr>
              <w:spacing w:line="380" w:lineRule="exact"/>
              <w:jc w:val="center"/>
              <w:rPr>
                <w:rFonts w:ascii="宋体" w:hAnsi="宋体" w:cs="宋体"/>
                <w:sz w:val="22"/>
                <w:szCs w:val="22"/>
                <w:highlight w:val="none"/>
              </w:rPr>
            </w:pPr>
            <w:r>
              <w:rPr>
                <w:rFonts w:hint="eastAsia" w:ascii="宋体" w:hAnsi="宋体" w:cs="宋体"/>
                <w:sz w:val="22"/>
                <w:szCs w:val="22"/>
                <w:highlight w:val="none"/>
              </w:rPr>
              <w:t>对应规范</w:t>
            </w:r>
          </w:p>
        </w:tc>
        <w:tc>
          <w:tcPr>
            <w:tcW w:w="1562" w:type="dxa"/>
            <w:vAlign w:val="center"/>
          </w:tcPr>
          <w:p w14:paraId="324CEA5E">
            <w:pPr>
              <w:spacing w:line="380" w:lineRule="exact"/>
              <w:jc w:val="center"/>
              <w:rPr>
                <w:rFonts w:ascii="宋体" w:hAnsi="宋体" w:cs="宋体"/>
                <w:sz w:val="22"/>
                <w:szCs w:val="22"/>
                <w:highlight w:val="none"/>
              </w:rPr>
            </w:pPr>
            <w:r>
              <w:rPr>
                <w:rFonts w:hint="eastAsia" w:ascii="宋体" w:hAnsi="宋体" w:cs="宋体"/>
                <w:sz w:val="22"/>
                <w:szCs w:val="22"/>
                <w:highlight w:val="none"/>
              </w:rPr>
              <w:t>说明</w:t>
            </w:r>
          </w:p>
        </w:tc>
      </w:tr>
      <w:tr w14:paraId="4CCBB6CC">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846" w:hRule="atLeast"/>
          <w:jc w:val="center"/>
        </w:trPr>
        <w:tc>
          <w:tcPr>
            <w:tcW w:w="939" w:type="dxa"/>
            <w:vMerge w:val="restart"/>
            <w:vAlign w:val="center"/>
          </w:tcPr>
          <w:p w14:paraId="781BDAC9">
            <w:pPr>
              <w:spacing w:line="380" w:lineRule="exact"/>
              <w:jc w:val="center"/>
              <w:rPr>
                <w:rFonts w:ascii="宋体" w:hAnsi="宋体" w:cs="宋体"/>
                <w:sz w:val="22"/>
                <w:szCs w:val="22"/>
                <w:highlight w:val="none"/>
              </w:rPr>
            </w:pPr>
            <w:r>
              <w:rPr>
                <w:rFonts w:hint="eastAsia" w:ascii="宋体" w:hAnsi="宋体" w:cs="宋体"/>
                <w:sz w:val="22"/>
                <w:szCs w:val="22"/>
                <w:highlight w:val="none"/>
              </w:rPr>
              <w:t>技</w:t>
            </w:r>
          </w:p>
          <w:p w14:paraId="0D499EC7">
            <w:pPr>
              <w:spacing w:line="380" w:lineRule="exact"/>
              <w:jc w:val="center"/>
              <w:rPr>
                <w:rFonts w:ascii="宋体" w:hAnsi="宋体" w:cs="宋体"/>
                <w:sz w:val="22"/>
                <w:szCs w:val="22"/>
                <w:highlight w:val="none"/>
              </w:rPr>
            </w:pPr>
            <w:r>
              <w:rPr>
                <w:rFonts w:hint="eastAsia" w:ascii="宋体" w:hAnsi="宋体" w:cs="宋体"/>
                <w:sz w:val="22"/>
                <w:szCs w:val="22"/>
                <w:highlight w:val="none"/>
              </w:rPr>
              <w:t>术</w:t>
            </w:r>
          </w:p>
          <w:p w14:paraId="6846DE98">
            <w:pPr>
              <w:spacing w:line="380" w:lineRule="exact"/>
              <w:jc w:val="center"/>
              <w:rPr>
                <w:rFonts w:ascii="宋体" w:hAnsi="宋体" w:cs="宋体"/>
                <w:sz w:val="22"/>
                <w:szCs w:val="22"/>
                <w:highlight w:val="none"/>
              </w:rPr>
            </w:pPr>
            <w:r>
              <w:rPr>
                <w:rFonts w:hint="eastAsia" w:ascii="宋体" w:hAnsi="宋体" w:cs="宋体"/>
                <w:sz w:val="22"/>
                <w:szCs w:val="22"/>
                <w:highlight w:val="none"/>
              </w:rPr>
              <w:t>规</w:t>
            </w:r>
          </w:p>
          <w:p w14:paraId="5DE9FD00">
            <w:pPr>
              <w:spacing w:line="380" w:lineRule="exact"/>
              <w:jc w:val="center"/>
              <w:rPr>
                <w:rFonts w:ascii="宋体" w:hAnsi="宋体" w:cs="宋体"/>
                <w:sz w:val="22"/>
                <w:szCs w:val="22"/>
                <w:highlight w:val="none"/>
              </w:rPr>
            </w:pPr>
            <w:r>
              <w:rPr>
                <w:rFonts w:hint="eastAsia" w:ascii="宋体" w:hAnsi="宋体" w:cs="宋体"/>
                <w:sz w:val="22"/>
                <w:szCs w:val="22"/>
                <w:highlight w:val="none"/>
              </w:rPr>
              <w:t>格</w:t>
            </w:r>
          </w:p>
        </w:tc>
        <w:tc>
          <w:tcPr>
            <w:tcW w:w="1358" w:type="dxa"/>
            <w:vAlign w:val="center"/>
          </w:tcPr>
          <w:p w14:paraId="48580076">
            <w:pPr>
              <w:spacing w:line="380" w:lineRule="exact"/>
              <w:jc w:val="center"/>
              <w:rPr>
                <w:rFonts w:ascii="宋体" w:hAnsi="宋体" w:cs="宋体"/>
                <w:sz w:val="22"/>
                <w:szCs w:val="22"/>
                <w:highlight w:val="none"/>
              </w:rPr>
            </w:pPr>
          </w:p>
        </w:tc>
        <w:tc>
          <w:tcPr>
            <w:tcW w:w="1867" w:type="dxa"/>
            <w:vAlign w:val="center"/>
          </w:tcPr>
          <w:p w14:paraId="2028DB4E">
            <w:pPr>
              <w:spacing w:line="380" w:lineRule="exact"/>
              <w:jc w:val="center"/>
              <w:rPr>
                <w:rFonts w:ascii="宋体" w:hAnsi="宋体" w:cs="宋体"/>
                <w:sz w:val="22"/>
                <w:szCs w:val="22"/>
                <w:highlight w:val="none"/>
              </w:rPr>
            </w:pPr>
          </w:p>
        </w:tc>
        <w:tc>
          <w:tcPr>
            <w:tcW w:w="1800" w:type="dxa"/>
            <w:vAlign w:val="center"/>
          </w:tcPr>
          <w:p w14:paraId="56EB606C">
            <w:pPr>
              <w:spacing w:line="380" w:lineRule="exact"/>
              <w:jc w:val="center"/>
              <w:rPr>
                <w:rFonts w:ascii="宋体" w:hAnsi="宋体" w:cs="宋体"/>
                <w:sz w:val="22"/>
                <w:szCs w:val="22"/>
                <w:highlight w:val="none"/>
              </w:rPr>
            </w:pPr>
          </w:p>
        </w:tc>
        <w:tc>
          <w:tcPr>
            <w:tcW w:w="1863" w:type="dxa"/>
            <w:vAlign w:val="center"/>
          </w:tcPr>
          <w:p w14:paraId="5B13FB4B">
            <w:pPr>
              <w:spacing w:line="380" w:lineRule="exact"/>
              <w:jc w:val="center"/>
              <w:rPr>
                <w:rFonts w:ascii="宋体" w:hAnsi="宋体" w:cs="宋体"/>
                <w:sz w:val="22"/>
                <w:szCs w:val="22"/>
                <w:highlight w:val="none"/>
              </w:rPr>
            </w:pPr>
          </w:p>
        </w:tc>
        <w:tc>
          <w:tcPr>
            <w:tcW w:w="1562" w:type="dxa"/>
            <w:vAlign w:val="center"/>
          </w:tcPr>
          <w:p w14:paraId="26AD7A11">
            <w:pPr>
              <w:spacing w:line="380" w:lineRule="exact"/>
              <w:jc w:val="center"/>
              <w:rPr>
                <w:rFonts w:ascii="宋体" w:hAnsi="宋体" w:cs="宋体"/>
                <w:sz w:val="22"/>
                <w:szCs w:val="22"/>
                <w:highlight w:val="none"/>
              </w:rPr>
            </w:pPr>
          </w:p>
        </w:tc>
      </w:tr>
      <w:tr w14:paraId="1639A2CD">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877" w:hRule="atLeast"/>
          <w:jc w:val="center"/>
        </w:trPr>
        <w:tc>
          <w:tcPr>
            <w:tcW w:w="939" w:type="dxa"/>
            <w:vMerge w:val="continue"/>
          </w:tcPr>
          <w:p w14:paraId="6487AFF4">
            <w:pPr>
              <w:spacing w:line="380" w:lineRule="exact"/>
              <w:ind w:firstLine="220" w:firstLineChars="100"/>
              <w:rPr>
                <w:rFonts w:ascii="宋体" w:hAnsi="宋体" w:cs="宋体"/>
                <w:sz w:val="22"/>
                <w:szCs w:val="22"/>
                <w:highlight w:val="none"/>
              </w:rPr>
            </w:pPr>
          </w:p>
        </w:tc>
        <w:tc>
          <w:tcPr>
            <w:tcW w:w="1358" w:type="dxa"/>
            <w:vAlign w:val="center"/>
          </w:tcPr>
          <w:p w14:paraId="4BFF3007">
            <w:pPr>
              <w:spacing w:line="380" w:lineRule="exact"/>
              <w:jc w:val="center"/>
              <w:rPr>
                <w:rFonts w:ascii="宋体" w:hAnsi="宋体" w:cs="宋体"/>
                <w:sz w:val="22"/>
                <w:szCs w:val="22"/>
                <w:highlight w:val="none"/>
              </w:rPr>
            </w:pPr>
          </w:p>
        </w:tc>
        <w:tc>
          <w:tcPr>
            <w:tcW w:w="1867" w:type="dxa"/>
            <w:vAlign w:val="center"/>
          </w:tcPr>
          <w:p w14:paraId="021B9E31">
            <w:pPr>
              <w:spacing w:line="380" w:lineRule="exact"/>
              <w:jc w:val="center"/>
              <w:rPr>
                <w:rFonts w:ascii="宋体" w:hAnsi="宋体" w:cs="宋体"/>
                <w:sz w:val="22"/>
                <w:szCs w:val="22"/>
                <w:highlight w:val="none"/>
              </w:rPr>
            </w:pPr>
          </w:p>
        </w:tc>
        <w:tc>
          <w:tcPr>
            <w:tcW w:w="1800" w:type="dxa"/>
            <w:vAlign w:val="center"/>
          </w:tcPr>
          <w:p w14:paraId="7DFFFABF">
            <w:pPr>
              <w:spacing w:line="380" w:lineRule="exact"/>
              <w:jc w:val="center"/>
              <w:rPr>
                <w:rFonts w:ascii="宋体" w:hAnsi="宋体" w:cs="宋体"/>
                <w:sz w:val="22"/>
                <w:szCs w:val="22"/>
                <w:highlight w:val="none"/>
              </w:rPr>
            </w:pPr>
          </w:p>
        </w:tc>
        <w:tc>
          <w:tcPr>
            <w:tcW w:w="1863" w:type="dxa"/>
            <w:vAlign w:val="center"/>
          </w:tcPr>
          <w:p w14:paraId="26C2754F">
            <w:pPr>
              <w:spacing w:line="380" w:lineRule="exact"/>
              <w:jc w:val="center"/>
              <w:rPr>
                <w:rFonts w:ascii="宋体" w:hAnsi="宋体" w:cs="宋体"/>
                <w:sz w:val="22"/>
                <w:szCs w:val="22"/>
                <w:highlight w:val="none"/>
              </w:rPr>
            </w:pPr>
          </w:p>
        </w:tc>
        <w:tc>
          <w:tcPr>
            <w:tcW w:w="1562" w:type="dxa"/>
            <w:vAlign w:val="center"/>
          </w:tcPr>
          <w:p w14:paraId="394B085E">
            <w:pPr>
              <w:spacing w:line="380" w:lineRule="exact"/>
              <w:jc w:val="center"/>
              <w:rPr>
                <w:rFonts w:ascii="宋体" w:hAnsi="宋体" w:cs="宋体"/>
                <w:sz w:val="22"/>
                <w:szCs w:val="22"/>
                <w:highlight w:val="none"/>
              </w:rPr>
            </w:pPr>
          </w:p>
        </w:tc>
      </w:tr>
      <w:tr w14:paraId="7A172859">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PrEx>
        <w:trPr>
          <w:trHeight w:val="877" w:hRule="atLeast"/>
          <w:jc w:val="center"/>
        </w:trPr>
        <w:tc>
          <w:tcPr>
            <w:tcW w:w="939" w:type="dxa"/>
            <w:vMerge w:val="continue"/>
          </w:tcPr>
          <w:p w14:paraId="3B54698B">
            <w:pPr>
              <w:spacing w:line="380" w:lineRule="exact"/>
              <w:jc w:val="center"/>
              <w:rPr>
                <w:rFonts w:ascii="宋体" w:hAnsi="宋体" w:cs="宋体"/>
                <w:sz w:val="22"/>
                <w:szCs w:val="22"/>
                <w:highlight w:val="none"/>
              </w:rPr>
            </w:pPr>
          </w:p>
        </w:tc>
        <w:tc>
          <w:tcPr>
            <w:tcW w:w="1358" w:type="dxa"/>
            <w:vAlign w:val="center"/>
          </w:tcPr>
          <w:p w14:paraId="0C7AB9AF">
            <w:pPr>
              <w:spacing w:line="380" w:lineRule="exact"/>
              <w:jc w:val="center"/>
              <w:rPr>
                <w:rFonts w:ascii="宋体" w:hAnsi="宋体" w:cs="宋体"/>
                <w:sz w:val="22"/>
                <w:szCs w:val="22"/>
                <w:highlight w:val="none"/>
              </w:rPr>
            </w:pPr>
          </w:p>
        </w:tc>
        <w:tc>
          <w:tcPr>
            <w:tcW w:w="1867" w:type="dxa"/>
            <w:vAlign w:val="center"/>
          </w:tcPr>
          <w:p w14:paraId="3383F206">
            <w:pPr>
              <w:spacing w:line="380" w:lineRule="exact"/>
              <w:jc w:val="center"/>
              <w:rPr>
                <w:rFonts w:ascii="宋体" w:hAnsi="宋体" w:cs="宋体"/>
                <w:sz w:val="22"/>
                <w:szCs w:val="22"/>
                <w:highlight w:val="none"/>
              </w:rPr>
            </w:pPr>
          </w:p>
        </w:tc>
        <w:tc>
          <w:tcPr>
            <w:tcW w:w="1800" w:type="dxa"/>
            <w:vAlign w:val="center"/>
          </w:tcPr>
          <w:p w14:paraId="7DF03B1F">
            <w:pPr>
              <w:spacing w:line="380" w:lineRule="exact"/>
              <w:jc w:val="center"/>
              <w:rPr>
                <w:rFonts w:ascii="宋体" w:hAnsi="宋体" w:cs="宋体"/>
                <w:sz w:val="22"/>
                <w:szCs w:val="22"/>
                <w:highlight w:val="none"/>
              </w:rPr>
            </w:pPr>
          </w:p>
        </w:tc>
        <w:tc>
          <w:tcPr>
            <w:tcW w:w="1863" w:type="dxa"/>
            <w:vAlign w:val="center"/>
          </w:tcPr>
          <w:p w14:paraId="37FAF3CB">
            <w:pPr>
              <w:spacing w:line="380" w:lineRule="exact"/>
              <w:jc w:val="center"/>
              <w:rPr>
                <w:rFonts w:ascii="宋体" w:hAnsi="宋体" w:cs="宋体"/>
                <w:sz w:val="22"/>
                <w:szCs w:val="22"/>
                <w:highlight w:val="none"/>
              </w:rPr>
            </w:pPr>
          </w:p>
        </w:tc>
        <w:tc>
          <w:tcPr>
            <w:tcW w:w="1562" w:type="dxa"/>
            <w:vAlign w:val="center"/>
          </w:tcPr>
          <w:p w14:paraId="74C264A7">
            <w:pPr>
              <w:spacing w:line="380" w:lineRule="exact"/>
              <w:jc w:val="center"/>
              <w:rPr>
                <w:rFonts w:ascii="宋体" w:hAnsi="宋体" w:cs="宋体"/>
                <w:sz w:val="22"/>
                <w:szCs w:val="22"/>
                <w:highlight w:val="none"/>
              </w:rPr>
            </w:pPr>
          </w:p>
        </w:tc>
      </w:tr>
      <w:tr w14:paraId="2B157414">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877" w:hRule="atLeast"/>
          <w:jc w:val="center"/>
        </w:trPr>
        <w:tc>
          <w:tcPr>
            <w:tcW w:w="939" w:type="dxa"/>
            <w:vMerge w:val="continue"/>
          </w:tcPr>
          <w:p w14:paraId="75D4DA06">
            <w:pPr>
              <w:spacing w:line="380" w:lineRule="exact"/>
              <w:jc w:val="center"/>
              <w:rPr>
                <w:rFonts w:ascii="宋体" w:hAnsi="宋体" w:cs="宋体"/>
                <w:sz w:val="22"/>
                <w:szCs w:val="22"/>
                <w:highlight w:val="none"/>
              </w:rPr>
            </w:pPr>
          </w:p>
        </w:tc>
        <w:tc>
          <w:tcPr>
            <w:tcW w:w="1358" w:type="dxa"/>
            <w:vAlign w:val="center"/>
          </w:tcPr>
          <w:p w14:paraId="518660BE">
            <w:pPr>
              <w:spacing w:line="380" w:lineRule="exact"/>
              <w:jc w:val="center"/>
              <w:rPr>
                <w:rFonts w:ascii="宋体" w:hAnsi="宋体" w:cs="宋体"/>
                <w:sz w:val="22"/>
                <w:szCs w:val="22"/>
                <w:highlight w:val="none"/>
              </w:rPr>
            </w:pPr>
          </w:p>
        </w:tc>
        <w:tc>
          <w:tcPr>
            <w:tcW w:w="1867" w:type="dxa"/>
            <w:vAlign w:val="center"/>
          </w:tcPr>
          <w:p w14:paraId="539E1EBC">
            <w:pPr>
              <w:spacing w:line="380" w:lineRule="exact"/>
              <w:jc w:val="center"/>
              <w:rPr>
                <w:rFonts w:ascii="宋体" w:hAnsi="宋体" w:cs="宋体"/>
                <w:sz w:val="22"/>
                <w:szCs w:val="22"/>
                <w:highlight w:val="none"/>
              </w:rPr>
            </w:pPr>
          </w:p>
        </w:tc>
        <w:tc>
          <w:tcPr>
            <w:tcW w:w="1800" w:type="dxa"/>
            <w:vAlign w:val="center"/>
          </w:tcPr>
          <w:p w14:paraId="4AA1D791">
            <w:pPr>
              <w:spacing w:line="380" w:lineRule="exact"/>
              <w:jc w:val="center"/>
              <w:rPr>
                <w:rFonts w:ascii="宋体" w:hAnsi="宋体" w:cs="宋体"/>
                <w:sz w:val="22"/>
                <w:szCs w:val="22"/>
                <w:highlight w:val="none"/>
              </w:rPr>
            </w:pPr>
          </w:p>
        </w:tc>
        <w:tc>
          <w:tcPr>
            <w:tcW w:w="1863" w:type="dxa"/>
            <w:vAlign w:val="center"/>
          </w:tcPr>
          <w:p w14:paraId="6F4A84D2">
            <w:pPr>
              <w:spacing w:line="380" w:lineRule="exact"/>
              <w:jc w:val="center"/>
              <w:rPr>
                <w:rFonts w:ascii="宋体" w:hAnsi="宋体" w:cs="宋体"/>
                <w:sz w:val="22"/>
                <w:szCs w:val="22"/>
                <w:highlight w:val="none"/>
              </w:rPr>
            </w:pPr>
          </w:p>
        </w:tc>
        <w:tc>
          <w:tcPr>
            <w:tcW w:w="1562" w:type="dxa"/>
            <w:vAlign w:val="center"/>
          </w:tcPr>
          <w:p w14:paraId="5D8D13AE">
            <w:pPr>
              <w:spacing w:line="380" w:lineRule="exact"/>
              <w:jc w:val="center"/>
              <w:rPr>
                <w:rFonts w:ascii="宋体" w:hAnsi="宋体" w:cs="宋体"/>
                <w:sz w:val="22"/>
                <w:szCs w:val="22"/>
                <w:highlight w:val="none"/>
              </w:rPr>
            </w:pPr>
          </w:p>
        </w:tc>
      </w:tr>
      <w:tr w14:paraId="685B6FD1">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877" w:hRule="atLeast"/>
          <w:jc w:val="center"/>
        </w:trPr>
        <w:tc>
          <w:tcPr>
            <w:tcW w:w="939" w:type="dxa"/>
            <w:vMerge w:val="continue"/>
          </w:tcPr>
          <w:p w14:paraId="78EC8C74">
            <w:pPr>
              <w:spacing w:line="380" w:lineRule="exact"/>
              <w:jc w:val="center"/>
              <w:rPr>
                <w:rFonts w:ascii="宋体" w:hAnsi="宋体" w:cs="宋体"/>
                <w:sz w:val="22"/>
                <w:szCs w:val="22"/>
                <w:highlight w:val="none"/>
              </w:rPr>
            </w:pPr>
          </w:p>
        </w:tc>
        <w:tc>
          <w:tcPr>
            <w:tcW w:w="1358" w:type="dxa"/>
            <w:vAlign w:val="center"/>
          </w:tcPr>
          <w:p w14:paraId="5B12039F">
            <w:pPr>
              <w:spacing w:line="380" w:lineRule="exact"/>
              <w:jc w:val="center"/>
              <w:rPr>
                <w:rFonts w:ascii="宋体" w:hAnsi="宋体" w:cs="宋体"/>
                <w:sz w:val="22"/>
                <w:szCs w:val="22"/>
                <w:highlight w:val="none"/>
              </w:rPr>
            </w:pPr>
          </w:p>
        </w:tc>
        <w:tc>
          <w:tcPr>
            <w:tcW w:w="1867" w:type="dxa"/>
            <w:vAlign w:val="center"/>
          </w:tcPr>
          <w:p w14:paraId="61B0BB2A">
            <w:pPr>
              <w:spacing w:line="380" w:lineRule="exact"/>
              <w:jc w:val="center"/>
              <w:rPr>
                <w:rFonts w:ascii="宋体" w:hAnsi="宋体" w:cs="宋体"/>
                <w:sz w:val="22"/>
                <w:szCs w:val="22"/>
                <w:highlight w:val="none"/>
              </w:rPr>
            </w:pPr>
          </w:p>
        </w:tc>
        <w:tc>
          <w:tcPr>
            <w:tcW w:w="1800" w:type="dxa"/>
            <w:vAlign w:val="center"/>
          </w:tcPr>
          <w:p w14:paraId="55CD95D6">
            <w:pPr>
              <w:spacing w:line="380" w:lineRule="exact"/>
              <w:jc w:val="center"/>
              <w:rPr>
                <w:rFonts w:ascii="宋体" w:hAnsi="宋体" w:cs="宋体"/>
                <w:sz w:val="22"/>
                <w:szCs w:val="22"/>
                <w:highlight w:val="none"/>
              </w:rPr>
            </w:pPr>
          </w:p>
        </w:tc>
        <w:tc>
          <w:tcPr>
            <w:tcW w:w="1863" w:type="dxa"/>
            <w:vAlign w:val="center"/>
          </w:tcPr>
          <w:p w14:paraId="0346D626">
            <w:pPr>
              <w:spacing w:line="380" w:lineRule="exact"/>
              <w:jc w:val="center"/>
              <w:rPr>
                <w:rFonts w:ascii="宋体" w:hAnsi="宋体" w:cs="宋体"/>
                <w:sz w:val="22"/>
                <w:szCs w:val="22"/>
                <w:highlight w:val="none"/>
              </w:rPr>
            </w:pPr>
          </w:p>
        </w:tc>
        <w:tc>
          <w:tcPr>
            <w:tcW w:w="1562" w:type="dxa"/>
            <w:vAlign w:val="center"/>
          </w:tcPr>
          <w:p w14:paraId="0A4E5EAA">
            <w:pPr>
              <w:spacing w:line="380" w:lineRule="exact"/>
              <w:jc w:val="center"/>
              <w:rPr>
                <w:rFonts w:ascii="宋体" w:hAnsi="宋体" w:cs="宋体"/>
                <w:sz w:val="22"/>
                <w:szCs w:val="22"/>
                <w:highlight w:val="none"/>
              </w:rPr>
            </w:pPr>
          </w:p>
        </w:tc>
      </w:tr>
      <w:tr w14:paraId="7AB80307">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14" w:hRule="atLeast"/>
          <w:jc w:val="center"/>
        </w:trPr>
        <w:tc>
          <w:tcPr>
            <w:tcW w:w="939" w:type="dxa"/>
            <w:vMerge w:val="restart"/>
            <w:vAlign w:val="center"/>
          </w:tcPr>
          <w:p w14:paraId="2E862256">
            <w:pPr>
              <w:spacing w:line="380" w:lineRule="exact"/>
              <w:jc w:val="center"/>
              <w:rPr>
                <w:rFonts w:ascii="宋体" w:hAnsi="宋体" w:cs="宋体"/>
                <w:sz w:val="22"/>
                <w:szCs w:val="22"/>
                <w:highlight w:val="none"/>
              </w:rPr>
            </w:pPr>
            <w:r>
              <w:rPr>
                <w:rFonts w:hint="eastAsia" w:ascii="宋体" w:hAnsi="宋体" w:cs="宋体"/>
                <w:sz w:val="22"/>
                <w:szCs w:val="22"/>
                <w:highlight w:val="none"/>
              </w:rPr>
              <w:t>商</w:t>
            </w:r>
          </w:p>
          <w:p w14:paraId="10A08F6C">
            <w:pPr>
              <w:spacing w:line="380" w:lineRule="exact"/>
              <w:jc w:val="center"/>
              <w:rPr>
                <w:rFonts w:ascii="宋体" w:hAnsi="宋体" w:cs="宋体"/>
                <w:sz w:val="22"/>
                <w:szCs w:val="22"/>
                <w:highlight w:val="none"/>
              </w:rPr>
            </w:pPr>
            <w:r>
              <w:rPr>
                <w:rFonts w:hint="eastAsia" w:ascii="宋体" w:hAnsi="宋体" w:cs="宋体"/>
                <w:sz w:val="22"/>
                <w:szCs w:val="22"/>
                <w:highlight w:val="none"/>
              </w:rPr>
              <w:t>务</w:t>
            </w:r>
          </w:p>
          <w:p w14:paraId="63E7B3AC">
            <w:pPr>
              <w:spacing w:line="380" w:lineRule="exact"/>
              <w:jc w:val="center"/>
              <w:rPr>
                <w:rFonts w:ascii="宋体" w:hAnsi="宋体" w:cs="宋体"/>
                <w:sz w:val="22"/>
                <w:szCs w:val="22"/>
                <w:highlight w:val="none"/>
              </w:rPr>
            </w:pPr>
            <w:r>
              <w:rPr>
                <w:rFonts w:hint="eastAsia" w:ascii="宋体" w:hAnsi="宋体" w:cs="宋体"/>
                <w:sz w:val="22"/>
                <w:szCs w:val="22"/>
                <w:highlight w:val="none"/>
              </w:rPr>
              <w:t>条</w:t>
            </w:r>
          </w:p>
          <w:p w14:paraId="61BB0395">
            <w:pPr>
              <w:spacing w:line="380" w:lineRule="exact"/>
              <w:jc w:val="center"/>
              <w:rPr>
                <w:rFonts w:ascii="宋体" w:hAnsi="宋体" w:cs="宋体"/>
                <w:sz w:val="22"/>
                <w:szCs w:val="22"/>
                <w:highlight w:val="none"/>
              </w:rPr>
            </w:pPr>
            <w:r>
              <w:rPr>
                <w:rFonts w:hint="eastAsia" w:ascii="宋体" w:hAnsi="宋体" w:cs="宋体"/>
                <w:sz w:val="22"/>
                <w:szCs w:val="22"/>
                <w:highlight w:val="none"/>
              </w:rPr>
              <w:t>款</w:t>
            </w:r>
          </w:p>
        </w:tc>
        <w:tc>
          <w:tcPr>
            <w:tcW w:w="1358" w:type="dxa"/>
            <w:vAlign w:val="center"/>
          </w:tcPr>
          <w:p w14:paraId="0ED57386">
            <w:pPr>
              <w:spacing w:line="380" w:lineRule="exact"/>
              <w:jc w:val="center"/>
              <w:rPr>
                <w:rFonts w:ascii="宋体" w:hAnsi="宋体" w:cs="宋体"/>
                <w:sz w:val="22"/>
                <w:szCs w:val="22"/>
                <w:highlight w:val="none"/>
              </w:rPr>
            </w:pPr>
          </w:p>
        </w:tc>
        <w:tc>
          <w:tcPr>
            <w:tcW w:w="1867" w:type="dxa"/>
            <w:vAlign w:val="center"/>
          </w:tcPr>
          <w:p w14:paraId="049E441B">
            <w:pPr>
              <w:spacing w:line="380" w:lineRule="exact"/>
              <w:jc w:val="center"/>
              <w:rPr>
                <w:rFonts w:ascii="宋体" w:hAnsi="宋体" w:cs="宋体"/>
                <w:sz w:val="22"/>
                <w:szCs w:val="22"/>
                <w:highlight w:val="none"/>
              </w:rPr>
            </w:pPr>
          </w:p>
        </w:tc>
        <w:tc>
          <w:tcPr>
            <w:tcW w:w="1800" w:type="dxa"/>
            <w:vAlign w:val="center"/>
          </w:tcPr>
          <w:p w14:paraId="519E012E">
            <w:pPr>
              <w:spacing w:line="380" w:lineRule="exact"/>
              <w:jc w:val="center"/>
              <w:rPr>
                <w:rFonts w:ascii="宋体" w:hAnsi="宋体" w:cs="宋体"/>
                <w:sz w:val="22"/>
                <w:szCs w:val="22"/>
                <w:highlight w:val="none"/>
              </w:rPr>
            </w:pPr>
          </w:p>
        </w:tc>
        <w:tc>
          <w:tcPr>
            <w:tcW w:w="1863" w:type="dxa"/>
            <w:vAlign w:val="center"/>
          </w:tcPr>
          <w:p w14:paraId="7977A587">
            <w:pPr>
              <w:spacing w:line="380" w:lineRule="exact"/>
              <w:jc w:val="center"/>
              <w:rPr>
                <w:rFonts w:ascii="宋体" w:hAnsi="宋体" w:cs="宋体"/>
                <w:sz w:val="22"/>
                <w:szCs w:val="22"/>
                <w:highlight w:val="none"/>
              </w:rPr>
            </w:pPr>
          </w:p>
        </w:tc>
        <w:tc>
          <w:tcPr>
            <w:tcW w:w="1562" w:type="dxa"/>
            <w:vAlign w:val="center"/>
          </w:tcPr>
          <w:p w14:paraId="1AC584BB">
            <w:pPr>
              <w:spacing w:line="380" w:lineRule="exact"/>
              <w:jc w:val="center"/>
              <w:rPr>
                <w:rFonts w:ascii="宋体" w:hAnsi="宋体" w:cs="宋体"/>
                <w:sz w:val="22"/>
                <w:szCs w:val="22"/>
                <w:highlight w:val="none"/>
              </w:rPr>
            </w:pPr>
          </w:p>
        </w:tc>
      </w:tr>
      <w:tr w14:paraId="2C6339D0">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877" w:hRule="atLeast"/>
          <w:jc w:val="center"/>
        </w:trPr>
        <w:tc>
          <w:tcPr>
            <w:tcW w:w="939" w:type="dxa"/>
            <w:vMerge w:val="continue"/>
          </w:tcPr>
          <w:p w14:paraId="578D9A3E">
            <w:pPr>
              <w:spacing w:line="380" w:lineRule="exact"/>
              <w:jc w:val="center"/>
              <w:rPr>
                <w:rFonts w:ascii="宋体" w:hAnsi="宋体" w:cs="宋体"/>
                <w:sz w:val="22"/>
                <w:szCs w:val="22"/>
                <w:highlight w:val="none"/>
              </w:rPr>
            </w:pPr>
          </w:p>
        </w:tc>
        <w:tc>
          <w:tcPr>
            <w:tcW w:w="1358" w:type="dxa"/>
            <w:vAlign w:val="center"/>
          </w:tcPr>
          <w:p w14:paraId="2B62FCB4">
            <w:pPr>
              <w:spacing w:line="380" w:lineRule="exact"/>
              <w:jc w:val="center"/>
              <w:rPr>
                <w:rFonts w:ascii="宋体" w:hAnsi="宋体" w:cs="宋体"/>
                <w:sz w:val="22"/>
                <w:szCs w:val="22"/>
                <w:highlight w:val="none"/>
              </w:rPr>
            </w:pPr>
          </w:p>
        </w:tc>
        <w:tc>
          <w:tcPr>
            <w:tcW w:w="1867" w:type="dxa"/>
            <w:vAlign w:val="center"/>
          </w:tcPr>
          <w:p w14:paraId="4210A9B5">
            <w:pPr>
              <w:spacing w:line="380" w:lineRule="exact"/>
              <w:jc w:val="center"/>
              <w:rPr>
                <w:rFonts w:ascii="宋体" w:hAnsi="宋体" w:cs="宋体"/>
                <w:sz w:val="22"/>
                <w:szCs w:val="22"/>
                <w:highlight w:val="none"/>
              </w:rPr>
            </w:pPr>
          </w:p>
        </w:tc>
        <w:tc>
          <w:tcPr>
            <w:tcW w:w="1800" w:type="dxa"/>
            <w:vAlign w:val="center"/>
          </w:tcPr>
          <w:p w14:paraId="3B4DC990">
            <w:pPr>
              <w:spacing w:line="380" w:lineRule="exact"/>
              <w:jc w:val="center"/>
              <w:rPr>
                <w:rFonts w:ascii="宋体" w:hAnsi="宋体" w:cs="宋体"/>
                <w:sz w:val="22"/>
                <w:szCs w:val="22"/>
                <w:highlight w:val="none"/>
              </w:rPr>
            </w:pPr>
          </w:p>
        </w:tc>
        <w:tc>
          <w:tcPr>
            <w:tcW w:w="1863" w:type="dxa"/>
            <w:vAlign w:val="center"/>
          </w:tcPr>
          <w:p w14:paraId="7439A773">
            <w:pPr>
              <w:spacing w:line="380" w:lineRule="exact"/>
              <w:jc w:val="center"/>
              <w:rPr>
                <w:rFonts w:ascii="宋体" w:hAnsi="宋体" w:cs="宋体"/>
                <w:sz w:val="22"/>
                <w:szCs w:val="22"/>
                <w:highlight w:val="none"/>
              </w:rPr>
            </w:pPr>
          </w:p>
        </w:tc>
        <w:tc>
          <w:tcPr>
            <w:tcW w:w="1562" w:type="dxa"/>
            <w:vAlign w:val="center"/>
          </w:tcPr>
          <w:p w14:paraId="04FFDB85">
            <w:pPr>
              <w:spacing w:line="380" w:lineRule="exact"/>
              <w:jc w:val="center"/>
              <w:rPr>
                <w:rFonts w:ascii="宋体" w:hAnsi="宋体" w:cs="宋体"/>
                <w:sz w:val="22"/>
                <w:szCs w:val="22"/>
                <w:highlight w:val="none"/>
              </w:rPr>
            </w:pPr>
          </w:p>
        </w:tc>
      </w:tr>
      <w:tr w14:paraId="602AD6DF">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877" w:hRule="atLeast"/>
          <w:jc w:val="center"/>
        </w:trPr>
        <w:tc>
          <w:tcPr>
            <w:tcW w:w="939" w:type="dxa"/>
            <w:vMerge w:val="continue"/>
          </w:tcPr>
          <w:p w14:paraId="7F8C0D46">
            <w:pPr>
              <w:spacing w:line="380" w:lineRule="exact"/>
              <w:jc w:val="center"/>
              <w:rPr>
                <w:rFonts w:ascii="宋体" w:hAnsi="宋体" w:cs="宋体"/>
                <w:sz w:val="22"/>
                <w:szCs w:val="22"/>
                <w:highlight w:val="none"/>
              </w:rPr>
            </w:pPr>
          </w:p>
        </w:tc>
        <w:tc>
          <w:tcPr>
            <w:tcW w:w="1358" w:type="dxa"/>
            <w:vAlign w:val="center"/>
          </w:tcPr>
          <w:p w14:paraId="424D1B43">
            <w:pPr>
              <w:spacing w:line="380" w:lineRule="exact"/>
              <w:jc w:val="center"/>
              <w:rPr>
                <w:rFonts w:ascii="宋体" w:hAnsi="宋体" w:cs="宋体"/>
                <w:sz w:val="22"/>
                <w:szCs w:val="22"/>
                <w:highlight w:val="none"/>
              </w:rPr>
            </w:pPr>
          </w:p>
        </w:tc>
        <w:tc>
          <w:tcPr>
            <w:tcW w:w="1867" w:type="dxa"/>
            <w:vAlign w:val="center"/>
          </w:tcPr>
          <w:p w14:paraId="2555DBCB">
            <w:pPr>
              <w:spacing w:line="380" w:lineRule="exact"/>
              <w:jc w:val="center"/>
              <w:rPr>
                <w:rFonts w:ascii="宋体" w:hAnsi="宋体" w:cs="宋体"/>
                <w:sz w:val="22"/>
                <w:szCs w:val="22"/>
                <w:highlight w:val="none"/>
              </w:rPr>
            </w:pPr>
          </w:p>
        </w:tc>
        <w:tc>
          <w:tcPr>
            <w:tcW w:w="1800" w:type="dxa"/>
            <w:vAlign w:val="center"/>
          </w:tcPr>
          <w:p w14:paraId="57AF5EFD">
            <w:pPr>
              <w:spacing w:line="380" w:lineRule="exact"/>
              <w:jc w:val="center"/>
              <w:rPr>
                <w:rFonts w:ascii="宋体" w:hAnsi="宋体" w:cs="宋体"/>
                <w:sz w:val="22"/>
                <w:szCs w:val="22"/>
                <w:highlight w:val="none"/>
              </w:rPr>
            </w:pPr>
          </w:p>
        </w:tc>
        <w:tc>
          <w:tcPr>
            <w:tcW w:w="1863" w:type="dxa"/>
            <w:vAlign w:val="center"/>
          </w:tcPr>
          <w:p w14:paraId="45F55D5D">
            <w:pPr>
              <w:spacing w:line="380" w:lineRule="exact"/>
              <w:jc w:val="center"/>
              <w:rPr>
                <w:rFonts w:ascii="宋体" w:hAnsi="宋体" w:cs="宋体"/>
                <w:sz w:val="22"/>
                <w:szCs w:val="22"/>
                <w:highlight w:val="none"/>
              </w:rPr>
            </w:pPr>
          </w:p>
        </w:tc>
        <w:tc>
          <w:tcPr>
            <w:tcW w:w="1562" w:type="dxa"/>
            <w:vAlign w:val="center"/>
          </w:tcPr>
          <w:p w14:paraId="476478D4">
            <w:pPr>
              <w:spacing w:line="380" w:lineRule="exact"/>
              <w:jc w:val="center"/>
              <w:rPr>
                <w:rFonts w:ascii="宋体" w:hAnsi="宋体" w:cs="宋体"/>
                <w:sz w:val="22"/>
                <w:szCs w:val="22"/>
                <w:highlight w:val="none"/>
              </w:rPr>
            </w:pPr>
          </w:p>
        </w:tc>
      </w:tr>
      <w:tr w14:paraId="0BFFF093">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877" w:hRule="atLeast"/>
          <w:jc w:val="center"/>
        </w:trPr>
        <w:tc>
          <w:tcPr>
            <w:tcW w:w="939" w:type="dxa"/>
            <w:vMerge w:val="continue"/>
          </w:tcPr>
          <w:p w14:paraId="2298A342">
            <w:pPr>
              <w:spacing w:line="380" w:lineRule="exact"/>
              <w:jc w:val="center"/>
              <w:rPr>
                <w:rFonts w:ascii="宋体" w:hAnsi="宋体" w:cs="宋体"/>
                <w:sz w:val="22"/>
                <w:szCs w:val="22"/>
                <w:highlight w:val="none"/>
              </w:rPr>
            </w:pPr>
          </w:p>
        </w:tc>
        <w:tc>
          <w:tcPr>
            <w:tcW w:w="1358" w:type="dxa"/>
            <w:vAlign w:val="center"/>
          </w:tcPr>
          <w:p w14:paraId="7D7E439D">
            <w:pPr>
              <w:spacing w:line="380" w:lineRule="exact"/>
              <w:jc w:val="center"/>
              <w:rPr>
                <w:rFonts w:ascii="宋体" w:hAnsi="宋体" w:cs="宋体"/>
                <w:sz w:val="22"/>
                <w:szCs w:val="22"/>
                <w:highlight w:val="none"/>
              </w:rPr>
            </w:pPr>
          </w:p>
        </w:tc>
        <w:tc>
          <w:tcPr>
            <w:tcW w:w="1867" w:type="dxa"/>
            <w:vAlign w:val="center"/>
          </w:tcPr>
          <w:p w14:paraId="0E7FAB98">
            <w:pPr>
              <w:spacing w:line="380" w:lineRule="exact"/>
              <w:jc w:val="center"/>
              <w:rPr>
                <w:rFonts w:ascii="宋体" w:hAnsi="宋体" w:cs="宋体"/>
                <w:sz w:val="22"/>
                <w:szCs w:val="22"/>
                <w:highlight w:val="none"/>
              </w:rPr>
            </w:pPr>
          </w:p>
        </w:tc>
        <w:tc>
          <w:tcPr>
            <w:tcW w:w="1800" w:type="dxa"/>
            <w:vAlign w:val="center"/>
          </w:tcPr>
          <w:p w14:paraId="5F2146F5">
            <w:pPr>
              <w:spacing w:line="380" w:lineRule="exact"/>
              <w:jc w:val="center"/>
              <w:rPr>
                <w:rFonts w:ascii="宋体" w:hAnsi="宋体" w:cs="宋体"/>
                <w:sz w:val="22"/>
                <w:szCs w:val="22"/>
                <w:highlight w:val="none"/>
              </w:rPr>
            </w:pPr>
          </w:p>
        </w:tc>
        <w:tc>
          <w:tcPr>
            <w:tcW w:w="1863" w:type="dxa"/>
            <w:vAlign w:val="center"/>
          </w:tcPr>
          <w:p w14:paraId="38203201">
            <w:pPr>
              <w:spacing w:line="380" w:lineRule="exact"/>
              <w:jc w:val="center"/>
              <w:rPr>
                <w:rFonts w:ascii="宋体" w:hAnsi="宋体" w:cs="宋体"/>
                <w:sz w:val="22"/>
                <w:szCs w:val="22"/>
                <w:highlight w:val="none"/>
              </w:rPr>
            </w:pPr>
          </w:p>
        </w:tc>
        <w:tc>
          <w:tcPr>
            <w:tcW w:w="1562" w:type="dxa"/>
            <w:vAlign w:val="center"/>
          </w:tcPr>
          <w:p w14:paraId="7C67BCA0">
            <w:pPr>
              <w:spacing w:line="380" w:lineRule="exact"/>
              <w:jc w:val="center"/>
              <w:rPr>
                <w:rFonts w:ascii="宋体" w:hAnsi="宋体" w:cs="宋体"/>
                <w:sz w:val="22"/>
                <w:szCs w:val="22"/>
                <w:highlight w:val="none"/>
              </w:rPr>
            </w:pPr>
          </w:p>
        </w:tc>
      </w:tr>
      <w:tr w14:paraId="509495D4">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877" w:hRule="atLeast"/>
          <w:jc w:val="center"/>
        </w:trPr>
        <w:tc>
          <w:tcPr>
            <w:tcW w:w="939" w:type="dxa"/>
            <w:vMerge w:val="continue"/>
          </w:tcPr>
          <w:p w14:paraId="1B686E48">
            <w:pPr>
              <w:spacing w:line="380" w:lineRule="exact"/>
              <w:jc w:val="center"/>
              <w:rPr>
                <w:rFonts w:ascii="宋体" w:hAnsi="宋体" w:cs="宋体"/>
                <w:sz w:val="22"/>
                <w:szCs w:val="22"/>
                <w:highlight w:val="none"/>
              </w:rPr>
            </w:pPr>
          </w:p>
        </w:tc>
        <w:tc>
          <w:tcPr>
            <w:tcW w:w="1358" w:type="dxa"/>
            <w:vAlign w:val="center"/>
          </w:tcPr>
          <w:p w14:paraId="68707FD9">
            <w:pPr>
              <w:spacing w:line="380" w:lineRule="exact"/>
              <w:jc w:val="center"/>
              <w:rPr>
                <w:rFonts w:ascii="宋体" w:hAnsi="宋体" w:cs="宋体"/>
                <w:sz w:val="22"/>
                <w:szCs w:val="22"/>
                <w:highlight w:val="none"/>
              </w:rPr>
            </w:pPr>
          </w:p>
        </w:tc>
        <w:tc>
          <w:tcPr>
            <w:tcW w:w="1867" w:type="dxa"/>
            <w:vAlign w:val="center"/>
          </w:tcPr>
          <w:p w14:paraId="2C9ED70F">
            <w:pPr>
              <w:spacing w:line="380" w:lineRule="exact"/>
              <w:jc w:val="center"/>
              <w:rPr>
                <w:rFonts w:ascii="宋体" w:hAnsi="宋体" w:cs="宋体"/>
                <w:sz w:val="22"/>
                <w:szCs w:val="22"/>
                <w:highlight w:val="none"/>
              </w:rPr>
            </w:pPr>
          </w:p>
        </w:tc>
        <w:tc>
          <w:tcPr>
            <w:tcW w:w="1800" w:type="dxa"/>
            <w:vAlign w:val="center"/>
          </w:tcPr>
          <w:p w14:paraId="40336E4A">
            <w:pPr>
              <w:spacing w:line="380" w:lineRule="exact"/>
              <w:jc w:val="center"/>
              <w:rPr>
                <w:rFonts w:ascii="宋体" w:hAnsi="宋体" w:cs="宋体"/>
                <w:sz w:val="22"/>
                <w:szCs w:val="22"/>
                <w:highlight w:val="none"/>
              </w:rPr>
            </w:pPr>
          </w:p>
        </w:tc>
        <w:tc>
          <w:tcPr>
            <w:tcW w:w="1863" w:type="dxa"/>
            <w:vAlign w:val="center"/>
          </w:tcPr>
          <w:p w14:paraId="7B75DE7D">
            <w:pPr>
              <w:spacing w:line="380" w:lineRule="exact"/>
              <w:jc w:val="center"/>
              <w:rPr>
                <w:rFonts w:ascii="宋体" w:hAnsi="宋体" w:cs="宋体"/>
                <w:sz w:val="22"/>
                <w:szCs w:val="22"/>
                <w:highlight w:val="none"/>
              </w:rPr>
            </w:pPr>
          </w:p>
        </w:tc>
        <w:tc>
          <w:tcPr>
            <w:tcW w:w="1562" w:type="dxa"/>
            <w:vAlign w:val="center"/>
          </w:tcPr>
          <w:p w14:paraId="61E6F7F2">
            <w:pPr>
              <w:spacing w:line="380" w:lineRule="exact"/>
              <w:jc w:val="center"/>
              <w:rPr>
                <w:rFonts w:ascii="宋体" w:hAnsi="宋体" w:cs="宋体"/>
                <w:sz w:val="22"/>
                <w:szCs w:val="22"/>
                <w:highlight w:val="none"/>
              </w:rPr>
            </w:pPr>
          </w:p>
        </w:tc>
      </w:tr>
    </w:tbl>
    <w:p w14:paraId="67234533">
      <w:pPr>
        <w:spacing w:line="440" w:lineRule="exact"/>
        <w:jc w:val="left"/>
        <w:rPr>
          <w:rFonts w:ascii="宋体" w:hAnsi="宋体" w:cs="宋体"/>
          <w:sz w:val="22"/>
          <w:szCs w:val="22"/>
          <w:highlight w:val="none"/>
        </w:rPr>
      </w:pPr>
      <w:r>
        <w:rPr>
          <w:rFonts w:hint="eastAsia" w:ascii="宋体" w:hAnsi="宋体" w:cs="宋体"/>
          <w:b/>
          <w:sz w:val="22"/>
          <w:szCs w:val="22"/>
          <w:highlight w:val="none"/>
          <w:u w:val="single"/>
        </w:rPr>
        <w:t>注：如投标文件含正偏离和负偏离，都应说明，如未填写视为无偏离。</w:t>
      </w:r>
    </w:p>
    <w:p w14:paraId="484AE769">
      <w:pPr>
        <w:spacing w:line="440" w:lineRule="exact"/>
        <w:jc w:val="left"/>
        <w:rPr>
          <w:rFonts w:ascii="宋体" w:hAnsi="宋体" w:cs="宋体"/>
          <w:sz w:val="22"/>
          <w:szCs w:val="22"/>
          <w:highlight w:val="none"/>
        </w:rPr>
      </w:pPr>
      <w:r>
        <w:rPr>
          <w:rFonts w:hint="eastAsia" w:ascii="宋体" w:hAnsi="宋体" w:cs="宋体"/>
          <w:sz w:val="22"/>
          <w:szCs w:val="22"/>
          <w:highlight w:val="none"/>
        </w:rPr>
        <w:t xml:space="preserve">投标人全称（加盖单位公章）： </w:t>
      </w:r>
    </w:p>
    <w:p w14:paraId="4A1DBCAB">
      <w:pPr>
        <w:spacing w:line="440" w:lineRule="exact"/>
        <w:jc w:val="left"/>
        <w:rPr>
          <w:rFonts w:ascii="宋体" w:hAnsi="宋体" w:cs="宋体"/>
          <w:sz w:val="22"/>
          <w:szCs w:val="22"/>
          <w:highlight w:val="none"/>
        </w:rPr>
      </w:pPr>
      <w:r>
        <w:rPr>
          <w:rFonts w:hint="eastAsia" w:ascii="宋体" w:hAnsi="宋体" w:cs="宋体"/>
          <w:sz w:val="22"/>
          <w:szCs w:val="22"/>
          <w:highlight w:val="none"/>
        </w:rPr>
        <w:t>法定代表人或授权代表（签字或盖章）：</w:t>
      </w:r>
    </w:p>
    <w:p w14:paraId="33009701">
      <w:pPr>
        <w:spacing w:line="440" w:lineRule="exact"/>
        <w:jc w:val="left"/>
        <w:rPr>
          <w:rFonts w:ascii="宋体" w:hAnsi="宋体" w:cs="宋体"/>
          <w:sz w:val="22"/>
          <w:szCs w:val="22"/>
          <w:highlight w:val="none"/>
        </w:rPr>
      </w:pPr>
      <w:r>
        <w:rPr>
          <w:rFonts w:hint="eastAsia" w:ascii="宋体" w:hAnsi="宋体" w:cs="宋体"/>
          <w:sz w:val="22"/>
          <w:szCs w:val="22"/>
          <w:highlight w:val="none"/>
        </w:rPr>
        <w:t>日 期：  年   月   日</w:t>
      </w:r>
    </w:p>
    <w:p w14:paraId="71299AFF">
      <w:pPr>
        <w:snapToGrid w:val="0"/>
        <w:spacing w:before="156" w:beforeLines="50" w:after="50" w:line="360" w:lineRule="auto"/>
        <w:rPr>
          <w:rFonts w:ascii="宋体" w:hAnsi="宋体"/>
          <w:b/>
          <w:color w:val="000000"/>
          <w:sz w:val="28"/>
          <w:szCs w:val="28"/>
          <w:highlight w:val="none"/>
        </w:rPr>
      </w:pPr>
    </w:p>
    <w:p w14:paraId="146EFD8F">
      <w:pPr>
        <w:spacing w:line="360" w:lineRule="auto"/>
        <w:jc w:val="left"/>
        <w:rPr>
          <w:rFonts w:ascii="宋体" w:hAnsi="宋体"/>
          <w:b/>
          <w:color w:val="000000"/>
          <w:sz w:val="28"/>
          <w:szCs w:val="28"/>
          <w:highlight w:val="none"/>
        </w:rPr>
      </w:pPr>
      <w:r>
        <w:rPr>
          <w:rFonts w:ascii="宋体" w:hAnsi="宋体"/>
          <w:b/>
          <w:color w:val="000000"/>
          <w:sz w:val="28"/>
          <w:szCs w:val="28"/>
          <w:highlight w:val="none"/>
        </w:rPr>
        <w:br w:type="page"/>
      </w:r>
      <w:r>
        <w:rPr>
          <w:rFonts w:hint="eastAsia" w:ascii="宋体" w:hAnsi="宋体"/>
          <w:color w:val="000000"/>
          <w:sz w:val="28"/>
          <w:szCs w:val="32"/>
          <w:highlight w:val="none"/>
        </w:rPr>
        <w:t>附件十二</w:t>
      </w:r>
    </w:p>
    <w:p w14:paraId="5F1B40C1">
      <w:pPr>
        <w:snapToGrid w:val="0"/>
        <w:spacing w:before="156" w:beforeLines="50" w:after="50" w:line="360" w:lineRule="auto"/>
        <w:jc w:val="center"/>
        <w:outlineLvl w:val="3"/>
        <w:rPr>
          <w:rFonts w:ascii="宋体" w:hAnsi="宋体"/>
          <w:b/>
          <w:color w:val="000000"/>
          <w:sz w:val="28"/>
          <w:szCs w:val="28"/>
          <w:highlight w:val="none"/>
        </w:rPr>
      </w:pPr>
      <w:r>
        <w:rPr>
          <w:rFonts w:hint="eastAsia" w:ascii="宋体" w:hAnsi="宋体"/>
          <w:b/>
          <w:color w:val="000000"/>
          <w:sz w:val="28"/>
          <w:szCs w:val="28"/>
          <w:highlight w:val="none"/>
        </w:rPr>
        <w:t>投标人基本情况表</w:t>
      </w:r>
    </w:p>
    <w:tbl>
      <w:tblPr>
        <w:tblStyle w:val="30"/>
        <w:tblW w:w="90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71"/>
        <w:gridCol w:w="974"/>
        <w:gridCol w:w="309"/>
        <w:gridCol w:w="1352"/>
        <w:gridCol w:w="1012"/>
        <w:gridCol w:w="349"/>
        <w:gridCol w:w="1074"/>
        <w:gridCol w:w="179"/>
        <w:gridCol w:w="352"/>
        <w:gridCol w:w="285"/>
        <w:gridCol w:w="1353"/>
      </w:tblGrid>
      <w:tr w14:paraId="303E03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71" w:type="dxa"/>
            <w:vAlign w:val="center"/>
          </w:tcPr>
          <w:p w14:paraId="68B73227">
            <w:pPr>
              <w:spacing w:line="360" w:lineRule="auto"/>
              <w:jc w:val="center"/>
              <w:rPr>
                <w:rFonts w:ascii="宋体" w:hAnsi="宋体"/>
                <w:color w:val="000000"/>
                <w:sz w:val="22"/>
                <w:szCs w:val="22"/>
                <w:highlight w:val="none"/>
              </w:rPr>
            </w:pPr>
            <w:r>
              <w:rPr>
                <w:rFonts w:hint="eastAsia" w:ascii="宋体" w:hAnsi="宋体"/>
                <w:color w:val="000000"/>
                <w:sz w:val="22"/>
                <w:szCs w:val="22"/>
                <w:highlight w:val="none"/>
              </w:rPr>
              <w:t>投标人名称</w:t>
            </w:r>
          </w:p>
        </w:tc>
        <w:tc>
          <w:tcPr>
            <w:tcW w:w="7239" w:type="dxa"/>
            <w:gridSpan w:val="10"/>
            <w:vAlign w:val="center"/>
          </w:tcPr>
          <w:p w14:paraId="5FFCDE43">
            <w:pPr>
              <w:spacing w:line="360" w:lineRule="auto"/>
              <w:jc w:val="center"/>
              <w:rPr>
                <w:rFonts w:ascii="宋体" w:hAnsi="宋体"/>
                <w:color w:val="000000"/>
                <w:sz w:val="22"/>
                <w:szCs w:val="22"/>
                <w:highlight w:val="none"/>
              </w:rPr>
            </w:pPr>
          </w:p>
        </w:tc>
      </w:tr>
      <w:tr w14:paraId="4A987F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71" w:type="dxa"/>
            <w:vAlign w:val="center"/>
          </w:tcPr>
          <w:p w14:paraId="37A95AAB">
            <w:pPr>
              <w:spacing w:line="360" w:lineRule="auto"/>
              <w:jc w:val="center"/>
              <w:rPr>
                <w:rFonts w:ascii="宋体" w:hAnsi="宋体"/>
                <w:color w:val="000000"/>
                <w:sz w:val="22"/>
                <w:szCs w:val="22"/>
                <w:highlight w:val="none"/>
              </w:rPr>
            </w:pPr>
            <w:r>
              <w:rPr>
                <w:rFonts w:hint="eastAsia" w:ascii="宋体" w:hAnsi="宋体"/>
                <w:color w:val="000000"/>
                <w:sz w:val="22"/>
                <w:szCs w:val="22"/>
                <w:highlight w:val="none"/>
              </w:rPr>
              <w:t>注册地址</w:t>
            </w:r>
          </w:p>
        </w:tc>
        <w:tc>
          <w:tcPr>
            <w:tcW w:w="3647" w:type="dxa"/>
            <w:gridSpan w:val="4"/>
            <w:vAlign w:val="center"/>
          </w:tcPr>
          <w:p w14:paraId="753AD3D7">
            <w:pPr>
              <w:spacing w:line="360" w:lineRule="auto"/>
              <w:jc w:val="center"/>
              <w:rPr>
                <w:rFonts w:ascii="宋体" w:hAnsi="宋体"/>
                <w:color w:val="000000"/>
                <w:sz w:val="22"/>
                <w:szCs w:val="22"/>
                <w:highlight w:val="none"/>
              </w:rPr>
            </w:pPr>
          </w:p>
        </w:tc>
        <w:tc>
          <w:tcPr>
            <w:tcW w:w="1602" w:type="dxa"/>
            <w:gridSpan w:val="3"/>
            <w:vAlign w:val="center"/>
          </w:tcPr>
          <w:p w14:paraId="0DE2A09A">
            <w:pPr>
              <w:spacing w:line="360" w:lineRule="auto"/>
              <w:jc w:val="center"/>
              <w:rPr>
                <w:rFonts w:ascii="宋体" w:hAnsi="宋体"/>
                <w:color w:val="000000"/>
                <w:sz w:val="22"/>
                <w:szCs w:val="22"/>
                <w:highlight w:val="none"/>
              </w:rPr>
            </w:pPr>
            <w:r>
              <w:rPr>
                <w:rFonts w:hint="eastAsia" w:ascii="宋体" w:hAnsi="宋体"/>
                <w:color w:val="000000"/>
                <w:sz w:val="22"/>
                <w:szCs w:val="22"/>
                <w:highlight w:val="none"/>
              </w:rPr>
              <w:t>邮政编码</w:t>
            </w:r>
          </w:p>
        </w:tc>
        <w:tc>
          <w:tcPr>
            <w:tcW w:w="1990" w:type="dxa"/>
            <w:gridSpan w:val="3"/>
            <w:vAlign w:val="center"/>
          </w:tcPr>
          <w:p w14:paraId="662094B1">
            <w:pPr>
              <w:spacing w:line="360" w:lineRule="auto"/>
              <w:jc w:val="center"/>
              <w:rPr>
                <w:rFonts w:ascii="宋体" w:hAnsi="宋体"/>
                <w:color w:val="000000"/>
                <w:sz w:val="22"/>
                <w:szCs w:val="22"/>
                <w:highlight w:val="none"/>
              </w:rPr>
            </w:pPr>
          </w:p>
        </w:tc>
      </w:tr>
      <w:tr w14:paraId="612E40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71" w:type="dxa"/>
            <w:vMerge w:val="restart"/>
            <w:vAlign w:val="center"/>
          </w:tcPr>
          <w:p w14:paraId="4C6E37F5">
            <w:pPr>
              <w:spacing w:line="360" w:lineRule="auto"/>
              <w:jc w:val="center"/>
              <w:rPr>
                <w:rFonts w:ascii="宋体" w:hAnsi="宋体"/>
                <w:color w:val="000000"/>
                <w:sz w:val="22"/>
                <w:szCs w:val="22"/>
                <w:highlight w:val="none"/>
              </w:rPr>
            </w:pPr>
            <w:r>
              <w:rPr>
                <w:rFonts w:hint="eastAsia" w:ascii="宋体" w:hAnsi="宋体"/>
                <w:color w:val="000000"/>
                <w:sz w:val="22"/>
                <w:szCs w:val="22"/>
                <w:highlight w:val="none"/>
              </w:rPr>
              <w:t>联系方式</w:t>
            </w:r>
          </w:p>
        </w:tc>
        <w:tc>
          <w:tcPr>
            <w:tcW w:w="1283" w:type="dxa"/>
            <w:gridSpan w:val="2"/>
            <w:vAlign w:val="center"/>
          </w:tcPr>
          <w:p w14:paraId="283E3972">
            <w:pPr>
              <w:spacing w:line="360" w:lineRule="auto"/>
              <w:jc w:val="center"/>
              <w:rPr>
                <w:rFonts w:ascii="宋体" w:hAnsi="宋体"/>
                <w:color w:val="000000"/>
                <w:sz w:val="22"/>
                <w:szCs w:val="22"/>
                <w:highlight w:val="none"/>
              </w:rPr>
            </w:pPr>
            <w:r>
              <w:rPr>
                <w:rFonts w:hint="eastAsia" w:ascii="宋体" w:hAnsi="宋体"/>
                <w:color w:val="000000"/>
                <w:sz w:val="22"/>
                <w:szCs w:val="22"/>
                <w:highlight w:val="none"/>
              </w:rPr>
              <w:t>联系人</w:t>
            </w:r>
          </w:p>
        </w:tc>
        <w:tc>
          <w:tcPr>
            <w:tcW w:w="2364" w:type="dxa"/>
            <w:gridSpan w:val="2"/>
            <w:vAlign w:val="center"/>
          </w:tcPr>
          <w:p w14:paraId="08E14772">
            <w:pPr>
              <w:spacing w:line="360" w:lineRule="auto"/>
              <w:jc w:val="center"/>
              <w:rPr>
                <w:rFonts w:ascii="宋体" w:hAnsi="宋体"/>
                <w:color w:val="000000"/>
                <w:sz w:val="22"/>
                <w:szCs w:val="22"/>
                <w:highlight w:val="none"/>
              </w:rPr>
            </w:pPr>
          </w:p>
        </w:tc>
        <w:tc>
          <w:tcPr>
            <w:tcW w:w="1602" w:type="dxa"/>
            <w:gridSpan w:val="3"/>
            <w:vAlign w:val="center"/>
          </w:tcPr>
          <w:p w14:paraId="5D9A6CA4">
            <w:pPr>
              <w:spacing w:line="360" w:lineRule="auto"/>
              <w:jc w:val="center"/>
              <w:rPr>
                <w:rFonts w:ascii="宋体" w:hAnsi="宋体"/>
                <w:color w:val="000000"/>
                <w:sz w:val="22"/>
                <w:szCs w:val="22"/>
                <w:highlight w:val="none"/>
              </w:rPr>
            </w:pPr>
            <w:r>
              <w:rPr>
                <w:rFonts w:hint="eastAsia" w:ascii="宋体" w:hAnsi="宋体"/>
                <w:color w:val="000000"/>
                <w:sz w:val="22"/>
                <w:szCs w:val="22"/>
                <w:highlight w:val="none"/>
              </w:rPr>
              <w:t>电话</w:t>
            </w:r>
          </w:p>
        </w:tc>
        <w:tc>
          <w:tcPr>
            <w:tcW w:w="1990" w:type="dxa"/>
            <w:gridSpan w:val="3"/>
            <w:vAlign w:val="center"/>
          </w:tcPr>
          <w:p w14:paraId="11F23C76">
            <w:pPr>
              <w:spacing w:line="360" w:lineRule="auto"/>
              <w:jc w:val="center"/>
              <w:rPr>
                <w:rFonts w:ascii="宋体" w:hAnsi="宋体"/>
                <w:color w:val="000000"/>
                <w:sz w:val="22"/>
                <w:szCs w:val="22"/>
                <w:highlight w:val="none"/>
              </w:rPr>
            </w:pPr>
          </w:p>
        </w:tc>
      </w:tr>
      <w:tr w14:paraId="41EF95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71" w:type="dxa"/>
            <w:vMerge w:val="continue"/>
            <w:vAlign w:val="center"/>
          </w:tcPr>
          <w:p w14:paraId="7857374F">
            <w:pPr>
              <w:spacing w:line="360" w:lineRule="auto"/>
              <w:jc w:val="center"/>
              <w:rPr>
                <w:rFonts w:ascii="宋体" w:hAnsi="宋体"/>
                <w:color w:val="000000"/>
                <w:sz w:val="22"/>
                <w:szCs w:val="22"/>
                <w:highlight w:val="none"/>
              </w:rPr>
            </w:pPr>
          </w:p>
        </w:tc>
        <w:tc>
          <w:tcPr>
            <w:tcW w:w="1283" w:type="dxa"/>
            <w:gridSpan w:val="2"/>
            <w:vAlign w:val="center"/>
          </w:tcPr>
          <w:p w14:paraId="0F98AD00">
            <w:pPr>
              <w:spacing w:line="360" w:lineRule="auto"/>
              <w:jc w:val="center"/>
              <w:rPr>
                <w:rFonts w:ascii="宋体" w:hAnsi="宋体"/>
                <w:color w:val="000000"/>
                <w:sz w:val="22"/>
                <w:szCs w:val="22"/>
                <w:highlight w:val="none"/>
              </w:rPr>
            </w:pPr>
            <w:r>
              <w:rPr>
                <w:rFonts w:hint="eastAsia" w:ascii="宋体" w:hAnsi="宋体"/>
                <w:color w:val="000000"/>
                <w:sz w:val="22"/>
                <w:szCs w:val="22"/>
                <w:highlight w:val="none"/>
              </w:rPr>
              <w:t>传真</w:t>
            </w:r>
          </w:p>
        </w:tc>
        <w:tc>
          <w:tcPr>
            <w:tcW w:w="2364" w:type="dxa"/>
            <w:gridSpan w:val="2"/>
            <w:vAlign w:val="center"/>
          </w:tcPr>
          <w:p w14:paraId="2FCD032A">
            <w:pPr>
              <w:spacing w:line="360" w:lineRule="auto"/>
              <w:jc w:val="center"/>
              <w:rPr>
                <w:rFonts w:ascii="宋体" w:hAnsi="宋体"/>
                <w:color w:val="000000"/>
                <w:sz w:val="22"/>
                <w:szCs w:val="22"/>
                <w:highlight w:val="none"/>
              </w:rPr>
            </w:pPr>
          </w:p>
        </w:tc>
        <w:tc>
          <w:tcPr>
            <w:tcW w:w="1602" w:type="dxa"/>
            <w:gridSpan w:val="3"/>
            <w:vAlign w:val="center"/>
          </w:tcPr>
          <w:p w14:paraId="77D4A89C">
            <w:pPr>
              <w:spacing w:line="360" w:lineRule="auto"/>
              <w:jc w:val="center"/>
              <w:rPr>
                <w:rFonts w:ascii="宋体" w:hAnsi="宋体"/>
                <w:color w:val="000000"/>
                <w:sz w:val="22"/>
                <w:szCs w:val="22"/>
                <w:highlight w:val="none"/>
              </w:rPr>
            </w:pPr>
            <w:r>
              <w:rPr>
                <w:rFonts w:hint="eastAsia" w:ascii="宋体" w:hAnsi="宋体"/>
                <w:color w:val="000000"/>
                <w:sz w:val="22"/>
                <w:szCs w:val="22"/>
                <w:highlight w:val="none"/>
              </w:rPr>
              <w:t>网址</w:t>
            </w:r>
          </w:p>
        </w:tc>
        <w:tc>
          <w:tcPr>
            <w:tcW w:w="1990" w:type="dxa"/>
            <w:gridSpan w:val="3"/>
            <w:vAlign w:val="center"/>
          </w:tcPr>
          <w:p w14:paraId="7E592A76">
            <w:pPr>
              <w:spacing w:line="360" w:lineRule="auto"/>
              <w:jc w:val="center"/>
              <w:rPr>
                <w:rFonts w:ascii="宋体" w:hAnsi="宋体"/>
                <w:color w:val="000000"/>
                <w:sz w:val="22"/>
                <w:szCs w:val="22"/>
                <w:highlight w:val="none"/>
              </w:rPr>
            </w:pPr>
          </w:p>
        </w:tc>
      </w:tr>
      <w:tr w14:paraId="2E44E4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71" w:type="dxa"/>
            <w:vAlign w:val="center"/>
          </w:tcPr>
          <w:p w14:paraId="6FC7D2A9">
            <w:pPr>
              <w:spacing w:line="360" w:lineRule="auto"/>
              <w:jc w:val="center"/>
              <w:rPr>
                <w:rFonts w:ascii="宋体" w:hAnsi="宋体"/>
                <w:color w:val="000000"/>
                <w:sz w:val="22"/>
                <w:szCs w:val="22"/>
                <w:highlight w:val="none"/>
              </w:rPr>
            </w:pPr>
            <w:r>
              <w:rPr>
                <w:rFonts w:hint="eastAsia" w:ascii="宋体" w:hAnsi="宋体"/>
                <w:color w:val="000000"/>
                <w:sz w:val="22"/>
                <w:szCs w:val="22"/>
                <w:highlight w:val="none"/>
              </w:rPr>
              <w:t>组织结构</w:t>
            </w:r>
          </w:p>
        </w:tc>
        <w:tc>
          <w:tcPr>
            <w:tcW w:w="7239" w:type="dxa"/>
            <w:gridSpan w:val="10"/>
            <w:vAlign w:val="center"/>
          </w:tcPr>
          <w:p w14:paraId="316B8169">
            <w:pPr>
              <w:spacing w:line="360" w:lineRule="auto"/>
              <w:jc w:val="center"/>
              <w:rPr>
                <w:rFonts w:ascii="宋体" w:hAnsi="宋体"/>
                <w:color w:val="000000"/>
                <w:sz w:val="22"/>
                <w:szCs w:val="22"/>
                <w:highlight w:val="none"/>
              </w:rPr>
            </w:pPr>
          </w:p>
        </w:tc>
      </w:tr>
      <w:tr w14:paraId="009361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71" w:type="dxa"/>
            <w:vAlign w:val="center"/>
          </w:tcPr>
          <w:p w14:paraId="39AC90F1">
            <w:pPr>
              <w:spacing w:line="360" w:lineRule="auto"/>
              <w:jc w:val="center"/>
              <w:rPr>
                <w:rFonts w:ascii="宋体" w:hAnsi="宋体"/>
                <w:color w:val="000000"/>
                <w:sz w:val="22"/>
                <w:szCs w:val="22"/>
                <w:highlight w:val="none"/>
              </w:rPr>
            </w:pPr>
            <w:r>
              <w:rPr>
                <w:rFonts w:hint="eastAsia" w:ascii="宋体" w:hAnsi="宋体"/>
                <w:color w:val="000000"/>
                <w:sz w:val="22"/>
                <w:szCs w:val="22"/>
                <w:highlight w:val="none"/>
              </w:rPr>
              <w:t>法定代表人</w:t>
            </w:r>
          </w:p>
        </w:tc>
        <w:tc>
          <w:tcPr>
            <w:tcW w:w="974" w:type="dxa"/>
            <w:vAlign w:val="center"/>
          </w:tcPr>
          <w:p w14:paraId="33565AF0">
            <w:pPr>
              <w:spacing w:line="360" w:lineRule="auto"/>
              <w:jc w:val="center"/>
              <w:rPr>
                <w:rFonts w:ascii="宋体" w:hAnsi="宋体"/>
                <w:color w:val="000000"/>
                <w:sz w:val="22"/>
                <w:szCs w:val="22"/>
                <w:highlight w:val="none"/>
              </w:rPr>
            </w:pPr>
            <w:r>
              <w:rPr>
                <w:rFonts w:hint="eastAsia" w:ascii="宋体" w:hAnsi="宋体"/>
                <w:color w:val="000000"/>
                <w:sz w:val="22"/>
                <w:szCs w:val="22"/>
                <w:highlight w:val="none"/>
              </w:rPr>
              <w:t>姓名</w:t>
            </w:r>
          </w:p>
        </w:tc>
        <w:tc>
          <w:tcPr>
            <w:tcW w:w="1661" w:type="dxa"/>
            <w:gridSpan w:val="2"/>
            <w:vAlign w:val="center"/>
          </w:tcPr>
          <w:p w14:paraId="30A910D7">
            <w:pPr>
              <w:spacing w:line="360" w:lineRule="auto"/>
              <w:jc w:val="center"/>
              <w:rPr>
                <w:rFonts w:ascii="宋体" w:hAnsi="宋体"/>
                <w:color w:val="000000"/>
                <w:sz w:val="22"/>
                <w:szCs w:val="22"/>
                <w:highlight w:val="none"/>
              </w:rPr>
            </w:pPr>
          </w:p>
        </w:tc>
        <w:tc>
          <w:tcPr>
            <w:tcW w:w="1361" w:type="dxa"/>
            <w:gridSpan w:val="2"/>
            <w:vAlign w:val="center"/>
          </w:tcPr>
          <w:p w14:paraId="05A37906">
            <w:pPr>
              <w:spacing w:line="360" w:lineRule="auto"/>
              <w:jc w:val="center"/>
              <w:rPr>
                <w:rFonts w:ascii="宋体" w:hAnsi="宋体"/>
                <w:color w:val="000000"/>
                <w:sz w:val="22"/>
                <w:szCs w:val="22"/>
                <w:highlight w:val="none"/>
              </w:rPr>
            </w:pPr>
            <w:r>
              <w:rPr>
                <w:rFonts w:hint="eastAsia" w:ascii="宋体" w:hAnsi="宋体"/>
                <w:color w:val="000000"/>
                <w:sz w:val="22"/>
                <w:szCs w:val="22"/>
                <w:highlight w:val="none"/>
              </w:rPr>
              <w:t>技术职称</w:t>
            </w:r>
          </w:p>
        </w:tc>
        <w:tc>
          <w:tcPr>
            <w:tcW w:w="1074" w:type="dxa"/>
            <w:vAlign w:val="center"/>
          </w:tcPr>
          <w:p w14:paraId="770B0169">
            <w:pPr>
              <w:spacing w:line="360" w:lineRule="auto"/>
              <w:jc w:val="center"/>
              <w:rPr>
                <w:rFonts w:ascii="宋体" w:hAnsi="宋体"/>
                <w:color w:val="000000"/>
                <w:sz w:val="22"/>
                <w:szCs w:val="22"/>
                <w:highlight w:val="none"/>
              </w:rPr>
            </w:pPr>
          </w:p>
        </w:tc>
        <w:tc>
          <w:tcPr>
            <w:tcW w:w="816" w:type="dxa"/>
            <w:gridSpan w:val="3"/>
            <w:vAlign w:val="center"/>
          </w:tcPr>
          <w:p w14:paraId="399B03A2">
            <w:pPr>
              <w:spacing w:line="360" w:lineRule="auto"/>
              <w:jc w:val="center"/>
              <w:rPr>
                <w:rFonts w:ascii="宋体" w:hAnsi="宋体"/>
                <w:color w:val="000000"/>
                <w:sz w:val="22"/>
                <w:szCs w:val="22"/>
                <w:highlight w:val="none"/>
              </w:rPr>
            </w:pPr>
            <w:r>
              <w:rPr>
                <w:rFonts w:hint="eastAsia" w:ascii="宋体" w:hAnsi="宋体"/>
                <w:color w:val="000000"/>
                <w:sz w:val="22"/>
                <w:szCs w:val="22"/>
                <w:highlight w:val="none"/>
              </w:rPr>
              <w:t>电话</w:t>
            </w:r>
          </w:p>
        </w:tc>
        <w:tc>
          <w:tcPr>
            <w:tcW w:w="1353" w:type="dxa"/>
            <w:vAlign w:val="center"/>
          </w:tcPr>
          <w:p w14:paraId="7839D76B">
            <w:pPr>
              <w:spacing w:line="360" w:lineRule="auto"/>
              <w:jc w:val="center"/>
              <w:rPr>
                <w:rFonts w:ascii="宋体" w:hAnsi="宋体"/>
                <w:color w:val="000000"/>
                <w:sz w:val="22"/>
                <w:szCs w:val="22"/>
                <w:highlight w:val="none"/>
              </w:rPr>
            </w:pPr>
          </w:p>
        </w:tc>
      </w:tr>
      <w:tr w14:paraId="01D038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71" w:type="dxa"/>
            <w:vAlign w:val="center"/>
          </w:tcPr>
          <w:p w14:paraId="27CEA3BF">
            <w:pPr>
              <w:spacing w:line="360" w:lineRule="auto"/>
              <w:jc w:val="center"/>
              <w:rPr>
                <w:rFonts w:ascii="宋体" w:hAnsi="宋体"/>
                <w:color w:val="000000"/>
                <w:sz w:val="22"/>
                <w:szCs w:val="22"/>
                <w:highlight w:val="none"/>
              </w:rPr>
            </w:pPr>
            <w:r>
              <w:rPr>
                <w:rFonts w:hint="eastAsia" w:ascii="宋体" w:hAnsi="宋体"/>
                <w:color w:val="000000"/>
                <w:sz w:val="22"/>
                <w:szCs w:val="22"/>
                <w:highlight w:val="none"/>
              </w:rPr>
              <w:t>技术负责人</w:t>
            </w:r>
          </w:p>
        </w:tc>
        <w:tc>
          <w:tcPr>
            <w:tcW w:w="974" w:type="dxa"/>
            <w:vAlign w:val="center"/>
          </w:tcPr>
          <w:p w14:paraId="3985C9FA">
            <w:pPr>
              <w:spacing w:line="360" w:lineRule="auto"/>
              <w:jc w:val="center"/>
              <w:rPr>
                <w:rFonts w:ascii="宋体" w:hAnsi="宋体"/>
                <w:color w:val="000000"/>
                <w:sz w:val="22"/>
                <w:szCs w:val="22"/>
                <w:highlight w:val="none"/>
              </w:rPr>
            </w:pPr>
            <w:r>
              <w:rPr>
                <w:rFonts w:hint="eastAsia" w:ascii="宋体" w:hAnsi="宋体"/>
                <w:color w:val="000000"/>
                <w:sz w:val="22"/>
                <w:szCs w:val="22"/>
                <w:highlight w:val="none"/>
              </w:rPr>
              <w:t>姓名</w:t>
            </w:r>
          </w:p>
        </w:tc>
        <w:tc>
          <w:tcPr>
            <w:tcW w:w="1661" w:type="dxa"/>
            <w:gridSpan w:val="2"/>
            <w:vAlign w:val="center"/>
          </w:tcPr>
          <w:p w14:paraId="252E33F9">
            <w:pPr>
              <w:spacing w:line="360" w:lineRule="auto"/>
              <w:jc w:val="center"/>
              <w:rPr>
                <w:rFonts w:ascii="宋体" w:hAnsi="宋体"/>
                <w:color w:val="000000"/>
                <w:sz w:val="22"/>
                <w:szCs w:val="22"/>
                <w:highlight w:val="none"/>
              </w:rPr>
            </w:pPr>
          </w:p>
        </w:tc>
        <w:tc>
          <w:tcPr>
            <w:tcW w:w="1361" w:type="dxa"/>
            <w:gridSpan w:val="2"/>
            <w:vAlign w:val="center"/>
          </w:tcPr>
          <w:p w14:paraId="339C5585">
            <w:pPr>
              <w:spacing w:line="360" w:lineRule="auto"/>
              <w:jc w:val="center"/>
              <w:rPr>
                <w:rFonts w:ascii="宋体" w:hAnsi="宋体"/>
                <w:color w:val="000000"/>
                <w:sz w:val="22"/>
                <w:szCs w:val="22"/>
                <w:highlight w:val="none"/>
              </w:rPr>
            </w:pPr>
            <w:r>
              <w:rPr>
                <w:rFonts w:hint="eastAsia" w:ascii="宋体" w:hAnsi="宋体"/>
                <w:color w:val="000000"/>
                <w:sz w:val="22"/>
                <w:szCs w:val="22"/>
                <w:highlight w:val="none"/>
              </w:rPr>
              <w:t>技术职称</w:t>
            </w:r>
          </w:p>
        </w:tc>
        <w:tc>
          <w:tcPr>
            <w:tcW w:w="1074" w:type="dxa"/>
            <w:vAlign w:val="center"/>
          </w:tcPr>
          <w:p w14:paraId="4C3E73AC">
            <w:pPr>
              <w:spacing w:line="360" w:lineRule="auto"/>
              <w:jc w:val="center"/>
              <w:rPr>
                <w:rFonts w:ascii="宋体" w:hAnsi="宋体"/>
                <w:color w:val="000000"/>
                <w:sz w:val="22"/>
                <w:szCs w:val="22"/>
                <w:highlight w:val="none"/>
              </w:rPr>
            </w:pPr>
          </w:p>
        </w:tc>
        <w:tc>
          <w:tcPr>
            <w:tcW w:w="816" w:type="dxa"/>
            <w:gridSpan w:val="3"/>
            <w:vAlign w:val="center"/>
          </w:tcPr>
          <w:p w14:paraId="6D53BC27">
            <w:pPr>
              <w:spacing w:line="360" w:lineRule="auto"/>
              <w:jc w:val="center"/>
              <w:rPr>
                <w:rFonts w:ascii="宋体" w:hAnsi="宋体"/>
                <w:color w:val="000000"/>
                <w:sz w:val="22"/>
                <w:szCs w:val="22"/>
                <w:highlight w:val="none"/>
              </w:rPr>
            </w:pPr>
            <w:r>
              <w:rPr>
                <w:rFonts w:hint="eastAsia" w:ascii="宋体" w:hAnsi="宋体"/>
                <w:color w:val="000000"/>
                <w:sz w:val="22"/>
                <w:szCs w:val="22"/>
                <w:highlight w:val="none"/>
              </w:rPr>
              <w:t>电话</w:t>
            </w:r>
          </w:p>
        </w:tc>
        <w:tc>
          <w:tcPr>
            <w:tcW w:w="1353" w:type="dxa"/>
            <w:vAlign w:val="center"/>
          </w:tcPr>
          <w:p w14:paraId="41DCCF7C">
            <w:pPr>
              <w:spacing w:line="360" w:lineRule="auto"/>
              <w:jc w:val="center"/>
              <w:rPr>
                <w:rFonts w:ascii="宋体" w:hAnsi="宋体"/>
                <w:color w:val="000000"/>
                <w:sz w:val="22"/>
                <w:szCs w:val="22"/>
                <w:highlight w:val="none"/>
              </w:rPr>
            </w:pPr>
          </w:p>
        </w:tc>
      </w:tr>
      <w:tr w14:paraId="78FA90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771" w:type="dxa"/>
            <w:vAlign w:val="center"/>
          </w:tcPr>
          <w:p w14:paraId="1A4E85B0">
            <w:pPr>
              <w:spacing w:line="360" w:lineRule="auto"/>
              <w:jc w:val="center"/>
              <w:rPr>
                <w:rFonts w:ascii="宋体" w:hAnsi="宋体"/>
                <w:color w:val="000000"/>
                <w:sz w:val="22"/>
                <w:szCs w:val="22"/>
                <w:highlight w:val="none"/>
              </w:rPr>
            </w:pPr>
            <w:r>
              <w:rPr>
                <w:rFonts w:hint="eastAsia" w:ascii="宋体" w:hAnsi="宋体"/>
                <w:color w:val="000000"/>
                <w:sz w:val="22"/>
                <w:szCs w:val="22"/>
                <w:highlight w:val="none"/>
              </w:rPr>
              <w:t>成立时间</w:t>
            </w:r>
          </w:p>
        </w:tc>
        <w:tc>
          <w:tcPr>
            <w:tcW w:w="2635" w:type="dxa"/>
            <w:gridSpan w:val="3"/>
            <w:vAlign w:val="center"/>
          </w:tcPr>
          <w:p w14:paraId="0942FB4D">
            <w:pPr>
              <w:spacing w:line="360" w:lineRule="auto"/>
              <w:jc w:val="center"/>
              <w:rPr>
                <w:rFonts w:ascii="宋体" w:hAnsi="宋体"/>
                <w:color w:val="000000"/>
                <w:sz w:val="22"/>
                <w:szCs w:val="22"/>
                <w:highlight w:val="none"/>
              </w:rPr>
            </w:pPr>
          </w:p>
        </w:tc>
        <w:tc>
          <w:tcPr>
            <w:tcW w:w="4604" w:type="dxa"/>
            <w:gridSpan w:val="7"/>
            <w:vAlign w:val="center"/>
          </w:tcPr>
          <w:p w14:paraId="641A67EB">
            <w:pPr>
              <w:spacing w:line="360" w:lineRule="auto"/>
              <w:jc w:val="center"/>
              <w:rPr>
                <w:rFonts w:ascii="宋体" w:hAnsi="宋体"/>
                <w:color w:val="000000"/>
                <w:sz w:val="22"/>
                <w:szCs w:val="22"/>
                <w:highlight w:val="none"/>
              </w:rPr>
            </w:pPr>
            <w:r>
              <w:rPr>
                <w:rFonts w:hint="eastAsia" w:ascii="宋体" w:hAnsi="宋体"/>
                <w:color w:val="000000"/>
                <w:sz w:val="22"/>
                <w:szCs w:val="22"/>
                <w:highlight w:val="none"/>
              </w:rPr>
              <w:t>员工总人数：</w:t>
            </w:r>
          </w:p>
        </w:tc>
      </w:tr>
      <w:tr w14:paraId="5AED9F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71" w:type="dxa"/>
            <w:vAlign w:val="center"/>
          </w:tcPr>
          <w:p w14:paraId="405271CD">
            <w:pPr>
              <w:spacing w:line="360" w:lineRule="auto"/>
              <w:jc w:val="center"/>
              <w:rPr>
                <w:rFonts w:ascii="宋体" w:hAnsi="宋体"/>
                <w:color w:val="000000"/>
                <w:sz w:val="22"/>
                <w:szCs w:val="22"/>
                <w:highlight w:val="none"/>
              </w:rPr>
            </w:pPr>
            <w:r>
              <w:rPr>
                <w:rFonts w:hint="eastAsia" w:ascii="宋体" w:hAnsi="宋体"/>
                <w:color w:val="000000"/>
                <w:sz w:val="22"/>
                <w:szCs w:val="22"/>
                <w:highlight w:val="none"/>
              </w:rPr>
              <w:t>企业资质等级</w:t>
            </w:r>
          </w:p>
        </w:tc>
        <w:tc>
          <w:tcPr>
            <w:tcW w:w="2635" w:type="dxa"/>
            <w:gridSpan w:val="3"/>
            <w:vAlign w:val="center"/>
          </w:tcPr>
          <w:p w14:paraId="1377908F">
            <w:pPr>
              <w:spacing w:line="360" w:lineRule="auto"/>
              <w:jc w:val="center"/>
              <w:rPr>
                <w:rFonts w:ascii="宋体" w:hAnsi="宋体"/>
                <w:color w:val="000000"/>
                <w:sz w:val="22"/>
                <w:szCs w:val="22"/>
                <w:highlight w:val="none"/>
              </w:rPr>
            </w:pPr>
          </w:p>
        </w:tc>
        <w:tc>
          <w:tcPr>
            <w:tcW w:w="1012" w:type="dxa"/>
            <w:vMerge w:val="restart"/>
            <w:vAlign w:val="center"/>
          </w:tcPr>
          <w:p w14:paraId="38672636">
            <w:pPr>
              <w:spacing w:line="360" w:lineRule="auto"/>
              <w:jc w:val="center"/>
              <w:rPr>
                <w:rFonts w:ascii="宋体" w:hAnsi="宋体"/>
                <w:color w:val="000000"/>
                <w:sz w:val="22"/>
                <w:szCs w:val="22"/>
                <w:highlight w:val="none"/>
              </w:rPr>
            </w:pPr>
            <w:r>
              <w:rPr>
                <w:rFonts w:hint="eastAsia" w:ascii="宋体" w:hAnsi="宋体"/>
                <w:color w:val="000000"/>
                <w:sz w:val="22"/>
                <w:szCs w:val="22"/>
                <w:highlight w:val="none"/>
              </w:rPr>
              <w:t>其中</w:t>
            </w:r>
          </w:p>
        </w:tc>
        <w:tc>
          <w:tcPr>
            <w:tcW w:w="1954" w:type="dxa"/>
            <w:gridSpan w:val="4"/>
            <w:vAlign w:val="center"/>
          </w:tcPr>
          <w:p w14:paraId="6D95E4DF">
            <w:pPr>
              <w:spacing w:line="360" w:lineRule="auto"/>
              <w:jc w:val="center"/>
              <w:rPr>
                <w:rFonts w:ascii="宋体" w:hAnsi="宋体"/>
                <w:color w:val="000000"/>
                <w:sz w:val="22"/>
                <w:szCs w:val="22"/>
                <w:highlight w:val="none"/>
              </w:rPr>
            </w:pPr>
            <w:r>
              <w:rPr>
                <w:rFonts w:hint="eastAsia" w:ascii="宋体" w:hAnsi="宋体"/>
                <w:color w:val="000000"/>
                <w:sz w:val="22"/>
                <w:szCs w:val="22"/>
                <w:highlight w:val="none"/>
              </w:rPr>
              <w:t>高级职称人员</w:t>
            </w:r>
          </w:p>
        </w:tc>
        <w:tc>
          <w:tcPr>
            <w:tcW w:w="1638" w:type="dxa"/>
            <w:gridSpan w:val="2"/>
            <w:vAlign w:val="center"/>
          </w:tcPr>
          <w:p w14:paraId="0F415132">
            <w:pPr>
              <w:spacing w:line="360" w:lineRule="auto"/>
              <w:jc w:val="center"/>
              <w:rPr>
                <w:rFonts w:ascii="宋体" w:hAnsi="宋体"/>
                <w:color w:val="000000"/>
                <w:sz w:val="22"/>
                <w:szCs w:val="22"/>
                <w:highlight w:val="none"/>
              </w:rPr>
            </w:pPr>
          </w:p>
        </w:tc>
      </w:tr>
      <w:tr w14:paraId="5BC749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71" w:type="dxa"/>
            <w:vAlign w:val="center"/>
          </w:tcPr>
          <w:p w14:paraId="11808E27">
            <w:pPr>
              <w:spacing w:line="360" w:lineRule="auto"/>
              <w:jc w:val="center"/>
              <w:rPr>
                <w:rFonts w:ascii="宋体" w:hAnsi="宋体"/>
                <w:color w:val="000000"/>
                <w:sz w:val="22"/>
                <w:szCs w:val="22"/>
                <w:highlight w:val="none"/>
              </w:rPr>
            </w:pPr>
            <w:r>
              <w:rPr>
                <w:rFonts w:hint="eastAsia" w:ascii="宋体" w:hAnsi="宋体"/>
                <w:color w:val="000000"/>
                <w:sz w:val="22"/>
                <w:szCs w:val="22"/>
                <w:highlight w:val="none"/>
              </w:rPr>
              <w:t>营业执照号</w:t>
            </w:r>
          </w:p>
        </w:tc>
        <w:tc>
          <w:tcPr>
            <w:tcW w:w="2635" w:type="dxa"/>
            <w:gridSpan w:val="3"/>
            <w:vAlign w:val="center"/>
          </w:tcPr>
          <w:p w14:paraId="386A1679">
            <w:pPr>
              <w:spacing w:line="360" w:lineRule="auto"/>
              <w:jc w:val="center"/>
              <w:rPr>
                <w:rFonts w:ascii="宋体" w:hAnsi="宋体"/>
                <w:color w:val="000000"/>
                <w:sz w:val="22"/>
                <w:szCs w:val="22"/>
                <w:highlight w:val="none"/>
              </w:rPr>
            </w:pPr>
          </w:p>
        </w:tc>
        <w:tc>
          <w:tcPr>
            <w:tcW w:w="1012" w:type="dxa"/>
            <w:vMerge w:val="continue"/>
            <w:vAlign w:val="center"/>
          </w:tcPr>
          <w:p w14:paraId="7F5E622C">
            <w:pPr>
              <w:spacing w:line="360" w:lineRule="auto"/>
              <w:jc w:val="center"/>
              <w:rPr>
                <w:rFonts w:ascii="宋体" w:hAnsi="宋体"/>
                <w:color w:val="000000"/>
                <w:sz w:val="22"/>
                <w:szCs w:val="22"/>
                <w:highlight w:val="none"/>
              </w:rPr>
            </w:pPr>
          </w:p>
        </w:tc>
        <w:tc>
          <w:tcPr>
            <w:tcW w:w="1954" w:type="dxa"/>
            <w:gridSpan w:val="4"/>
            <w:vAlign w:val="center"/>
          </w:tcPr>
          <w:p w14:paraId="1166B5B3">
            <w:pPr>
              <w:spacing w:line="360" w:lineRule="auto"/>
              <w:jc w:val="center"/>
              <w:rPr>
                <w:rFonts w:ascii="宋体" w:hAnsi="宋体"/>
                <w:color w:val="000000"/>
                <w:sz w:val="22"/>
                <w:szCs w:val="22"/>
                <w:highlight w:val="none"/>
              </w:rPr>
            </w:pPr>
            <w:r>
              <w:rPr>
                <w:rFonts w:hint="eastAsia" w:ascii="宋体" w:hAnsi="宋体"/>
                <w:color w:val="000000"/>
                <w:sz w:val="22"/>
                <w:szCs w:val="22"/>
                <w:highlight w:val="none"/>
              </w:rPr>
              <w:t>中级职称人员</w:t>
            </w:r>
          </w:p>
        </w:tc>
        <w:tc>
          <w:tcPr>
            <w:tcW w:w="1638" w:type="dxa"/>
            <w:gridSpan w:val="2"/>
            <w:vAlign w:val="center"/>
          </w:tcPr>
          <w:p w14:paraId="73179D00">
            <w:pPr>
              <w:spacing w:line="360" w:lineRule="auto"/>
              <w:jc w:val="center"/>
              <w:rPr>
                <w:rFonts w:ascii="宋体" w:hAnsi="宋体"/>
                <w:color w:val="000000"/>
                <w:sz w:val="22"/>
                <w:szCs w:val="22"/>
                <w:highlight w:val="none"/>
              </w:rPr>
            </w:pPr>
          </w:p>
        </w:tc>
      </w:tr>
      <w:tr w14:paraId="51BFD1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71" w:type="dxa"/>
            <w:vAlign w:val="center"/>
          </w:tcPr>
          <w:p w14:paraId="3B0535D8">
            <w:pPr>
              <w:spacing w:line="360" w:lineRule="auto"/>
              <w:jc w:val="center"/>
              <w:rPr>
                <w:rFonts w:ascii="宋体" w:hAnsi="宋体"/>
                <w:color w:val="000000"/>
                <w:sz w:val="22"/>
                <w:szCs w:val="22"/>
                <w:highlight w:val="none"/>
              </w:rPr>
            </w:pPr>
            <w:r>
              <w:rPr>
                <w:rFonts w:hint="eastAsia" w:ascii="宋体" w:hAnsi="宋体"/>
                <w:color w:val="000000"/>
                <w:sz w:val="22"/>
                <w:szCs w:val="22"/>
                <w:highlight w:val="none"/>
              </w:rPr>
              <w:t>注册资金</w:t>
            </w:r>
          </w:p>
        </w:tc>
        <w:tc>
          <w:tcPr>
            <w:tcW w:w="2635" w:type="dxa"/>
            <w:gridSpan w:val="3"/>
            <w:vAlign w:val="center"/>
          </w:tcPr>
          <w:p w14:paraId="34552D47">
            <w:pPr>
              <w:spacing w:line="360" w:lineRule="auto"/>
              <w:jc w:val="center"/>
              <w:rPr>
                <w:rFonts w:ascii="宋体" w:hAnsi="宋体"/>
                <w:color w:val="000000"/>
                <w:sz w:val="22"/>
                <w:szCs w:val="22"/>
                <w:highlight w:val="none"/>
              </w:rPr>
            </w:pPr>
          </w:p>
        </w:tc>
        <w:tc>
          <w:tcPr>
            <w:tcW w:w="1012" w:type="dxa"/>
            <w:vMerge w:val="continue"/>
            <w:vAlign w:val="center"/>
          </w:tcPr>
          <w:p w14:paraId="471E4545">
            <w:pPr>
              <w:spacing w:line="360" w:lineRule="auto"/>
              <w:jc w:val="center"/>
              <w:rPr>
                <w:rFonts w:ascii="宋体" w:hAnsi="宋体"/>
                <w:color w:val="000000"/>
                <w:sz w:val="22"/>
                <w:szCs w:val="22"/>
                <w:highlight w:val="none"/>
              </w:rPr>
            </w:pPr>
          </w:p>
        </w:tc>
        <w:tc>
          <w:tcPr>
            <w:tcW w:w="1954" w:type="dxa"/>
            <w:gridSpan w:val="4"/>
            <w:vAlign w:val="center"/>
          </w:tcPr>
          <w:p w14:paraId="0D410C68">
            <w:pPr>
              <w:spacing w:line="360" w:lineRule="auto"/>
              <w:jc w:val="center"/>
              <w:rPr>
                <w:rFonts w:ascii="宋体" w:hAnsi="宋体"/>
                <w:color w:val="000000"/>
                <w:sz w:val="22"/>
                <w:szCs w:val="22"/>
                <w:highlight w:val="none"/>
              </w:rPr>
            </w:pPr>
            <w:r>
              <w:rPr>
                <w:rFonts w:hint="eastAsia" w:ascii="宋体" w:hAnsi="宋体"/>
                <w:color w:val="000000"/>
                <w:sz w:val="22"/>
                <w:szCs w:val="22"/>
                <w:highlight w:val="none"/>
              </w:rPr>
              <w:t>初级职称人员</w:t>
            </w:r>
          </w:p>
        </w:tc>
        <w:tc>
          <w:tcPr>
            <w:tcW w:w="1638" w:type="dxa"/>
            <w:gridSpan w:val="2"/>
            <w:vAlign w:val="center"/>
          </w:tcPr>
          <w:p w14:paraId="7A7BD36B">
            <w:pPr>
              <w:spacing w:line="360" w:lineRule="auto"/>
              <w:jc w:val="center"/>
              <w:rPr>
                <w:rFonts w:ascii="宋体" w:hAnsi="宋体"/>
                <w:color w:val="000000"/>
                <w:sz w:val="22"/>
                <w:szCs w:val="22"/>
                <w:highlight w:val="none"/>
              </w:rPr>
            </w:pPr>
          </w:p>
        </w:tc>
      </w:tr>
      <w:tr w14:paraId="2A9AFF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71" w:type="dxa"/>
            <w:vAlign w:val="center"/>
          </w:tcPr>
          <w:p w14:paraId="103D71C4">
            <w:pPr>
              <w:spacing w:line="360" w:lineRule="auto"/>
              <w:jc w:val="center"/>
              <w:rPr>
                <w:rFonts w:ascii="宋体" w:hAnsi="宋体"/>
                <w:color w:val="000000"/>
                <w:sz w:val="22"/>
                <w:szCs w:val="22"/>
                <w:highlight w:val="none"/>
              </w:rPr>
            </w:pPr>
            <w:r>
              <w:rPr>
                <w:rFonts w:hint="eastAsia" w:ascii="宋体" w:hAnsi="宋体"/>
                <w:color w:val="000000"/>
                <w:sz w:val="22"/>
                <w:szCs w:val="22"/>
                <w:highlight w:val="none"/>
              </w:rPr>
              <w:t>开户银行</w:t>
            </w:r>
          </w:p>
        </w:tc>
        <w:tc>
          <w:tcPr>
            <w:tcW w:w="2635" w:type="dxa"/>
            <w:gridSpan w:val="3"/>
            <w:vAlign w:val="center"/>
          </w:tcPr>
          <w:p w14:paraId="457313AC">
            <w:pPr>
              <w:spacing w:line="360" w:lineRule="auto"/>
              <w:jc w:val="center"/>
              <w:rPr>
                <w:rFonts w:ascii="宋体" w:hAnsi="宋体"/>
                <w:color w:val="000000"/>
                <w:sz w:val="22"/>
                <w:szCs w:val="22"/>
                <w:highlight w:val="none"/>
              </w:rPr>
            </w:pPr>
          </w:p>
        </w:tc>
        <w:tc>
          <w:tcPr>
            <w:tcW w:w="1012" w:type="dxa"/>
            <w:vMerge w:val="continue"/>
            <w:vAlign w:val="center"/>
          </w:tcPr>
          <w:p w14:paraId="24C5E4BF">
            <w:pPr>
              <w:spacing w:line="360" w:lineRule="auto"/>
              <w:jc w:val="center"/>
              <w:rPr>
                <w:rFonts w:ascii="宋体" w:hAnsi="宋体"/>
                <w:color w:val="000000"/>
                <w:sz w:val="22"/>
                <w:szCs w:val="22"/>
                <w:highlight w:val="none"/>
              </w:rPr>
            </w:pPr>
          </w:p>
        </w:tc>
        <w:tc>
          <w:tcPr>
            <w:tcW w:w="1954" w:type="dxa"/>
            <w:gridSpan w:val="4"/>
            <w:vAlign w:val="center"/>
          </w:tcPr>
          <w:p w14:paraId="78247F1A">
            <w:pPr>
              <w:spacing w:line="360" w:lineRule="auto"/>
              <w:jc w:val="center"/>
              <w:rPr>
                <w:rFonts w:ascii="宋体" w:hAnsi="宋体"/>
                <w:color w:val="000000"/>
                <w:sz w:val="22"/>
                <w:szCs w:val="22"/>
                <w:highlight w:val="none"/>
              </w:rPr>
            </w:pPr>
          </w:p>
        </w:tc>
        <w:tc>
          <w:tcPr>
            <w:tcW w:w="1638" w:type="dxa"/>
            <w:gridSpan w:val="2"/>
            <w:vAlign w:val="center"/>
          </w:tcPr>
          <w:p w14:paraId="5F57F7C3">
            <w:pPr>
              <w:spacing w:line="360" w:lineRule="auto"/>
              <w:jc w:val="center"/>
              <w:rPr>
                <w:rFonts w:ascii="宋体" w:hAnsi="宋体"/>
                <w:color w:val="000000"/>
                <w:sz w:val="22"/>
                <w:szCs w:val="22"/>
                <w:highlight w:val="none"/>
              </w:rPr>
            </w:pPr>
          </w:p>
        </w:tc>
      </w:tr>
      <w:tr w14:paraId="420D5F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71" w:type="dxa"/>
            <w:vAlign w:val="center"/>
          </w:tcPr>
          <w:p w14:paraId="0256CB8B">
            <w:pPr>
              <w:spacing w:line="360" w:lineRule="auto"/>
              <w:jc w:val="center"/>
              <w:rPr>
                <w:rFonts w:ascii="宋体" w:hAnsi="宋体"/>
                <w:color w:val="000000"/>
                <w:sz w:val="22"/>
                <w:szCs w:val="22"/>
                <w:highlight w:val="none"/>
              </w:rPr>
            </w:pPr>
            <w:r>
              <w:rPr>
                <w:rFonts w:hint="eastAsia" w:ascii="宋体" w:hAnsi="宋体"/>
                <w:color w:val="000000"/>
                <w:sz w:val="22"/>
                <w:szCs w:val="22"/>
                <w:highlight w:val="none"/>
              </w:rPr>
              <w:t>账号</w:t>
            </w:r>
          </w:p>
        </w:tc>
        <w:tc>
          <w:tcPr>
            <w:tcW w:w="2635" w:type="dxa"/>
            <w:gridSpan w:val="3"/>
            <w:vAlign w:val="center"/>
          </w:tcPr>
          <w:p w14:paraId="3D5034D8">
            <w:pPr>
              <w:spacing w:line="360" w:lineRule="auto"/>
              <w:jc w:val="center"/>
              <w:rPr>
                <w:rFonts w:ascii="宋体" w:hAnsi="宋体"/>
                <w:color w:val="000000"/>
                <w:sz w:val="22"/>
                <w:szCs w:val="22"/>
                <w:highlight w:val="none"/>
              </w:rPr>
            </w:pPr>
          </w:p>
        </w:tc>
        <w:tc>
          <w:tcPr>
            <w:tcW w:w="1012" w:type="dxa"/>
            <w:vMerge w:val="continue"/>
            <w:vAlign w:val="center"/>
          </w:tcPr>
          <w:p w14:paraId="6FDE18BC">
            <w:pPr>
              <w:spacing w:line="360" w:lineRule="auto"/>
              <w:jc w:val="center"/>
              <w:rPr>
                <w:rFonts w:ascii="宋体" w:hAnsi="宋体"/>
                <w:color w:val="000000"/>
                <w:sz w:val="22"/>
                <w:szCs w:val="22"/>
                <w:highlight w:val="none"/>
              </w:rPr>
            </w:pPr>
          </w:p>
        </w:tc>
        <w:tc>
          <w:tcPr>
            <w:tcW w:w="1954" w:type="dxa"/>
            <w:gridSpan w:val="4"/>
            <w:vAlign w:val="center"/>
          </w:tcPr>
          <w:p w14:paraId="6512AD6C">
            <w:pPr>
              <w:spacing w:line="360" w:lineRule="auto"/>
              <w:jc w:val="center"/>
              <w:rPr>
                <w:rFonts w:ascii="宋体" w:hAnsi="宋体"/>
                <w:color w:val="000000"/>
                <w:sz w:val="22"/>
                <w:szCs w:val="22"/>
                <w:highlight w:val="none"/>
              </w:rPr>
            </w:pPr>
          </w:p>
        </w:tc>
        <w:tc>
          <w:tcPr>
            <w:tcW w:w="1638" w:type="dxa"/>
            <w:gridSpan w:val="2"/>
            <w:vAlign w:val="center"/>
          </w:tcPr>
          <w:p w14:paraId="519BC5EA">
            <w:pPr>
              <w:spacing w:line="360" w:lineRule="auto"/>
              <w:jc w:val="center"/>
              <w:rPr>
                <w:rFonts w:ascii="宋体" w:hAnsi="宋体"/>
                <w:color w:val="000000"/>
                <w:sz w:val="22"/>
                <w:szCs w:val="22"/>
                <w:highlight w:val="none"/>
              </w:rPr>
            </w:pPr>
          </w:p>
        </w:tc>
      </w:tr>
      <w:tr w14:paraId="072723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6" w:hRule="atLeast"/>
          <w:jc w:val="center"/>
        </w:trPr>
        <w:tc>
          <w:tcPr>
            <w:tcW w:w="1771" w:type="dxa"/>
            <w:vAlign w:val="center"/>
          </w:tcPr>
          <w:p w14:paraId="3722ACDB">
            <w:pPr>
              <w:spacing w:line="360" w:lineRule="auto"/>
              <w:jc w:val="center"/>
              <w:rPr>
                <w:rFonts w:ascii="宋体" w:hAnsi="宋体"/>
                <w:color w:val="000000"/>
                <w:sz w:val="22"/>
                <w:szCs w:val="22"/>
                <w:highlight w:val="none"/>
              </w:rPr>
            </w:pPr>
            <w:r>
              <w:rPr>
                <w:rFonts w:hint="eastAsia" w:ascii="宋体" w:hAnsi="宋体"/>
                <w:color w:val="000000"/>
                <w:sz w:val="22"/>
                <w:szCs w:val="22"/>
                <w:highlight w:val="none"/>
              </w:rPr>
              <w:t>经营范围</w:t>
            </w:r>
          </w:p>
        </w:tc>
        <w:tc>
          <w:tcPr>
            <w:tcW w:w="7239" w:type="dxa"/>
            <w:gridSpan w:val="10"/>
            <w:vAlign w:val="center"/>
          </w:tcPr>
          <w:p w14:paraId="58F964A5">
            <w:pPr>
              <w:spacing w:line="360" w:lineRule="auto"/>
              <w:jc w:val="center"/>
              <w:rPr>
                <w:rFonts w:ascii="宋体" w:hAnsi="宋体"/>
                <w:color w:val="000000"/>
                <w:sz w:val="22"/>
                <w:szCs w:val="22"/>
                <w:highlight w:val="none"/>
              </w:rPr>
            </w:pPr>
          </w:p>
        </w:tc>
      </w:tr>
      <w:tr w14:paraId="496166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1" w:hRule="atLeast"/>
          <w:jc w:val="center"/>
        </w:trPr>
        <w:tc>
          <w:tcPr>
            <w:tcW w:w="1771" w:type="dxa"/>
            <w:vAlign w:val="center"/>
          </w:tcPr>
          <w:p w14:paraId="25427248">
            <w:pPr>
              <w:spacing w:line="360" w:lineRule="auto"/>
              <w:jc w:val="center"/>
              <w:rPr>
                <w:rFonts w:ascii="宋体" w:hAnsi="宋体"/>
                <w:color w:val="000000"/>
                <w:sz w:val="22"/>
                <w:szCs w:val="22"/>
                <w:highlight w:val="none"/>
              </w:rPr>
            </w:pPr>
            <w:r>
              <w:rPr>
                <w:rFonts w:hint="eastAsia" w:ascii="宋体" w:hAnsi="宋体"/>
                <w:color w:val="000000"/>
                <w:sz w:val="22"/>
                <w:szCs w:val="22"/>
                <w:highlight w:val="none"/>
              </w:rPr>
              <w:t>财务状况</w:t>
            </w:r>
          </w:p>
        </w:tc>
        <w:tc>
          <w:tcPr>
            <w:tcW w:w="7239" w:type="dxa"/>
            <w:gridSpan w:val="10"/>
            <w:vAlign w:val="center"/>
          </w:tcPr>
          <w:p w14:paraId="3FB2D9C7">
            <w:pPr>
              <w:spacing w:line="360" w:lineRule="exact"/>
              <w:ind w:firstLine="462" w:firstLineChars="210"/>
              <w:jc w:val="center"/>
              <w:rPr>
                <w:rFonts w:ascii="宋体" w:hAnsi="宋体"/>
                <w:color w:val="000000"/>
                <w:sz w:val="22"/>
                <w:szCs w:val="22"/>
                <w:highlight w:val="none"/>
              </w:rPr>
            </w:pPr>
          </w:p>
        </w:tc>
      </w:tr>
      <w:tr w14:paraId="15E15F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2" w:hRule="atLeast"/>
          <w:jc w:val="center"/>
        </w:trPr>
        <w:tc>
          <w:tcPr>
            <w:tcW w:w="1771" w:type="dxa"/>
            <w:vAlign w:val="center"/>
          </w:tcPr>
          <w:p w14:paraId="38D2A37F">
            <w:pPr>
              <w:spacing w:line="360" w:lineRule="auto"/>
              <w:jc w:val="center"/>
              <w:rPr>
                <w:rFonts w:ascii="宋体" w:hAnsi="宋体"/>
                <w:color w:val="000000"/>
                <w:sz w:val="22"/>
                <w:szCs w:val="22"/>
                <w:highlight w:val="none"/>
              </w:rPr>
            </w:pPr>
            <w:r>
              <w:rPr>
                <w:rFonts w:hint="eastAsia" w:ascii="宋体" w:hAnsi="宋体"/>
                <w:color w:val="000000"/>
                <w:sz w:val="22"/>
                <w:szCs w:val="22"/>
                <w:highlight w:val="none"/>
              </w:rPr>
              <w:t>备注</w:t>
            </w:r>
          </w:p>
        </w:tc>
        <w:tc>
          <w:tcPr>
            <w:tcW w:w="7239" w:type="dxa"/>
            <w:gridSpan w:val="10"/>
            <w:vAlign w:val="center"/>
          </w:tcPr>
          <w:p w14:paraId="4D647A16">
            <w:pPr>
              <w:spacing w:line="360" w:lineRule="auto"/>
              <w:jc w:val="center"/>
              <w:rPr>
                <w:rFonts w:ascii="宋体" w:hAnsi="宋体"/>
                <w:color w:val="000000"/>
                <w:sz w:val="22"/>
                <w:szCs w:val="22"/>
                <w:highlight w:val="none"/>
              </w:rPr>
            </w:pPr>
          </w:p>
        </w:tc>
      </w:tr>
    </w:tbl>
    <w:p w14:paraId="7561CF1D">
      <w:pPr>
        <w:snapToGrid w:val="0"/>
        <w:spacing w:before="156" w:beforeLines="50" w:after="50" w:line="360" w:lineRule="auto"/>
        <w:rPr>
          <w:rFonts w:ascii="宋体" w:hAnsi="宋体"/>
          <w:color w:val="000000"/>
          <w:sz w:val="28"/>
          <w:szCs w:val="28"/>
          <w:highlight w:val="none"/>
        </w:rPr>
      </w:pPr>
    </w:p>
    <w:p w14:paraId="6DD7EFAA">
      <w:pPr>
        <w:spacing w:line="360" w:lineRule="auto"/>
        <w:jc w:val="left"/>
        <w:rPr>
          <w:rFonts w:ascii="宋体" w:hAnsi="宋体"/>
          <w:color w:val="000000"/>
          <w:sz w:val="24"/>
          <w:szCs w:val="28"/>
          <w:highlight w:val="none"/>
        </w:rPr>
      </w:pPr>
      <w:r>
        <w:rPr>
          <w:rFonts w:hint="eastAsia" w:ascii="宋体" w:hAnsi="宋体"/>
          <w:color w:val="000000"/>
          <w:sz w:val="28"/>
          <w:szCs w:val="28"/>
          <w:highlight w:val="none"/>
        </w:rPr>
        <w:br w:type="page"/>
      </w:r>
      <w:r>
        <w:rPr>
          <w:rFonts w:hint="eastAsia" w:ascii="宋体" w:hAnsi="宋体"/>
          <w:color w:val="000000"/>
          <w:sz w:val="28"/>
          <w:szCs w:val="32"/>
          <w:highlight w:val="none"/>
        </w:rPr>
        <w:t>附件十三</w:t>
      </w:r>
    </w:p>
    <w:p w14:paraId="15E72CD3">
      <w:pPr>
        <w:snapToGrid w:val="0"/>
        <w:spacing w:before="156" w:beforeLines="50" w:after="50" w:line="360" w:lineRule="auto"/>
        <w:jc w:val="center"/>
        <w:outlineLvl w:val="3"/>
        <w:rPr>
          <w:rFonts w:ascii="宋体" w:hAnsi="宋体"/>
          <w:b/>
          <w:color w:val="000000"/>
          <w:sz w:val="28"/>
          <w:szCs w:val="28"/>
          <w:highlight w:val="none"/>
        </w:rPr>
      </w:pPr>
      <w:r>
        <w:rPr>
          <w:rFonts w:hint="eastAsia" w:ascii="宋体" w:hAnsi="宋体"/>
          <w:b/>
          <w:bCs/>
          <w:color w:val="000000"/>
          <w:sz w:val="28"/>
          <w:szCs w:val="32"/>
          <w:highlight w:val="none"/>
        </w:rPr>
        <w:t>投标人综合实力（格式自拟）</w:t>
      </w:r>
    </w:p>
    <w:p w14:paraId="0212D388">
      <w:pPr>
        <w:spacing w:line="360" w:lineRule="auto"/>
        <w:jc w:val="left"/>
        <w:rPr>
          <w:rFonts w:ascii="宋体" w:hAnsi="宋体"/>
          <w:color w:val="000000"/>
          <w:sz w:val="24"/>
          <w:szCs w:val="28"/>
          <w:highlight w:val="none"/>
        </w:rPr>
      </w:pPr>
      <w:r>
        <w:rPr>
          <w:rFonts w:ascii="宋体" w:hAnsi="宋体"/>
          <w:b/>
          <w:bCs/>
          <w:sz w:val="28"/>
          <w:szCs w:val="28"/>
          <w:highlight w:val="none"/>
        </w:rPr>
        <w:br w:type="page"/>
      </w:r>
      <w:r>
        <w:rPr>
          <w:rFonts w:hint="eastAsia" w:ascii="宋体" w:hAnsi="宋体"/>
          <w:color w:val="000000"/>
          <w:sz w:val="28"/>
          <w:szCs w:val="32"/>
          <w:highlight w:val="none"/>
        </w:rPr>
        <w:t>附件十四</w:t>
      </w:r>
    </w:p>
    <w:p w14:paraId="40507C00">
      <w:pPr>
        <w:snapToGrid w:val="0"/>
        <w:spacing w:before="156" w:beforeLines="50" w:after="50" w:line="360" w:lineRule="auto"/>
        <w:jc w:val="center"/>
        <w:outlineLvl w:val="3"/>
        <w:rPr>
          <w:rFonts w:ascii="宋体" w:hAnsi="宋体"/>
          <w:b/>
          <w:color w:val="000000"/>
          <w:sz w:val="28"/>
          <w:szCs w:val="28"/>
          <w:highlight w:val="none"/>
        </w:rPr>
      </w:pPr>
      <w:r>
        <w:rPr>
          <w:rFonts w:hint="eastAsia" w:ascii="宋体" w:hAnsi="宋体"/>
          <w:b/>
          <w:bCs/>
          <w:color w:val="000000"/>
          <w:sz w:val="28"/>
          <w:szCs w:val="32"/>
          <w:highlight w:val="none"/>
        </w:rPr>
        <w:t>技术方案（格式自拟）</w:t>
      </w:r>
    </w:p>
    <w:p w14:paraId="744CAAD1">
      <w:pPr>
        <w:spacing w:line="360" w:lineRule="auto"/>
        <w:jc w:val="left"/>
        <w:rPr>
          <w:rFonts w:ascii="宋体" w:hAnsi="宋体"/>
          <w:color w:val="000000"/>
          <w:sz w:val="24"/>
          <w:szCs w:val="28"/>
          <w:highlight w:val="none"/>
        </w:rPr>
      </w:pPr>
      <w:r>
        <w:rPr>
          <w:rFonts w:ascii="宋体" w:hAnsi="宋体"/>
          <w:b/>
          <w:bCs/>
          <w:sz w:val="28"/>
          <w:szCs w:val="28"/>
          <w:highlight w:val="none"/>
        </w:rPr>
        <w:br w:type="page"/>
      </w:r>
      <w:r>
        <w:rPr>
          <w:rFonts w:hint="eastAsia" w:ascii="宋体" w:hAnsi="宋体"/>
          <w:color w:val="000000"/>
          <w:sz w:val="28"/>
          <w:szCs w:val="32"/>
          <w:highlight w:val="none"/>
        </w:rPr>
        <w:t>附件十五</w:t>
      </w:r>
    </w:p>
    <w:p w14:paraId="116B2F98">
      <w:pPr>
        <w:snapToGrid w:val="0"/>
        <w:spacing w:before="156" w:beforeLines="50" w:after="50" w:line="360" w:lineRule="auto"/>
        <w:jc w:val="center"/>
        <w:outlineLvl w:val="3"/>
        <w:rPr>
          <w:rFonts w:ascii="宋体" w:hAnsi="宋体"/>
          <w:b/>
          <w:color w:val="000000"/>
          <w:sz w:val="28"/>
          <w:szCs w:val="28"/>
          <w:highlight w:val="none"/>
        </w:rPr>
      </w:pPr>
      <w:r>
        <w:rPr>
          <w:rFonts w:hint="eastAsia" w:ascii="宋体" w:hAnsi="宋体"/>
          <w:b/>
          <w:bCs/>
          <w:color w:val="000000"/>
          <w:sz w:val="28"/>
          <w:szCs w:val="32"/>
          <w:highlight w:val="none"/>
        </w:rPr>
        <w:t>施工安全专项方案（格式自拟）</w:t>
      </w:r>
    </w:p>
    <w:p w14:paraId="7F4470F8">
      <w:pPr>
        <w:spacing w:line="360" w:lineRule="auto"/>
        <w:jc w:val="left"/>
        <w:rPr>
          <w:rFonts w:ascii="宋体" w:hAnsi="宋体"/>
          <w:color w:val="000000"/>
          <w:sz w:val="24"/>
          <w:szCs w:val="28"/>
          <w:highlight w:val="none"/>
        </w:rPr>
      </w:pPr>
      <w:r>
        <w:rPr>
          <w:rFonts w:ascii="宋体" w:hAnsi="宋体"/>
          <w:b/>
          <w:bCs/>
          <w:sz w:val="28"/>
          <w:szCs w:val="28"/>
          <w:highlight w:val="none"/>
        </w:rPr>
        <w:br w:type="page"/>
      </w:r>
      <w:r>
        <w:rPr>
          <w:rFonts w:hint="eastAsia" w:ascii="宋体" w:hAnsi="宋体"/>
          <w:color w:val="000000"/>
          <w:sz w:val="28"/>
          <w:szCs w:val="32"/>
          <w:highlight w:val="none"/>
        </w:rPr>
        <w:t>附件十六</w:t>
      </w:r>
    </w:p>
    <w:p w14:paraId="5A00B50D">
      <w:pPr>
        <w:tabs>
          <w:tab w:val="left" w:pos="482"/>
          <w:tab w:val="left" w:pos="2183"/>
          <w:tab w:val="left" w:pos="3884"/>
          <w:tab w:val="left" w:pos="5585"/>
        </w:tabs>
        <w:autoSpaceDE w:val="0"/>
        <w:autoSpaceDN w:val="0"/>
        <w:jc w:val="center"/>
        <w:outlineLvl w:val="3"/>
        <w:rPr>
          <w:rFonts w:ascii="宋体" w:hAnsi="宋体"/>
          <w:b/>
          <w:bCs/>
          <w:color w:val="000000"/>
          <w:sz w:val="28"/>
          <w:szCs w:val="32"/>
          <w:highlight w:val="none"/>
        </w:rPr>
      </w:pPr>
      <w:r>
        <w:rPr>
          <w:rFonts w:hint="eastAsia" w:cs="宋体"/>
          <w:b/>
          <w:bCs/>
          <w:sz w:val="28"/>
          <w:szCs w:val="28"/>
          <w:highlight w:val="none"/>
        </w:rPr>
        <w:t>项目负责人业绩</w:t>
      </w:r>
      <w:r>
        <w:rPr>
          <w:rFonts w:hint="eastAsia" w:ascii="宋体" w:hAnsi="宋体"/>
          <w:b/>
          <w:bCs/>
          <w:color w:val="000000"/>
          <w:sz w:val="28"/>
          <w:szCs w:val="32"/>
          <w:highlight w:val="none"/>
        </w:rPr>
        <w:t>（格式自拟）</w:t>
      </w:r>
    </w:p>
    <w:p w14:paraId="21AA2132">
      <w:pPr>
        <w:tabs>
          <w:tab w:val="left" w:pos="482"/>
          <w:tab w:val="left" w:pos="2183"/>
          <w:tab w:val="left" w:pos="3884"/>
          <w:tab w:val="left" w:pos="5585"/>
        </w:tabs>
        <w:autoSpaceDE w:val="0"/>
        <w:autoSpaceDN w:val="0"/>
        <w:jc w:val="center"/>
        <w:outlineLvl w:val="3"/>
        <w:rPr>
          <w:rFonts w:cs="宋体"/>
          <w:sz w:val="36"/>
          <w:szCs w:val="36"/>
          <w:highlight w:val="none"/>
        </w:rPr>
      </w:pPr>
      <w:r>
        <w:rPr>
          <w:rFonts w:hint="eastAsia" w:ascii="宋体" w:hAnsi="宋体"/>
          <w:b/>
          <w:bCs/>
          <w:color w:val="000000"/>
          <w:sz w:val="28"/>
          <w:szCs w:val="32"/>
          <w:highlight w:val="none"/>
        </w:rPr>
        <w:t>（需提供门座式起重机回转支承更换或维修业绩证明）</w:t>
      </w:r>
    </w:p>
    <w:p w14:paraId="725BAE07">
      <w:pPr>
        <w:pStyle w:val="12"/>
        <w:spacing w:after="0" w:line="440" w:lineRule="exact"/>
        <w:ind w:firstLine="220"/>
        <w:rPr>
          <w:rFonts w:ascii="宋体" w:hAnsi="宋体" w:cs="宋体"/>
          <w:sz w:val="22"/>
          <w:szCs w:val="22"/>
          <w:highlight w:val="none"/>
        </w:rPr>
      </w:pPr>
    </w:p>
    <w:p w14:paraId="48B61F3E">
      <w:pPr>
        <w:jc w:val="left"/>
        <w:rPr>
          <w:rFonts w:ascii="宋体" w:hAnsi="宋体"/>
          <w:color w:val="000000"/>
          <w:sz w:val="24"/>
          <w:szCs w:val="28"/>
          <w:highlight w:val="none"/>
        </w:rPr>
      </w:pPr>
      <w:r>
        <w:rPr>
          <w:rFonts w:hint="eastAsia" w:ascii="宋体" w:hAnsi="宋体"/>
          <w:color w:val="000000"/>
          <w:sz w:val="24"/>
          <w:szCs w:val="28"/>
          <w:highlight w:val="none"/>
        </w:rPr>
        <w:br w:type="page"/>
      </w:r>
    </w:p>
    <w:p w14:paraId="1A7EA7AB">
      <w:pPr>
        <w:spacing w:line="360" w:lineRule="auto"/>
        <w:jc w:val="left"/>
        <w:rPr>
          <w:rFonts w:ascii="宋体" w:hAnsi="宋体"/>
          <w:color w:val="000000"/>
          <w:sz w:val="24"/>
          <w:szCs w:val="28"/>
          <w:highlight w:val="none"/>
        </w:rPr>
      </w:pPr>
      <w:r>
        <w:rPr>
          <w:rFonts w:hint="eastAsia" w:ascii="宋体" w:hAnsi="宋体"/>
          <w:color w:val="000000"/>
          <w:sz w:val="28"/>
          <w:szCs w:val="32"/>
          <w:highlight w:val="none"/>
        </w:rPr>
        <w:t>附件十七</w:t>
      </w:r>
    </w:p>
    <w:p w14:paraId="62D8325C">
      <w:pPr>
        <w:snapToGrid w:val="0"/>
        <w:spacing w:before="156" w:beforeLines="50" w:after="50" w:line="360" w:lineRule="auto"/>
        <w:jc w:val="center"/>
        <w:outlineLvl w:val="3"/>
        <w:rPr>
          <w:rFonts w:ascii="宋体" w:hAnsi="宋体"/>
          <w:b/>
          <w:bCs/>
          <w:color w:val="000000"/>
          <w:sz w:val="28"/>
          <w:szCs w:val="32"/>
          <w:highlight w:val="none"/>
        </w:rPr>
      </w:pPr>
      <w:r>
        <w:rPr>
          <w:rFonts w:hint="eastAsia" w:ascii="宋体" w:hAnsi="宋体"/>
          <w:b/>
          <w:bCs/>
          <w:color w:val="000000"/>
          <w:sz w:val="28"/>
          <w:szCs w:val="32"/>
          <w:highlight w:val="none"/>
        </w:rPr>
        <w:t>招标需求中要求提供的其他资料（格式自拟）</w:t>
      </w:r>
    </w:p>
    <w:p w14:paraId="224BF024">
      <w:pPr>
        <w:adjustRightInd w:val="0"/>
        <w:spacing w:line="440" w:lineRule="exact"/>
        <w:ind w:firstLine="440" w:firstLineChars="200"/>
        <w:jc w:val="left"/>
        <w:rPr>
          <w:rFonts w:ascii="宋体" w:hAnsi="宋体" w:cs="宋体"/>
          <w:sz w:val="22"/>
          <w:szCs w:val="22"/>
          <w:highlight w:val="none"/>
        </w:rPr>
      </w:pPr>
      <w:r>
        <w:rPr>
          <w:rFonts w:hint="eastAsia" w:ascii="宋体" w:hAnsi="宋体" w:cs="宋体"/>
          <w:sz w:val="22"/>
          <w:szCs w:val="22"/>
          <w:highlight w:val="none"/>
        </w:rPr>
        <w:t>（1）35吨门机回转支承总图；</w:t>
      </w:r>
    </w:p>
    <w:p w14:paraId="342DEF6B">
      <w:pPr>
        <w:adjustRightInd w:val="0"/>
        <w:spacing w:line="440" w:lineRule="exact"/>
        <w:ind w:firstLine="440" w:firstLineChars="200"/>
        <w:jc w:val="left"/>
        <w:rPr>
          <w:rFonts w:ascii="宋体" w:hAnsi="宋体" w:cs="宋体"/>
          <w:sz w:val="22"/>
          <w:szCs w:val="22"/>
          <w:highlight w:val="none"/>
        </w:rPr>
      </w:pPr>
      <w:r>
        <w:rPr>
          <w:rFonts w:hint="eastAsia" w:ascii="宋体" w:hAnsi="宋体" w:cs="宋体"/>
          <w:sz w:val="22"/>
          <w:szCs w:val="22"/>
          <w:highlight w:val="none"/>
        </w:rPr>
        <w:t>（2）施工进度计划时间表（35吨门机回转支承更换与16吨门机臂架头部铰点维修分别列明）；</w:t>
      </w:r>
    </w:p>
    <w:p w14:paraId="0029825E">
      <w:pPr>
        <w:adjustRightInd w:val="0"/>
        <w:spacing w:line="440" w:lineRule="exact"/>
        <w:ind w:firstLine="440" w:firstLineChars="200"/>
        <w:jc w:val="left"/>
        <w:rPr>
          <w:rFonts w:ascii="宋体" w:hAnsi="宋体" w:cs="宋体"/>
          <w:sz w:val="22"/>
          <w:szCs w:val="22"/>
          <w:highlight w:val="none"/>
        </w:rPr>
      </w:pPr>
      <w:r>
        <w:rPr>
          <w:rFonts w:hint="eastAsia" w:ascii="宋体" w:hAnsi="宋体" w:cs="宋体"/>
          <w:sz w:val="22"/>
          <w:szCs w:val="22"/>
          <w:highlight w:val="none"/>
        </w:rPr>
        <w:t>（3）专项施工方案（初稿）（35吨门机回转支承更换与16吨门机臂架头部铰点维修分别编制）；</w:t>
      </w:r>
    </w:p>
    <w:p w14:paraId="2D500AF8">
      <w:pPr>
        <w:adjustRightInd w:val="0"/>
        <w:spacing w:line="440" w:lineRule="exact"/>
        <w:ind w:firstLine="440" w:firstLineChars="200"/>
        <w:jc w:val="left"/>
        <w:rPr>
          <w:rFonts w:ascii="宋体" w:hAnsi="宋体" w:cs="宋体"/>
          <w:sz w:val="22"/>
          <w:szCs w:val="22"/>
          <w:highlight w:val="none"/>
        </w:rPr>
      </w:pPr>
      <w:r>
        <w:rPr>
          <w:rFonts w:hint="eastAsia" w:ascii="宋体" w:hAnsi="宋体" w:cs="宋体"/>
          <w:sz w:val="22"/>
          <w:szCs w:val="22"/>
          <w:highlight w:val="none"/>
        </w:rPr>
        <w:t>（4）试车方案；</w:t>
      </w:r>
    </w:p>
    <w:p w14:paraId="209D3A4C">
      <w:pPr>
        <w:adjustRightInd w:val="0"/>
        <w:spacing w:line="440" w:lineRule="exact"/>
        <w:ind w:firstLine="440" w:firstLineChars="200"/>
        <w:jc w:val="left"/>
        <w:rPr>
          <w:rFonts w:ascii="宋体" w:hAnsi="宋体" w:cs="宋体"/>
          <w:sz w:val="22"/>
          <w:szCs w:val="22"/>
          <w:highlight w:val="none"/>
        </w:rPr>
      </w:pPr>
      <w:r>
        <w:rPr>
          <w:rFonts w:hint="eastAsia" w:ascii="宋体" w:hAnsi="宋体" w:cs="宋体"/>
          <w:sz w:val="22"/>
          <w:szCs w:val="22"/>
          <w:highlight w:val="none"/>
        </w:rPr>
        <w:t>（5）危大工程辨识及专家论证计划；</w:t>
      </w:r>
    </w:p>
    <w:p w14:paraId="2A6A9B2F">
      <w:pPr>
        <w:adjustRightInd w:val="0"/>
        <w:spacing w:line="440" w:lineRule="exact"/>
        <w:ind w:firstLine="440" w:firstLineChars="200"/>
        <w:jc w:val="left"/>
        <w:rPr>
          <w:rFonts w:ascii="宋体" w:hAnsi="宋体" w:cs="宋体"/>
          <w:sz w:val="22"/>
          <w:szCs w:val="22"/>
          <w:highlight w:val="none"/>
        </w:rPr>
      </w:pPr>
      <w:r>
        <w:rPr>
          <w:rFonts w:hint="eastAsia" w:ascii="宋体" w:hAnsi="宋体" w:cs="宋体"/>
          <w:sz w:val="22"/>
          <w:szCs w:val="22"/>
          <w:highlight w:val="none"/>
        </w:rPr>
        <w:t>（6）其他与设备有关需要审查确定的内容。</w:t>
      </w:r>
    </w:p>
    <w:p w14:paraId="302AB0A7">
      <w:pPr>
        <w:spacing w:line="360" w:lineRule="auto"/>
        <w:jc w:val="left"/>
        <w:rPr>
          <w:rFonts w:ascii="宋体" w:hAnsi="宋体"/>
          <w:color w:val="000000"/>
          <w:sz w:val="24"/>
          <w:szCs w:val="28"/>
          <w:highlight w:val="none"/>
        </w:rPr>
      </w:pPr>
      <w:r>
        <w:rPr>
          <w:rFonts w:ascii="宋体" w:hAnsi="宋体"/>
          <w:b/>
          <w:bCs/>
          <w:sz w:val="28"/>
          <w:szCs w:val="28"/>
          <w:highlight w:val="none"/>
        </w:rPr>
        <w:br w:type="page"/>
      </w:r>
      <w:r>
        <w:rPr>
          <w:rFonts w:hint="eastAsia" w:ascii="宋体" w:hAnsi="宋体"/>
          <w:color w:val="000000"/>
          <w:sz w:val="28"/>
          <w:szCs w:val="32"/>
          <w:highlight w:val="none"/>
        </w:rPr>
        <w:t>附件十八</w:t>
      </w:r>
    </w:p>
    <w:p w14:paraId="0FE4C18A">
      <w:pPr>
        <w:snapToGrid w:val="0"/>
        <w:spacing w:before="156" w:beforeLines="50" w:after="50" w:line="360" w:lineRule="auto"/>
        <w:jc w:val="center"/>
        <w:outlineLvl w:val="3"/>
        <w:rPr>
          <w:rFonts w:ascii="宋体" w:hAnsi="宋体"/>
          <w:b/>
          <w:bCs/>
          <w:color w:val="000000"/>
          <w:sz w:val="28"/>
          <w:szCs w:val="32"/>
          <w:highlight w:val="none"/>
        </w:rPr>
      </w:pPr>
      <w:r>
        <w:rPr>
          <w:rFonts w:hint="eastAsia" w:ascii="宋体" w:hAnsi="宋体"/>
          <w:b/>
          <w:bCs/>
          <w:color w:val="000000"/>
          <w:sz w:val="28"/>
          <w:szCs w:val="32"/>
          <w:highlight w:val="none"/>
        </w:rPr>
        <w:t>关键部件响应</w:t>
      </w:r>
    </w:p>
    <w:p w14:paraId="540F03D3">
      <w:pPr>
        <w:adjustRightInd w:val="0"/>
        <w:spacing w:line="440" w:lineRule="exact"/>
        <w:ind w:firstLine="440" w:firstLineChars="200"/>
        <w:jc w:val="left"/>
        <w:rPr>
          <w:rFonts w:ascii="宋体" w:hAnsi="宋体" w:cs="宋体"/>
          <w:sz w:val="22"/>
          <w:szCs w:val="22"/>
          <w:highlight w:val="none"/>
        </w:rPr>
      </w:pPr>
    </w:p>
    <w:tbl>
      <w:tblPr>
        <w:tblStyle w:val="31"/>
        <w:tblW w:w="506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1"/>
        <w:gridCol w:w="1451"/>
        <w:gridCol w:w="1649"/>
        <w:gridCol w:w="671"/>
        <w:gridCol w:w="2790"/>
        <w:gridCol w:w="1722"/>
      </w:tblGrid>
      <w:tr w14:paraId="1A4402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4" w:hRule="atLeast"/>
          <w:jc w:val="center"/>
        </w:trPr>
        <w:tc>
          <w:tcPr>
            <w:tcW w:w="601" w:type="pct"/>
            <w:vAlign w:val="center"/>
          </w:tcPr>
          <w:p w14:paraId="15FF28A8">
            <w:pPr>
              <w:tabs>
                <w:tab w:val="left" w:pos="386"/>
              </w:tabs>
              <w:spacing w:line="440" w:lineRule="exact"/>
              <w:jc w:val="center"/>
              <w:rPr>
                <w:rFonts w:ascii="宋体" w:hAnsi="宋体" w:cs="宋体"/>
                <w:kern w:val="0"/>
                <w:sz w:val="22"/>
                <w:szCs w:val="22"/>
                <w:highlight w:val="none"/>
              </w:rPr>
            </w:pPr>
            <w:r>
              <w:rPr>
                <w:rFonts w:hint="eastAsia" w:ascii="宋体" w:hAnsi="宋体" w:cs="宋体"/>
                <w:kern w:val="0"/>
                <w:sz w:val="22"/>
                <w:szCs w:val="22"/>
                <w:highlight w:val="none"/>
              </w:rPr>
              <w:t>设备名称</w:t>
            </w:r>
          </w:p>
        </w:tc>
        <w:tc>
          <w:tcPr>
            <w:tcW w:w="770" w:type="pct"/>
            <w:vAlign w:val="center"/>
          </w:tcPr>
          <w:p w14:paraId="7629D649">
            <w:pPr>
              <w:tabs>
                <w:tab w:val="left" w:pos="386"/>
              </w:tabs>
              <w:spacing w:line="440" w:lineRule="exact"/>
              <w:jc w:val="center"/>
              <w:rPr>
                <w:rFonts w:ascii="宋体" w:hAnsi="宋体" w:cs="宋体"/>
                <w:kern w:val="0"/>
                <w:sz w:val="22"/>
                <w:szCs w:val="22"/>
                <w:highlight w:val="none"/>
              </w:rPr>
            </w:pPr>
            <w:r>
              <w:rPr>
                <w:rFonts w:hint="eastAsia" w:ascii="宋体" w:hAnsi="宋体" w:cs="宋体"/>
                <w:kern w:val="0"/>
                <w:sz w:val="22"/>
                <w:szCs w:val="22"/>
                <w:highlight w:val="none"/>
              </w:rPr>
              <w:t>部件名称</w:t>
            </w:r>
          </w:p>
        </w:tc>
        <w:tc>
          <w:tcPr>
            <w:tcW w:w="875" w:type="pct"/>
            <w:vAlign w:val="center"/>
          </w:tcPr>
          <w:p w14:paraId="4FD889E1">
            <w:pPr>
              <w:tabs>
                <w:tab w:val="left" w:pos="386"/>
              </w:tabs>
              <w:spacing w:line="440" w:lineRule="exact"/>
              <w:jc w:val="center"/>
              <w:rPr>
                <w:rFonts w:ascii="宋体" w:hAnsi="宋体" w:cs="宋体"/>
                <w:kern w:val="0"/>
                <w:sz w:val="22"/>
                <w:szCs w:val="22"/>
                <w:highlight w:val="none"/>
              </w:rPr>
            </w:pPr>
            <w:r>
              <w:rPr>
                <w:rFonts w:hint="eastAsia" w:ascii="宋体" w:hAnsi="宋体" w:cs="宋体"/>
                <w:kern w:val="0"/>
                <w:sz w:val="22"/>
                <w:szCs w:val="22"/>
                <w:highlight w:val="none"/>
              </w:rPr>
              <w:t>现有规格型号</w:t>
            </w:r>
          </w:p>
        </w:tc>
        <w:tc>
          <w:tcPr>
            <w:tcW w:w="356" w:type="pct"/>
            <w:vAlign w:val="center"/>
          </w:tcPr>
          <w:p w14:paraId="2AAE357F">
            <w:pPr>
              <w:tabs>
                <w:tab w:val="left" w:pos="386"/>
              </w:tabs>
              <w:spacing w:line="440" w:lineRule="exact"/>
              <w:jc w:val="center"/>
              <w:rPr>
                <w:rFonts w:ascii="宋体" w:hAnsi="宋体" w:cs="宋体"/>
                <w:kern w:val="0"/>
                <w:sz w:val="22"/>
                <w:szCs w:val="22"/>
                <w:highlight w:val="none"/>
              </w:rPr>
            </w:pPr>
            <w:r>
              <w:rPr>
                <w:rFonts w:hint="eastAsia" w:ascii="宋体" w:hAnsi="宋体" w:cs="宋体"/>
                <w:kern w:val="0"/>
                <w:sz w:val="22"/>
                <w:szCs w:val="22"/>
                <w:highlight w:val="none"/>
              </w:rPr>
              <w:t>数量</w:t>
            </w:r>
          </w:p>
        </w:tc>
        <w:tc>
          <w:tcPr>
            <w:tcW w:w="1481" w:type="pct"/>
            <w:vAlign w:val="center"/>
          </w:tcPr>
          <w:p w14:paraId="787DC70E">
            <w:pPr>
              <w:tabs>
                <w:tab w:val="left" w:pos="386"/>
              </w:tabs>
              <w:spacing w:line="440" w:lineRule="exact"/>
              <w:jc w:val="center"/>
              <w:rPr>
                <w:rFonts w:ascii="宋体" w:hAnsi="宋体" w:cs="宋体"/>
                <w:kern w:val="0"/>
                <w:sz w:val="22"/>
                <w:szCs w:val="22"/>
                <w:highlight w:val="none"/>
              </w:rPr>
            </w:pPr>
            <w:r>
              <w:rPr>
                <w:rFonts w:hint="eastAsia" w:ascii="宋体" w:hAnsi="宋体" w:cs="宋体"/>
                <w:kern w:val="0"/>
                <w:sz w:val="22"/>
                <w:szCs w:val="22"/>
                <w:highlight w:val="none"/>
              </w:rPr>
              <w:t>推荐品牌</w:t>
            </w:r>
          </w:p>
        </w:tc>
        <w:tc>
          <w:tcPr>
            <w:tcW w:w="914" w:type="pct"/>
            <w:vAlign w:val="center"/>
          </w:tcPr>
          <w:p w14:paraId="5BDD053E">
            <w:pPr>
              <w:tabs>
                <w:tab w:val="left" w:pos="386"/>
              </w:tabs>
              <w:spacing w:line="440" w:lineRule="exact"/>
              <w:jc w:val="center"/>
              <w:rPr>
                <w:rFonts w:ascii="宋体" w:hAnsi="宋体" w:cs="宋体"/>
                <w:kern w:val="0"/>
                <w:sz w:val="22"/>
                <w:szCs w:val="22"/>
                <w:highlight w:val="none"/>
              </w:rPr>
            </w:pPr>
            <w:r>
              <w:rPr>
                <w:rFonts w:hint="eastAsia" w:ascii="宋体" w:hAnsi="宋体" w:cs="宋体"/>
                <w:sz w:val="22"/>
                <w:szCs w:val="22"/>
                <w:highlight w:val="none"/>
              </w:rPr>
              <w:t>响应品牌</w:t>
            </w:r>
          </w:p>
        </w:tc>
      </w:tr>
      <w:tr w14:paraId="301CDE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39" w:hRule="atLeast"/>
          <w:jc w:val="center"/>
        </w:trPr>
        <w:tc>
          <w:tcPr>
            <w:tcW w:w="601" w:type="pct"/>
            <w:vMerge w:val="restart"/>
            <w:vAlign w:val="center"/>
          </w:tcPr>
          <w:p w14:paraId="1EC7C16A">
            <w:pPr>
              <w:tabs>
                <w:tab w:val="left" w:pos="386"/>
              </w:tabs>
              <w:spacing w:line="440" w:lineRule="exact"/>
              <w:jc w:val="center"/>
              <w:rPr>
                <w:rFonts w:ascii="宋体" w:hAnsi="宋体" w:cs="宋体"/>
                <w:kern w:val="0"/>
                <w:sz w:val="22"/>
                <w:szCs w:val="22"/>
                <w:highlight w:val="none"/>
              </w:rPr>
            </w:pPr>
            <w:r>
              <w:rPr>
                <w:rFonts w:ascii="宋体" w:hAnsi="宋体" w:cs="宋体"/>
                <w:kern w:val="0"/>
                <w:sz w:val="22"/>
                <w:szCs w:val="22"/>
                <w:highlight w:val="none"/>
              </w:rPr>
              <w:t>35</w:t>
            </w:r>
            <w:r>
              <w:rPr>
                <w:rFonts w:hint="eastAsia" w:ascii="宋体" w:hAnsi="宋体" w:cs="宋体"/>
                <w:kern w:val="0"/>
                <w:sz w:val="22"/>
                <w:szCs w:val="22"/>
                <w:highlight w:val="none"/>
              </w:rPr>
              <w:t>吨门机</w:t>
            </w:r>
          </w:p>
        </w:tc>
        <w:tc>
          <w:tcPr>
            <w:tcW w:w="770" w:type="pct"/>
            <w:vAlign w:val="center"/>
          </w:tcPr>
          <w:p w14:paraId="59048503">
            <w:pPr>
              <w:tabs>
                <w:tab w:val="left" w:pos="386"/>
              </w:tabs>
              <w:spacing w:line="440" w:lineRule="exact"/>
              <w:jc w:val="center"/>
              <w:rPr>
                <w:rFonts w:ascii="宋体" w:hAnsi="宋体" w:cs="宋体"/>
                <w:kern w:val="0"/>
                <w:sz w:val="22"/>
                <w:szCs w:val="22"/>
                <w:highlight w:val="none"/>
              </w:rPr>
            </w:pPr>
            <w:r>
              <w:rPr>
                <w:rFonts w:hint="eastAsia" w:ascii="宋体" w:hAnsi="宋体" w:cs="宋体"/>
                <w:kern w:val="0"/>
                <w:sz w:val="22"/>
                <w:szCs w:val="22"/>
                <w:highlight w:val="none"/>
              </w:rPr>
              <w:t>回转支承</w:t>
            </w:r>
          </w:p>
        </w:tc>
        <w:tc>
          <w:tcPr>
            <w:tcW w:w="875" w:type="pct"/>
            <w:vAlign w:val="center"/>
          </w:tcPr>
          <w:p w14:paraId="4479519C">
            <w:pPr>
              <w:tabs>
                <w:tab w:val="left" w:pos="386"/>
              </w:tabs>
              <w:spacing w:line="440" w:lineRule="exact"/>
              <w:jc w:val="center"/>
              <w:rPr>
                <w:rFonts w:ascii="宋体" w:hAnsi="宋体" w:cs="宋体"/>
                <w:kern w:val="0"/>
                <w:sz w:val="22"/>
                <w:szCs w:val="22"/>
                <w:highlight w:val="none"/>
              </w:rPr>
            </w:pPr>
            <w:r>
              <w:rPr>
                <w:rFonts w:ascii="宋体" w:hAnsi="宋体" w:cs="宋体"/>
                <w:kern w:val="0"/>
                <w:sz w:val="22"/>
                <w:szCs w:val="22"/>
                <w:highlight w:val="none"/>
              </w:rPr>
              <w:t>022.60.3150</w:t>
            </w:r>
          </w:p>
        </w:tc>
        <w:tc>
          <w:tcPr>
            <w:tcW w:w="356" w:type="pct"/>
            <w:vAlign w:val="center"/>
          </w:tcPr>
          <w:p w14:paraId="04A93FC8">
            <w:pPr>
              <w:tabs>
                <w:tab w:val="left" w:pos="386"/>
              </w:tabs>
              <w:spacing w:line="440" w:lineRule="exact"/>
              <w:jc w:val="center"/>
              <w:rPr>
                <w:rFonts w:ascii="宋体" w:hAnsi="宋体" w:cs="宋体"/>
                <w:kern w:val="0"/>
                <w:sz w:val="22"/>
                <w:szCs w:val="22"/>
                <w:highlight w:val="none"/>
              </w:rPr>
            </w:pPr>
            <w:r>
              <w:rPr>
                <w:rFonts w:hint="eastAsia" w:ascii="宋体" w:hAnsi="宋体" w:cs="宋体"/>
                <w:kern w:val="0"/>
                <w:sz w:val="22"/>
                <w:szCs w:val="22"/>
                <w:highlight w:val="none"/>
              </w:rPr>
              <w:t>1台</w:t>
            </w:r>
          </w:p>
        </w:tc>
        <w:tc>
          <w:tcPr>
            <w:tcW w:w="1481" w:type="pct"/>
            <w:vAlign w:val="center"/>
          </w:tcPr>
          <w:p w14:paraId="091AFCDE">
            <w:pPr>
              <w:tabs>
                <w:tab w:val="left" w:pos="386"/>
              </w:tabs>
              <w:spacing w:line="440" w:lineRule="exact"/>
              <w:rPr>
                <w:rFonts w:ascii="宋体" w:hAnsi="宋体" w:cs="宋体"/>
                <w:kern w:val="0"/>
                <w:sz w:val="22"/>
                <w:szCs w:val="22"/>
                <w:highlight w:val="none"/>
              </w:rPr>
            </w:pPr>
            <w:r>
              <w:rPr>
                <w:rFonts w:hint="eastAsia" w:ascii="宋体" w:hAnsi="宋体" w:cs="宋体"/>
                <w:kern w:val="0"/>
                <w:sz w:val="22"/>
                <w:szCs w:val="22"/>
                <w:highlight w:val="none"/>
              </w:rPr>
              <w:t>罗特艾德轴承、洛阳轴承、嘉维轴承或相当于同等档次的其他品牌轴承</w:t>
            </w:r>
          </w:p>
        </w:tc>
        <w:tc>
          <w:tcPr>
            <w:tcW w:w="914" w:type="pct"/>
            <w:vAlign w:val="center"/>
          </w:tcPr>
          <w:p w14:paraId="311DD985">
            <w:pPr>
              <w:tabs>
                <w:tab w:val="left" w:pos="386"/>
              </w:tabs>
              <w:spacing w:line="440" w:lineRule="exact"/>
              <w:rPr>
                <w:rFonts w:ascii="宋体" w:hAnsi="宋体" w:cs="宋体"/>
                <w:kern w:val="0"/>
                <w:sz w:val="22"/>
                <w:szCs w:val="22"/>
                <w:highlight w:val="none"/>
              </w:rPr>
            </w:pPr>
          </w:p>
        </w:tc>
      </w:tr>
      <w:tr w14:paraId="4D0AB3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7" w:hRule="atLeast"/>
          <w:jc w:val="center"/>
        </w:trPr>
        <w:tc>
          <w:tcPr>
            <w:tcW w:w="601" w:type="pct"/>
            <w:vMerge w:val="continue"/>
            <w:vAlign w:val="center"/>
          </w:tcPr>
          <w:p w14:paraId="032442CA">
            <w:pPr>
              <w:tabs>
                <w:tab w:val="left" w:pos="386"/>
              </w:tabs>
              <w:spacing w:line="440" w:lineRule="exact"/>
              <w:jc w:val="center"/>
              <w:rPr>
                <w:rFonts w:ascii="宋体" w:hAnsi="宋体" w:cs="宋体"/>
                <w:kern w:val="0"/>
                <w:sz w:val="22"/>
                <w:szCs w:val="22"/>
                <w:highlight w:val="none"/>
              </w:rPr>
            </w:pPr>
          </w:p>
        </w:tc>
        <w:tc>
          <w:tcPr>
            <w:tcW w:w="770" w:type="pct"/>
            <w:vAlign w:val="center"/>
          </w:tcPr>
          <w:p w14:paraId="6CFCD9C5">
            <w:pPr>
              <w:tabs>
                <w:tab w:val="left" w:pos="386"/>
              </w:tabs>
              <w:spacing w:line="440" w:lineRule="exact"/>
              <w:jc w:val="center"/>
              <w:rPr>
                <w:rFonts w:ascii="宋体" w:hAnsi="宋体" w:cs="宋体"/>
                <w:kern w:val="0"/>
                <w:sz w:val="22"/>
                <w:szCs w:val="22"/>
                <w:highlight w:val="none"/>
              </w:rPr>
            </w:pPr>
            <w:r>
              <w:rPr>
                <w:rFonts w:hint="eastAsia" w:ascii="宋体" w:hAnsi="宋体" w:cs="宋体"/>
                <w:kern w:val="0"/>
                <w:sz w:val="22"/>
                <w:szCs w:val="22"/>
                <w:highlight w:val="none"/>
              </w:rPr>
              <w:t>回转支承安装螺栓、螺母、垫片</w:t>
            </w:r>
          </w:p>
        </w:tc>
        <w:tc>
          <w:tcPr>
            <w:tcW w:w="875" w:type="pct"/>
            <w:vAlign w:val="center"/>
          </w:tcPr>
          <w:p w14:paraId="5C76EFA5">
            <w:pPr>
              <w:tabs>
                <w:tab w:val="left" w:pos="386"/>
              </w:tabs>
              <w:spacing w:line="440" w:lineRule="exact"/>
              <w:jc w:val="center"/>
              <w:rPr>
                <w:rFonts w:ascii="宋体" w:hAnsi="宋体" w:cs="宋体"/>
                <w:kern w:val="0"/>
                <w:sz w:val="22"/>
                <w:szCs w:val="22"/>
                <w:highlight w:val="none"/>
              </w:rPr>
            </w:pPr>
            <w:r>
              <w:rPr>
                <w:rFonts w:hint="eastAsia" w:ascii="宋体" w:hAnsi="宋体" w:cs="宋体"/>
                <w:kern w:val="0"/>
                <w:sz w:val="22"/>
                <w:szCs w:val="22"/>
                <w:highlight w:val="none"/>
              </w:rPr>
              <w:t>M</w:t>
            </w:r>
            <w:r>
              <w:rPr>
                <w:rFonts w:ascii="宋体" w:hAnsi="宋体" w:cs="宋体"/>
                <w:kern w:val="0"/>
                <w:sz w:val="22"/>
                <w:szCs w:val="22"/>
                <w:highlight w:val="none"/>
              </w:rPr>
              <w:t>42</w:t>
            </w:r>
            <w:r>
              <w:rPr>
                <w:rFonts w:hint="eastAsia" w:ascii="宋体" w:hAnsi="宋体" w:cs="宋体"/>
                <w:kern w:val="0"/>
                <w:sz w:val="22"/>
                <w:szCs w:val="22"/>
                <w:highlight w:val="none"/>
              </w:rPr>
              <w:t>*3</w:t>
            </w:r>
            <w:r>
              <w:rPr>
                <w:rFonts w:ascii="宋体" w:hAnsi="宋体" w:cs="宋体"/>
                <w:kern w:val="0"/>
                <w:sz w:val="22"/>
                <w:szCs w:val="22"/>
                <w:highlight w:val="none"/>
              </w:rPr>
              <w:t>5</w:t>
            </w:r>
            <w:r>
              <w:rPr>
                <w:rFonts w:hint="eastAsia" w:ascii="宋体" w:hAnsi="宋体" w:cs="宋体"/>
                <w:kern w:val="0"/>
                <w:sz w:val="22"/>
                <w:szCs w:val="22"/>
                <w:highlight w:val="none"/>
              </w:rPr>
              <w:t>0（10.9级）</w:t>
            </w:r>
          </w:p>
        </w:tc>
        <w:tc>
          <w:tcPr>
            <w:tcW w:w="356" w:type="pct"/>
            <w:vAlign w:val="center"/>
          </w:tcPr>
          <w:p w14:paraId="03176A6B">
            <w:pPr>
              <w:tabs>
                <w:tab w:val="left" w:pos="386"/>
              </w:tabs>
              <w:spacing w:line="440" w:lineRule="exact"/>
              <w:jc w:val="center"/>
              <w:rPr>
                <w:rFonts w:ascii="宋体" w:hAnsi="宋体" w:cs="宋体"/>
                <w:kern w:val="0"/>
                <w:sz w:val="22"/>
                <w:szCs w:val="22"/>
                <w:highlight w:val="none"/>
              </w:rPr>
            </w:pPr>
            <w:r>
              <w:rPr>
                <w:rFonts w:ascii="宋体" w:hAnsi="宋体" w:cs="宋体"/>
                <w:kern w:val="0"/>
                <w:sz w:val="22"/>
                <w:szCs w:val="22"/>
                <w:highlight w:val="none"/>
              </w:rPr>
              <w:t>56</w:t>
            </w:r>
            <w:r>
              <w:rPr>
                <w:rFonts w:hint="eastAsia" w:ascii="宋体" w:hAnsi="宋体" w:cs="宋体"/>
                <w:kern w:val="0"/>
                <w:sz w:val="22"/>
                <w:szCs w:val="22"/>
                <w:highlight w:val="none"/>
              </w:rPr>
              <w:t>套</w:t>
            </w:r>
          </w:p>
        </w:tc>
        <w:tc>
          <w:tcPr>
            <w:tcW w:w="1481" w:type="pct"/>
            <w:vAlign w:val="center"/>
          </w:tcPr>
          <w:p w14:paraId="2E353EE2">
            <w:pPr>
              <w:tabs>
                <w:tab w:val="left" w:pos="386"/>
              </w:tabs>
              <w:spacing w:line="440" w:lineRule="exact"/>
              <w:rPr>
                <w:rFonts w:ascii="宋体" w:hAnsi="宋体" w:cs="宋体"/>
                <w:kern w:val="0"/>
                <w:sz w:val="22"/>
                <w:szCs w:val="22"/>
                <w:highlight w:val="none"/>
              </w:rPr>
            </w:pPr>
            <w:r>
              <w:rPr>
                <w:rFonts w:hint="eastAsia" w:ascii="宋体" w:hAnsi="宋体" w:cs="宋体"/>
                <w:kern w:val="0"/>
                <w:sz w:val="22"/>
                <w:szCs w:val="22"/>
                <w:highlight w:val="none"/>
              </w:rPr>
              <w:t>阿斯米、亚螺、宁力或相当于同等档次的其他品牌</w:t>
            </w:r>
          </w:p>
        </w:tc>
        <w:tc>
          <w:tcPr>
            <w:tcW w:w="914" w:type="pct"/>
            <w:vAlign w:val="center"/>
          </w:tcPr>
          <w:p w14:paraId="5F21DDF3">
            <w:pPr>
              <w:tabs>
                <w:tab w:val="left" w:pos="386"/>
              </w:tabs>
              <w:spacing w:line="440" w:lineRule="exact"/>
              <w:rPr>
                <w:rFonts w:ascii="宋体" w:hAnsi="宋体" w:cs="宋体"/>
                <w:kern w:val="0"/>
                <w:sz w:val="22"/>
                <w:szCs w:val="22"/>
                <w:highlight w:val="none"/>
              </w:rPr>
            </w:pPr>
          </w:p>
        </w:tc>
      </w:tr>
      <w:tr w14:paraId="7C2F1B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6" w:hRule="atLeast"/>
          <w:jc w:val="center"/>
        </w:trPr>
        <w:tc>
          <w:tcPr>
            <w:tcW w:w="601" w:type="pct"/>
            <w:vAlign w:val="center"/>
          </w:tcPr>
          <w:p w14:paraId="6C75A796">
            <w:pPr>
              <w:tabs>
                <w:tab w:val="left" w:pos="386"/>
              </w:tabs>
              <w:spacing w:line="440" w:lineRule="exact"/>
              <w:jc w:val="center"/>
              <w:rPr>
                <w:rFonts w:ascii="宋体" w:hAnsi="宋体" w:cs="宋体"/>
                <w:kern w:val="0"/>
                <w:sz w:val="22"/>
                <w:szCs w:val="22"/>
                <w:highlight w:val="none"/>
              </w:rPr>
            </w:pPr>
            <w:r>
              <w:rPr>
                <w:rFonts w:hint="eastAsia" w:ascii="宋体" w:hAnsi="宋体" w:cs="宋体"/>
                <w:kern w:val="0"/>
                <w:sz w:val="22"/>
                <w:szCs w:val="22"/>
                <w:highlight w:val="none"/>
              </w:rPr>
              <w:t>1</w:t>
            </w:r>
            <w:r>
              <w:rPr>
                <w:rFonts w:ascii="宋体" w:hAnsi="宋体" w:cs="宋体"/>
                <w:kern w:val="0"/>
                <w:sz w:val="22"/>
                <w:szCs w:val="22"/>
                <w:highlight w:val="none"/>
              </w:rPr>
              <w:t>6</w:t>
            </w:r>
            <w:r>
              <w:rPr>
                <w:rFonts w:hint="eastAsia" w:ascii="宋体" w:hAnsi="宋体" w:cs="宋体"/>
                <w:kern w:val="0"/>
                <w:sz w:val="22"/>
                <w:szCs w:val="22"/>
                <w:highlight w:val="none"/>
              </w:rPr>
              <w:t>吨门机</w:t>
            </w:r>
          </w:p>
        </w:tc>
        <w:tc>
          <w:tcPr>
            <w:tcW w:w="770" w:type="pct"/>
            <w:vAlign w:val="center"/>
          </w:tcPr>
          <w:p w14:paraId="4A72E5E5">
            <w:pPr>
              <w:tabs>
                <w:tab w:val="left" w:pos="386"/>
              </w:tabs>
              <w:spacing w:line="440" w:lineRule="exact"/>
              <w:jc w:val="center"/>
              <w:rPr>
                <w:rFonts w:ascii="宋体" w:hAnsi="宋体" w:cs="宋体"/>
                <w:kern w:val="0"/>
                <w:sz w:val="22"/>
                <w:szCs w:val="22"/>
                <w:highlight w:val="none"/>
              </w:rPr>
            </w:pPr>
            <w:r>
              <w:rPr>
                <w:rFonts w:hint="eastAsia" w:ascii="宋体" w:hAnsi="宋体" w:cs="宋体"/>
                <w:kern w:val="0"/>
                <w:sz w:val="22"/>
                <w:szCs w:val="22"/>
                <w:highlight w:val="none"/>
              </w:rPr>
              <w:t>臂架头部铰点轴承</w:t>
            </w:r>
          </w:p>
        </w:tc>
        <w:tc>
          <w:tcPr>
            <w:tcW w:w="875" w:type="pct"/>
            <w:vAlign w:val="center"/>
          </w:tcPr>
          <w:p w14:paraId="1716A175">
            <w:pPr>
              <w:tabs>
                <w:tab w:val="left" w:pos="386"/>
              </w:tabs>
              <w:spacing w:line="440" w:lineRule="exact"/>
              <w:jc w:val="center"/>
              <w:rPr>
                <w:rFonts w:ascii="宋体" w:hAnsi="宋体" w:cs="宋体"/>
                <w:kern w:val="0"/>
                <w:sz w:val="22"/>
                <w:szCs w:val="22"/>
                <w:highlight w:val="none"/>
              </w:rPr>
            </w:pPr>
            <w:r>
              <w:rPr>
                <w:rFonts w:ascii="宋体" w:hAnsi="宋体" w:cs="宋体"/>
                <w:kern w:val="0"/>
                <w:sz w:val="22"/>
                <w:szCs w:val="22"/>
                <w:highlight w:val="none"/>
              </w:rPr>
              <w:t>22232 C/W33</w:t>
            </w:r>
          </w:p>
        </w:tc>
        <w:tc>
          <w:tcPr>
            <w:tcW w:w="356" w:type="pct"/>
            <w:vAlign w:val="center"/>
          </w:tcPr>
          <w:p w14:paraId="20914CB5">
            <w:pPr>
              <w:tabs>
                <w:tab w:val="left" w:pos="386"/>
              </w:tabs>
              <w:spacing w:line="440" w:lineRule="exact"/>
              <w:jc w:val="center"/>
              <w:rPr>
                <w:rFonts w:ascii="宋体" w:hAnsi="宋体" w:cs="宋体"/>
                <w:kern w:val="0"/>
                <w:sz w:val="22"/>
                <w:szCs w:val="22"/>
                <w:highlight w:val="none"/>
              </w:rPr>
            </w:pPr>
            <w:r>
              <w:rPr>
                <w:rFonts w:hint="eastAsia" w:ascii="宋体" w:hAnsi="宋体" w:cs="宋体"/>
                <w:kern w:val="0"/>
                <w:sz w:val="22"/>
                <w:szCs w:val="22"/>
                <w:highlight w:val="none"/>
              </w:rPr>
              <w:t>2套</w:t>
            </w:r>
          </w:p>
        </w:tc>
        <w:tc>
          <w:tcPr>
            <w:tcW w:w="1481" w:type="pct"/>
            <w:vAlign w:val="center"/>
          </w:tcPr>
          <w:p w14:paraId="27C8AB9D">
            <w:pPr>
              <w:tabs>
                <w:tab w:val="left" w:pos="386"/>
              </w:tabs>
              <w:spacing w:line="440" w:lineRule="exact"/>
              <w:rPr>
                <w:rFonts w:ascii="宋体" w:hAnsi="宋体" w:cs="宋体"/>
                <w:kern w:val="0"/>
                <w:sz w:val="22"/>
                <w:szCs w:val="22"/>
                <w:highlight w:val="none"/>
              </w:rPr>
            </w:pPr>
            <w:r>
              <w:rPr>
                <w:rFonts w:hint="eastAsia" w:ascii="宋体" w:hAnsi="宋体" w:cs="宋体"/>
                <w:kern w:val="0"/>
                <w:sz w:val="22"/>
                <w:szCs w:val="22"/>
                <w:highlight w:val="none"/>
              </w:rPr>
              <w:t>NSK、SKF、FAG或相当于同等档次的其他品牌</w:t>
            </w:r>
          </w:p>
        </w:tc>
        <w:tc>
          <w:tcPr>
            <w:tcW w:w="914" w:type="pct"/>
            <w:vAlign w:val="center"/>
          </w:tcPr>
          <w:p w14:paraId="3E496F25">
            <w:pPr>
              <w:tabs>
                <w:tab w:val="left" w:pos="386"/>
              </w:tabs>
              <w:spacing w:line="440" w:lineRule="exact"/>
              <w:rPr>
                <w:rFonts w:ascii="宋体" w:hAnsi="宋体" w:cs="宋体"/>
                <w:kern w:val="0"/>
                <w:sz w:val="22"/>
                <w:szCs w:val="22"/>
                <w:highlight w:val="none"/>
              </w:rPr>
            </w:pPr>
          </w:p>
        </w:tc>
      </w:tr>
    </w:tbl>
    <w:p w14:paraId="1FCE7C59">
      <w:pPr>
        <w:adjustRightInd w:val="0"/>
        <w:spacing w:line="440" w:lineRule="exact"/>
        <w:ind w:firstLine="440" w:firstLineChars="200"/>
        <w:jc w:val="left"/>
        <w:rPr>
          <w:rFonts w:ascii="宋体" w:hAnsi="宋体" w:cs="宋体"/>
          <w:sz w:val="22"/>
          <w:szCs w:val="22"/>
          <w:highlight w:val="none"/>
        </w:rPr>
      </w:pPr>
    </w:p>
    <w:p w14:paraId="500A9C3E">
      <w:pPr>
        <w:adjustRightInd w:val="0"/>
        <w:spacing w:line="440" w:lineRule="exact"/>
        <w:ind w:firstLine="440" w:firstLineChars="200"/>
        <w:jc w:val="left"/>
        <w:rPr>
          <w:rFonts w:ascii="宋体" w:hAnsi="宋体" w:cs="宋体"/>
          <w:sz w:val="22"/>
          <w:szCs w:val="22"/>
          <w:highlight w:val="none"/>
        </w:rPr>
      </w:pPr>
    </w:p>
    <w:p w14:paraId="0BF8F857">
      <w:pPr>
        <w:adjustRightInd w:val="0"/>
        <w:spacing w:line="440" w:lineRule="exact"/>
        <w:ind w:firstLine="440" w:firstLineChars="200"/>
        <w:jc w:val="left"/>
        <w:rPr>
          <w:rFonts w:ascii="宋体" w:hAnsi="宋体" w:cs="宋体"/>
          <w:sz w:val="22"/>
          <w:szCs w:val="22"/>
          <w:highlight w:val="none"/>
        </w:rPr>
      </w:pPr>
    </w:p>
    <w:p w14:paraId="48FB71E6">
      <w:pPr>
        <w:spacing w:line="460" w:lineRule="exact"/>
        <w:jc w:val="center"/>
        <w:rPr>
          <w:rFonts w:ascii="宋体" w:hAnsi="宋体"/>
          <w:b/>
          <w:bCs/>
          <w:sz w:val="28"/>
          <w:szCs w:val="28"/>
          <w:highlight w:val="none"/>
        </w:rPr>
      </w:pPr>
      <w:r>
        <w:rPr>
          <w:rFonts w:ascii="宋体" w:hAnsi="宋体"/>
          <w:b/>
          <w:bCs/>
          <w:sz w:val="28"/>
          <w:szCs w:val="28"/>
          <w:highlight w:val="none"/>
        </w:rPr>
        <w:br w:type="page"/>
      </w:r>
    </w:p>
    <w:p w14:paraId="1899D339">
      <w:pPr>
        <w:spacing w:line="360" w:lineRule="auto"/>
        <w:jc w:val="left"/>
        <w:rPr>
          <w:rFonts w:ascii="宋体" w:hAnsi="宋体"/>
          <w:color w:val="000000"/>
          <w:sz w:val="28"/>
          <w:szCs w:val="32"/>
          <w:highlight w:val="none"/>
        </w:rPr>
      </w:pPr>
      <w:r>
        <w:rPr>
          <w:rFonts w:hint="eastAsia" w:ascii="宋体" w:hAnsi="宋体"/>
          <w:color w:val="000000"/>
          <w:sz w:val="28"/>
          <w:szCs w:val="32"/>
          <w:highlight w:val="none"/>
        </w:rPr>
        <w:t>附件十九</w:t>
      </w:r>
    </w:p>
    <w:p w14:paraId="5A3C14AE">
      <w:pPr>
        <w:tabs>
          <w:tab w:val="left" w:pos="482"/>
          <w:tab w:val="left" w:pos="2183"/>
          <w:tab w:val="left" w:pos="3884"/>
          <w:tab w:val="left" w:pos="5585"/>
        </w:tabs>
        <w:autoSpaceDE w:val="0"/>
        <w:autoSpaceDN w:val="0"/>
        <w:jc w:val="center"/>
        <w:outlineLvl w:val="3"/>
        <w:rPr>
          <w:rFonts w:cs="宋体"/>
          <w:b/>
          <w:bCs/>
          <w:sz w:val="28"/>
          <w:szCs w:val="28"/>
          <w:highlight w:val="none"/>
        </w:rPr>
      </w:pPr>
      <w:r>
        <w:rPr>
          <w:rFonts w:hint="eastAsia" w:cs="宋体"/>
          <w:b/>
          <w:bCs/>
          <w:sz w:val="28"/>
          <w:szCs w:val="28"/>
          <w:highlight w:val="none"/>
        </w:rPr>
        <w:t>人员配备</w:t>
      </w:r>
      <w:r>
        <w:rPr>
          <w:rFonts w:hint="eastAsia" w:ascii="宋体" w:hAnsi="宋体"/>
          <w:b/>
          <w:bCs/>
          <w:color w:val="000000"/>
          <w:sz w:val="28"/>
          <w:szCs w:val="32"/>
          <w:highlight w:val="none"/>
        </w:rPr>
        <w:t>（格式自拟）</w:t>
      </w:r>
    </w:p>
    <w:p w14:paraId="4319CBAF">
      <w:pPr>
        <w:widowControl/>
        <w:adjustRightInd w:val="0"/>
        <w:snapToGrid w:val="0"/>
        <w:spacing w:line="440" w:lineRule="exact"/>
        <w:ind w:firstLine="442" w:firstLineChars="200"/>
        <w:jc w:val="left"/>
        <w:rPr>
          <w:rFonts w:ascii="宋体" w:hAnsi="宋体" w:cs="Arial"/>
          <w:b/>
          <w:bCs/>
          <w:kern w:val="0"/>
          <w:sz w:val="22"/>
          <w:szCs w:val="22"/>
          <w:highlight w:val="none"/>
        </w:rPr>
      </w:pPr>
      <w:r>
        <w:rPr>
          <w:rFonts w:hint="eastAsia" w:ascii="宋体" w:hAnsi="宋体" w:cs="Arial"/>
          <w:b/>
          <w:bCs/>
          <w:kern w:val="0"/>
          <w:sz w:val="22"/>
          <w:szCs w:val="22"/>
          <w:highlight w:val="none"/>
        </w:rPr>
        <w:t>1.至少配备专职安全员1名，现场兼职安全员1名（专职安全员可以兼任现场安全员）。并在投标文件中提供社保三年以上证明。（须提供相关部门颁发的有效的安全员证书）；</w:t>
      </w:r>
    </w:p>
    <w:p w14:paraId="218E43CA">
      <w:pPr>
        <w:widowControl/>
        <w:adjustRightInd w:val="0"/>
        <w:snapToGrid w:val="0"/>
        <w:spacing w:line="440" w:lineRule="exact"/>
        <w:ind w:firstLine="442" w:firstLineChars="200"/>
        <w:jc w:val="left"/>
        <w:rPr>
          <w:rFonts w:ascii="宋体" w:hAnsi="宋体" w:cs="Arial"/>
          <w:b/>
          <w:bCs/>
          <w:kern w:val="0"/>
          <w:sz w:val="22"/>
          <w:szCs w:val="22"/>
          <w:highlight w:val="none"/>
        </w:rPr>
      </w:pPr>
      <w:r>
        <w:rPr>
          <w:rFonts w:hint="eastAsia" w:ascii="宋体" w:hAnsi="宋体" w:cs="Arial"/>
          <w:b/>
          <w:bCs/>
          <w:kern w:val="0"/>
          <w:sz w:val="22"/>
          <w:szCs w:val="22"/>
          <w:highlight w:val="none"/>
        </w:rPr>
        <w:t>2.项目负责人或主修需具有丰富经验（须提供合同复印件或验收单复印件或业主证明复印件并加盖单位公章），且在当前单位连续缴纳社保满1年（须提供社保证明材料并加盖单位公章）；</w:t>
      </w:r>
    </w:p>
    <w:p w14:paraId="7EE08725">
      <w:pPr>
        <w:widowControl/>
        <w:adjustRightInd w:val="0"/>
        <w:snapToGrid w:val="0"/>
        <w:spacing w:line="440" w:lineRule="exact"/>
        <w:ind w:firstLine="442" w:firstLineChars="200"/>
        <w:jc w:val="left"/>
        <w:rPr>
          <w:rFonts w:ascii="宋体" w:hAnsi="宋体" w:cs="Arial"/>
          <w:b/>
          <w:bCs/>
          <w:kern w:val="0"/>
          <w:sz w:val="22"/>
          <w:szCs w:val="22"/>
          <w:highlight w:val="none"/>
        </w:rPr>
      </w:pPr>
      <w:r>
        <w:rPr>
          <w:rFonts w:hint="eastAsia" w:ascii="宋体" w:hAnsi="宋体" w:cs="Arial"/>
          <w:b/>
          <w:bCs/>
          <w:kern w:val="0"/>
          <w:sz w:val="22"/>
          <w:szCs w:val="22"/>
          <w:highlight w:val="none"/>
        </w:rPr>
        <w:t>3.所有进场人员需提供投标截止前3个月的社保证明及有效的工伤保险或人身意外险等保险证明（须提供社保证明材料及保险证明材料并加盖单位公章）；</w:t>
      </w:r>
    </w:p>
    <w:p w14:paraId="205AD2BC">
      <w:pPr>
        <w:widowControl/>
        <w:adjustRightInd w:val="0"/>
        <w:snapToGrid w:val="0"/>
        <w:spacing w:line="440" w:lineRule="exact"/>
        <w:ind w:firstLine="442" w:firstLineChars="200"/>
        <w:jc w:val="left"/>
        <w:rPr>
          <w:rFonts w:ascii="宋体" w:hAnsi="宋体" w:cs="Arial"/>
          <w:b/>
          <w:bCs/>
          <w:kern w:val="0"/>
          <w:sz w:val="22"/>
          <w:szCs w:val="22"/>
          <w:highlight w:val="none"/>
        </w:rPr>
      </w:pPr>
      <w:r>
        <w:rPr>
          <w:rFonts w:hint="eastAsia" w:ascii="宋体" w:hAnsi="宋体" w:cs="Arial"/>
          <w:b/>
          <w:bCs/>
          <w:kern w:val="0"/>
          <w:sz w:val="22"/>
          <w:szCs w:val="22"/>
          <w:highlight w:val="none"/>
        </w:rPr>
        <w:t>4.特种作业人员持证上岗，人证合一（须提供承诺函并加盖单位公章）。</w:t>
      </w:r>
    </w:p>
    <w:p w14:paraId="0D00256F">
      <w:pPr>
        <w:widowControl/>
        <w:adjustRightInd w:val="0"/>
        <w:snapToGrid w:val="0"/>
        <w:spacing w:line="440" w:lineRule="exact"/>
        <w:ind w:firstLine="442" w:firstLineChars="200"/>
        <w:jc w:val="left"/>
        <w:rPr>
          <w:rFonts w:ascii="宋体" w:hAnsi="宋体" w:cs="Arial"/>
          <w:b/>
          <w:bCs/>
          <w:kern w:val="0"/>
          <w:sz w:val="22"/>
          <w:szCs w:val="22"/>
          <w:highlight w:val="none"/>
        </w:rPr>
      </w:pPr>
      <w:r>
        <w:rPr>
          <w:rFonts w:ascii="宋体" w:hAnsi="宋体" w:cs="Arial"/>
          <w:b/>
          <w:bCs/>
          <w:kern w:val="0"/>
          <w:sz w:val="22"/>
          <w:szCs w:val="22"/>
          <w:highlight w:val="none"/>
        </w:rPr>
        <w:br w:type="page"/>
      </w:r>
    </w:p>
    <w:p w14:paraId="65666853">
      <w:pPr>
        <w:tabs>
          <w:tab w:val="left" w:pos="2830"/>
        </w:tabs>
        <w:snapToGrid w:val="0"/>
        <w:spacing w:before="50" w:after="50" w:line="360" w:lineRule="auto"/>
        <w:jc w:val="left"/>
        <w:rPr>
          <w:rFonts w:ascii="宋体" w:hAnsi="宋体"/>
          <w:color w:val="000000"/>
          <w:sz w:val="24"/>
          <w:szCs w:val="28"/>
          <w:highlight w:val="none"/>
        </w:rPr>
      </w:pPr>
      <w:bookmarkStart w:id="117" w:name="_Toc972"/>
      <w:r>
        <w:rPr>
          <w:rFonts w:hint="eastAsia" w:ascii="宋体" w:hAnsi="宋体"/>
          <w:color w:val="000000"/>
          <w:sz w:val="28"/>
          <w:szCs w:val="28"/>
          <w:highlight w:val="none"/>
        </w:rPr>
        <w:t>附件</w:t>
      </w:r>
      <w:bookmarkEnd w:id="117"/>
      <w:r>
        <w:rPr>
          <w:rFonts w:hint="eastAsia" w:ascii="宋体" w:hAnsi="宋体"/>
          <w:color w:val="000000"/>
          <w:sz w:val="28"/>
          <w:szCs w:val="28"/>
          <w:highlight w:val="none"/>
        </w:rPr>
        <w:t>二十</w:t>
      </w:r>
    </w:p>
    <w:p w14:paraId="0C8CF22E">
      <w:pPr>
        <w:spacing w:line="460" w:lineRule="exact"/>
        <w:jc w:val="center"/>
        <w:outlineLvl w:val="3"/>
        <w:rPr>
          <w:rFonts w:ascii="宋体" w:hAnsi="宋体"/>
          <w:b/>
          <w:bCs/>
          <w:sz w:val="28"/>
          <w:szCs w:val="28"/>
          <w:highlight w:val="none"/>
        </w:rPr>
      </w:pPr>
      <w:bookmarkStart w:id="118" w:name="_Toc24511"/>
      <w:r>
        <w:rPr>
          <w:rFonts w:hint="eastAsia" w:ascii="宋体" w:hAnsi="宋体"/>
          <w:b/>
          <w:bCs/>
          <w:sz w:val="28"/>
          <w:szCs w:val="28"/>
          <w:highlight w:val="none"/>
        </w:rPr>
        <w:t>质量保证服务计划、售后服务措施及承诺表</w:t>
      </w:r>
      <w:bookmarkEnd w:id="118"/>
    </w:p>
    <w:tbl>
      <w:tblPr>
        <w:tblStyle w:val="30"/>
        <w:tblW w:w="89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1"/>
        <w:gridCol w:w="8058"/>
      </w:tblGrid>
      <w:tr w14:paraId="2FDD00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75" w:hRule="atLeast"/>
        </w:trPr>
        <w:tc>
          <w:tcPr>
            <w:tcW w:w="901" w:type="dxa"/>
            <w:tcBorders>
              <w:bottom w:val="single" w:color="auto" w:sz="4" w:space="0"/>
            </w:tcBorders>
            <w:vAlign w:val="center"/>
          </w:tcPr>
          <w:p w14:paraId="28B291A7">
            <w:pPr>
              <w:jc w:val="center"/>
              <w:rPr>
                <w:rFonts w:ascii="宋体" w:hAnsi="宋体"/>
                <w:sz w:val="24"/>
                <w:highlight w:val="none"/>
              </w:rPr>
            </w:pPr>
            <w:r>
              <w:rPr>
                <w:rFonts w:hint="eastAsia" w:ascii="宋体" w:hAnsi="宋体"/>
                <w:sz w:val="24"/>
                <w:highlight w:val="none"/>
              </w:rPr>
              <w:t>质</w:t>
            </w:r>
          </w:p>
          <w:p w14:paraId="2CFA5B77">
            <w:pPr>
              <w:jc w:val="center"/>
              <w:rPr>
                <w:rFonts w:ascii="宋体" w:hAnsi="宋体"/>
                <w:sz w:val="24"/>
                <w:highlight w:val="none"/>
              </w:rPr>
            </w:pPr>
            <w:r>
              <w:rPr>
                <w:rFonts w:hint="eastAsia" w:ascii="宋体" w:hAnsi="宋体"/>
                <w:sz w:val="24"/>
                <w:highlight w:val="none"/>
              </w:rPr>
              <w:t>量</w:t>
            </w:r>
          </w:p>
          <w:p w14:paraId="10C53B96">
            <w:pPr>
              <w:jc w:val="center"/>
              <w:rPr>
                <w:rFonts w:ascii="宋体" w:hAnsi="宋体"/>
                <w:sz w:val="24"/>
                <w:highlight w:val="none"/>
              </w:rPr>
            </w:pPr>
            <w:r>
              <w:rPr>
                <w:rFonts w:hint="eastAsia" w:ascii="宋体" w:hAnsi="宋体"/>
                <w:sz w:val="24"/>
                <w:highlight w:val="none"/>
              </w:rPr>
              <w:t>保</w:t>
            </w:r>
          </w:p>
          <w:p w14:paraId="5D4AF24F">
            <w:pPr>
              <w:jc w:val="center"/>
              <w:rPr>
                <w:rFonts w:ascii="宋体" w:hAnsi="宋体"/>
                <w:sz w:val="24"/>
                <w:highlight w:val="none"/>
              </w:rPr>
            </w:pPr>
            <w:r>
              <w:rPr>
                <w:rFonts w:hint="eastAsia" w:ascii="宋体" w:hAnsi="宋体"/>
                <w:sz w:val="24"/>
                <w:highlight w:val="none"/>
              </w:rPr>
              <w:t>证</w:t>
            </w:r>
          </w:p>
          <w:p w14:paraId="083FF23B">
            <w:pPr>
              <w:jc w:val="center"/>
              <w:rPr>
                <w:rFonts w:ascii="宋体" w:hAnsi="宋体"/>
                <w:sz w:val="24"/>
                <w:highlight w:val="none"/>
              </w:rPr>
            </w:pPr>
            <w:r>
              <w:rPr>
                <w:rFonts w:hint="eastAsia" w:ascii="宋体" w:hAnsi="宋体"/>
                <w:sz w:val="24"/>
                <w:highlight w:val="none"/>
              </w:rPr>
              <w:t>承</w:t>
            </w:r>
          </w:p>
          <w:p w14:paraId="4E4A3667">
            <w:pPr>
              <w:jc w:val="center"/>
              <w:rPr>
                <w:rFonts w:ascii="宋体" w:hAnsi="宋体"/>
                <w:sz w:val="24"/>
                <w:highlight w:val="none"/>
              </w:rPr>
            </w:pPr>
            <w:r>
              <w:rPr>
                <w:rFonts w:hint="eastAsia" w:ascii="宋体" w:hAnsi="宋体"/>
                <w:sz w:val="24"/>
                <w:highlight w:val="none"/>
              </w:rPr>
              <w:t>诺</w:t>
            </w:r>
          </w:p>
        </w:tc>
        <w:tc>
          <w:tcPr>
            <w:tcW w:w="8058" w:type="dxa"/>
            <w:tcBorders>
              <w:bottom w:val="single" w:color="auto" w:sz="4" w:space="0"/>
            </w:tcBorders>
            <w:vAlign w:val="center"/>
          </w:tcPr>
          <w:p w14:paraId="75608CB6">
            <w:pPr>
              <w:widowControl/>
              <w:rPr>
                <w:rFonts w:ascii="宋体" w:hAnsi="宋体" w:cs="宋体"/>
                <w:sz w:val="22"/>
                <w:szCs w:val="22"/>
                <w:highlight w:val="none"/>
              </w:rPr>
            </w:pPr>
            <w:r>
              <w:rPr>
                <w:rFonts w:hint="eastAsia" w:ascii="宋体" w:hAnsi="宋体" w:cs="宋体"/>
                <w:sz w:val="22"/>
                <w:szCs w:val="22"/>
                <w:highlight w:val="none"/>
              </w:rPr>
              <w:t>质保期：调试合格并通过验收后</w:t>
            </w:r>
            <w:r>
              <w:rPr>
                <w:rFonts w:hint="eastAsia" w:ascii="宋体" w:hAnsi="宋体" w:cs="宋体"/>
                <w:sz w:val="22"/>
                <w:szCs w:val="22"/>
                <w:highlight w:val="none"/>
                <w:u w:val="single"/>
              </w:rPr>
              <w:t xml:space="preserve">    </w:t>
            </w:r>
            <w:r>
              <w:rPr>
                <w:rFonts w:hint="eastAsia" w:ascii="宋体" w:hAnsi="宋体" w:cs="宋体"/>
                <w:sz w:val="22"/>
                <w:szCs w:val="22"/>
                <w:highlight w:val="none"/>
              </w:rPr>
              <w:t>个月。</w:t>
            </w:r>
          </w:p>
          <w:p w14:paraId="49319C27">
            <w:pPr>
              <w:pStyle w:val="69"/>
              <w:keepNext w:val="0"/>
              <w:spacing w:after="0"/>
              <w:rPr>
                <w:rFonts w:ascii="宋体" w:hAnsi="宋体"/>
                <w:sz w:val="24"/>
                <w:highlight w:val="none"/>
              </w:rPr>
            </w:pPr>
            <w:r>
              <w:rPr>
                <w:rFonts w:hint="eastAsia" w:ascii="宋体" w:hAnsi="宋体" w:cs="宋体"/>
                <w:sz w:val="22"/>
                <w:szCs w:val="22"/>
                <w:highlight w:val="none"/>
              </w:rPr>
              <w:t>其他</w:t>
            </w:r>
            <w:r>
              <w:rPr>
                <w:rFonts w:ascii="宋体" w:hAnsi="宋体" w:cs="宋体"/>
                <w:sz w:val="22"/>
                <w:szCs w:val="22"/>
                <w:highlight w:val="none"/>
              </w:rPr>
              <w:t>相关承诺：</w:t>
            </w:r>
          </w:p>
        </w:tc>
      </w:tr>
      <w:tr w14:paraId="2F611B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9" w:hRule="atLeast"/>
        </w:trPr>
        <w:tc>
          <w:tcPr>
            <w:tcW w:w="901" w:type="dxa"/>
            <w:tcBorders>
              <w:bottom w:val="single" w:color="auto" w:sz="4" w:space="0"/>
            </w:tcBorders>
            <w:vAlign w:val="center"/>
          </w:tcPr>
          <w:p w14:paraId="6F74A4D5">
            <w:pPr>
              <w:jc w:val="center"/>
              <w:rPr>
                <w:rFonts w:ascii="宋体" w:hAnsi="宋体"/>
                <w:sz w:val="24"/>
                <w:highlight w:val="none"/>
              </w:rPr>
            </w:pPr>
            <w:r>
              <w:rPr>
                <w:rFonts w:hint="eastAsia" w:ascii="宋体" w:hAnsi="宋体"/>
                <w:sz w:val="24"/>
                <w:highlight w:val="none"/>
              </w:rPr>
              <w:t>售</w:t>
            </w:r>
          </w:p>
          <w:p w14:paraId="654A9756">
            <w:pPr>
              <w:jc w:val="center"/>
              <w:rPr>
                <w:rFonts w:ascii="宋体" w:hAnsi="宋体"/>
                <w:sz w:val="24"/>
                <w:highlight w:val="none"/>
              </w:rPr>
            </w:pPr>
            <w:r>
              <w:rPr>
                <w:rFonts w:hint="eastAsia" w:ascii="宋体" w:hAnsi="宋体"/>
                <w:sz w:val="24"/>
                <w:highlight w:val="none"/>
              </w:rPr>
              <w:t>后</w:t>
            </w:r>
          </w:p>
          <w:p w14:paraId="352DA2AD">
            <w:pPr>
              <w:jc w:val="center"/>
              <w:rPr>
                <w:rFonts w:ascii="宋体" w:hAnsi="宋体"/>
                <w:sz w:val="24"/>
                <w:highlight w:val="none"/>
              </w:rPr>
            </w:pPr>
            <w:r>
              <w:rPr>
                <w:rFonts w:hint="eastAsia" w:ascii="宋体" w:hAnsi="宋体"/>
                <w:sz w:val="24"/>
                <w:highlight w:val="none"/>
              </w:rPr>
              <w:t>服</w:t>
            </w:r>
          </w:p>
          <w:p w14:paraId="1675251F">
            <w:pPr>
              <w:jc w:val="center"/>
              <w:rPr>
                <w:rFonts w:ascii="宋体" w:hAnsi="宋体"/>
                <w:sz w:val="24"/>
                <w:highlight w:val="none"/>
              </w:rPr>
            </w:pPr>
            <w:r>
              <w:rPr>
                <w:rFonts w:hint="eastAsia" w:ascii="宋体" w:hAnsi="宋体"/>
                <w:sz w:val="24"/>
                <w:highlight w:val="none"/>
              </w:rPr>
              <w:t>务</w:t>
            </w:r>
          </w:p>
          <w:p w14:paraId="42943EED">
            <w:pPr>
              <w:jc w:val="center"/>
              <w:rPr>
                <w:rFonts w:ascii="宋体" w:hAnsi="宋体"/>
                <w:sz w:val="24"/>
                <w:highlight w:val="none"/>
              </w:rPr>
            </w:pPr>
            <w:r>
              <w:rPr>
                <w:rFonts w:hint="eastAsia" w:ascii="宋体" w:hAnsi="宋体"/>
                <w:sz w:val="24"/>
                <w:highlight w:val="none"/>
              </w:rPr>
              <w:t>计</w:t>
            </w:r>
          </w:p>
          <w:p w14:paraId="39961DB5">
            <w:pPr>
              <w:jc w:val="center"/>
              <w:rPr>
                <w:rFonts w:ascii="宋体" w:hAnsi="宋体"/>
                <w:sz w:val="24"/>
                <w:highlight w:val="none"/>
              </w:rPr>
            </w:pPr>
            <w:r>
              <w:rPr>
                <w:rFonts w:hint="eastAsia" w:ascii="宋体" w:hAnsi="宋体"/>
                <w:sz w:val="24"/>
                <w:highlight w:val="none"/>
              </w:rPr>
              <w:t>划</w:t>
            </w:r>
          </w:p>
          <w:p w14:paraId="042EBD9D">
            <w:pPr>
              <w:jc w:val="center"/>
              <w:rPr>
                <w:rFonts w:ascii="宋体" w:hAnsi="宋体"/>
                <w:sz w:val="24"/>
                <w:highlight w:val="none"/>
              </w:rPr>
            </w:pPr>
            <w:r>
              <w:rPr>
                <w:rFonts w:hint="eastAsia" w:ascii="宋体" w:hAnsi="宋体"/>
                <w:sz w:val="24"/>
                <w:highlight w:val="none"/>
              </w:rPr>
              <w:t>承</w:t>
            </w:r>
          </w:p>
          <w:p w14:paraId="040BA065">
            <w:pPr>
              <w:jc w:val="center"/>
              <w:rPr>
                <w:rFonts w:ascii="宋体" w:hAnsi="宋体"/>
                <w:sz w:val="24"/>
                <w:highlight w:val="none"/>
              </w:rPr>
            </w:pPr>
            <w:r>
              <w:rPr>
                <w:rFonts w:hint="eastAsia" w:ascii="宋体" w:hAnsi="宋体"/>
                <w:sz w:val="24"/>
                <w:highlight w:val="none"/>
              </w:rPr>
              <w:t>诺</w:t>
            </w:r>
          </w:p>
        </w:tc>
        <w:tc>
          <w:tcPr>
            <w:tcW w:w="8058" w:type="dxa"/>
            <w:tcBorders>
              <w:bottom w:val="single" w:color="auto" w:sz="4" w:space="0"/>
            </w:tcBorders>
            <w:vAlign w:val="center"/>
          </w:tcPr>
          <w:p w14:paraId="5BB14EF0">
            <w:pPr>
              <w:pStyle w:val="69"/>
              <w:keepNext w:val="0"/>
              <w:spacing w:after="0"/>
              <w:rPr>
                <w:rFonts w:ascii="宋体" w:hAnsi="宋体"/>
                <w:sz w:val="24"/>
                <w:highlight w:val="none"/>
              </w:rPr>
            </w:pPr>
            <w:r>
              <w:rPr>
                <w:rFonts w:hint="eastAsia" w:ascii="宋体" w:hAnsi="宋体"/>
                <w:sz w:val="24"/>
                <w:highlight w:val="none"/>
              </w:rPr>
              <w:t>（格式自拟）</w:t>
            </w:r>
          </w:p>
        </w:tc>
      </w:tr>
      <w:tr w14:paraId="6C974C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2" w:hRule="atLeast"/>
        </w:trPr>
        <w:tc>
          <w:tcPr>
            <w:tcW w:w="901" w:type="dxa"/>
            <w:tcBorders>
              <w:bottom w:val="single" w:color="auto" w:sz="4" w:space="0"/>
            </w:tcBorders>
            <w:vAlign w:val="center"/>
          </w:tcPr>
          <w:p w14:paraId="04B9DD44">
            <w:pPr>
              <w:jc w:val="center"/>
              <w:rPr>
                <w:rFonts w:ascii="宋体" w:hAnsi="宋体"/>
                <w:sz w:val="24"/>
                <w:highlight w:val="none"/>
              </w:rPr>
            </w:pPr>
            <w:r>
              <w:rPr>
                <w:rFonts w:hint="eastAsia" w:ascii="宋体" w:hAnsi="宋体"/>
                <w:sz w:val="24"/>
                <w:highlight w:val="none"/>
              </w:rPr>
              <w:t>其</w:t>
            </w:r>
          </w:p>
          <w:p w14:paraId="67C856B8">
            <w:pPr>
              <w:jc w:val="center"/>
              <w:rPr>
                <w:rFonts w:ascii="宋体" w:hAnsi="宋体"/>
                <w:sz w:val="24"/>
                <w:highlight w:val="none"/>
              </w:rPr>
            </w:pPr>
            <w:r>
              <w:rPr>
                <w:rFonts w:hint="eastAsia" w:ascii="宋体" w:hAnsi="宋体"/>
                <w:sz w:val="24"/>
                <w:highlight w:val="none"/>
              </w:rPr>
              <w:t>他</w:t>
            </w:r>
          </w:p>
        </w:tc>
        <w:tc>
          <w:tcPr>
            <w:tcW w:w="8058" w:type="dxa"/>
            <w:tcBorders>
              <w:bottom w:val="single" w:color="auto" w:sz="4" w:space="0"/>
            </w:tcBorders>
            <w:vAlign w:val="center"/>
          </w:tcPr>
          <w:p w14:paraId="384F6BE8">
            <w:pPr>
              <w:pStyle w:val="69"/>
              <w:keepNext w:val="0"/>
              <w:spacing w:after="0"/>
              <w:rPr>
                <w:rFonts w:ascii="宋体" w:hAnsi="宋体"/>
                <w:sz w:val="24"/>
                <w:highlight w:val="none"/>
              </w:rPr>
            </w:pPr>
            <w:r>
              <w:rPr>
                <w:rFonts w:hint="eastAsia" w:ascii="宋体" w:hAnsi="宋体"/>
                <w:sz w:val="22"/>
                <w:szCs w:val="22"/>
                <w:highlight w:val="none"/>
              </w:rPr>
              <w:t>（惩罚保证、增值服务）</w:t>
            </w:r>
          </w:p>
        </w:tc>
      </w:tr>
    </w:tbl>
    <w:p w14:paraId="595C54D1">
      <w:pPr>
        <w:spacing w:line="380" w:lineRule="exact"/>
        <w:jc w:val="left"/>
        <w:rPr>
          <w:rFonts w:ascii="新宋体" w:hAnsi="新宋体" w:eastAsia="新宋体"/>
          <w:sz w:val="22"/>
          <w:szCs w:val="22"/>
          <w:highlight w:val="none"/>
        </w:rPr>
      </w:pPr>
    </w:p>
    <w:p w14:paraId="39084C25">
      <w:pPr>
        <w:spacing w:line="380" w:lineRule="exact"/>
        <w:jc w:val="left"/>
        <w:rPr>
          <w:rFonts w:ascii="新宋体" w:hAnsi="新宋体" w:eastAsia="新宋体"/>
          <w:sz w:val="22"/>
          <w:szCs w:val="22"/>
          <w:highlight w:val="none"/>
        </w:rPr>
      </w:pPr>
    </w:p>
    <w:p w14:paraId="4B182E9C">
      <w:pPr>
        <w:spacing w:line="380" w:lineRule="exact"/>
        <w:jc w:val="left"/>
        <w:rPr>
          <w:rFonts w:ascii="新宋体" w:hAnsi="新宋体" w:eastAsia="新宋体"/>
          <w:sz w:val="22"/>
          <w:szCs w:val="22"/>
          <w:highlight w:val="none"/>
        </w:rPr>
      </w:pPr>
    </w:p>
    <w:p w14:paraId="26EB45A7">
      <w:pPr>
        <w:spacing w:line="380" w:lineRule="exact"/>
        <w:jc w:val="left"/>
        <w:rPr>
          <w:rFonts w:ascii="新宋体" w:hAnsi="新宋体" w:eastAsia="新宋体"/>
          <w:sz w:val="22"/>
          <w:szCs w:val="22"/>
          <w:highlight w:val="none"/>
        </w:rPr>
      </w:pPr>
      <w:r>
        <w:rPr>
          <w:rFonts w:hint="eastAsia" w:ascii="新宋体" w:hAnsi="新宋体" w:eastAsia="新宋体"/>
          <w:sz w:val="22"/>
          <w:szCs w:val="22"/>
          <w:highlight w:val="none"/>
        </w:rPr>
        <w:t xml:space="preserve">投标人全称（加盖单位公章）： </w:t>
      </w:r>
    </w:p>
    <w:p w14:paraId="72605B1F">
      <w:pPr>
        <w:spacing w:line="380" w:lineRule="exact"/>
        <w:jc w:val="left"/>
        <w:rPr>
          <w:rFonts w:ascii="新宋体" w:hAnsi="新宋体" w:eastAsia="新宋体"/>
          <w:sz w:val="22"/>
          <w:szCs w:val="22"/>
          <w:highlight w:val="none"/>
        </w:rPr>
      </w:pPr>
      <w:r>
        <w:rPr>
          <w:rFonts w:hint="eastAsia" w:ascii="新宋体" w:hAnsi="新宋体" w:eastAsia="新宋体"/>
          <w:sz w:val="22"/>
          <w:szCs w:val="22"/>
          <w:highlight w:val="none"/>
        </w:rPr>
        <w:t>法定代表人或授权代表（签字或盖章）：</w:t>
      </w:r>
    </w:p>
    <w:p w14:paraId="1036A909">
      <w:pPr>
        <w:spacing w:line="380" w:lineRule="exact"/>
        <w:jc w:val="left"/>
        <w:rPr>
          <w:rFonts w:ascii="新宋体" w:hAnsi="新宋体" w:eastAsia="新宋体"/>
          <w:sz w:val="22"/>
          <w:szCs w:val="22"/>
          <w:highlight w:val="none"/>
        </w:rPr>
      </w:pPr>
      <w:r>
        <w:rPr>
          <w:rFonts w:hint="eastAsia" w:ascii="新宋体" w:hAnsi="新宋体" w:eastAsia="新宋体"/>
          <w:sz w:val="22"/>
          <w:szCs w:val="22"/>
          <w:highlight w:val="none"/>
        </w:rPr>
        <w:t>日 期：  年  月  日</w:t>
      </w:r>
    </w:p>
    <w:p w14:paraId="2BAF8336">
      <w:pPr>
        <w:widowControl/>
        <w:jc w:val="left"/>
        <w:rPr>
          <w:rFonts w:ascii="宋体" w:hAnsi="宋体"/>
          <w:b/>
          <w:color w:val="000000"/>
          <w:sz w:val="28"/>
          <w:szCs w:val="28"/>
          <w:highlight w:val="none"/>
        </w:rPr>
      </w:pPr>
    </w:p>
    <w:p w14:paraId="4CF3887B">
      <w:pPr>
        <w:jc w:val="center"/>
        <w:rPr>
          <w:rFonts w:ascii="宋体" w:hAnsi="宋体"/>
          <w:b/>
          <w:bCs/>
          <w:color w:val="000000"/>
          <w:sz w:val="28"/>
          <w:szCs w:val="32"/>
          <w:highlight w:val="none"/>
        </w:rPr>
      </w:pPr>
    </w:p>
    <w:p w14:paraId="3C154D22">
      <w:pPr>
        <w:jc w:val="center"/>
        <w:rPr>
          <w:rFonts w:ascii="宋体" w:hAnsi="宋体"/>
          <w:b/>
          <w:bCs/>
          <w:color w:val="000000"/>
          <w:sz w:val="28"/>
          <w:szCs w:val="32"/>
          <w:highlight w:val="none"/>
        </w:rPr>
      </w:pPr>
    </w:p>
    <w:p w14:paraId="41B1A387">
      <w:pPr>
        <w:jc w:val="center"/>
        <w:outlineLvl w:val="3"/>
        <w:rPr>
          <w:rFonts w:ascii="宋体" w:hAnsi="宋体"/>
          <w:b/>
          <w:bCs/>
          <w:color w:val="000000"/>
          <w:sz w:val="28"/>
          <w:szCs w:val="32"/>
          <w:highlight w:val="none"/>
        </w:rPr>
      </w:pPr>
      <w:r>
        <w:rPr>
          <w:rFonts w:hint="eastAsia" w:ascii="宋体" w:hAnsi="宋体"/>
          <w:b/>
          <w:bCs/>
          <w:color w:val="000000"/>
          <w:sz w:val="28"/>
          <w:szCs w:val="32"/>
          <w:highlight w:val="none"/>
        </w:rPr>
        <w:t>投标人需要特别说明的其他文件（格式自拟，加盖公章）</w:t>
      </w:r>
    </w:p>
    <w:p w14:paraId="6A556436">
      <w:pPr>
        <w:jc w:val="center"/>
        <w:rPr>
          <w:highlight w:val="none"/>
        </w:rPr>
      </w:pPr>
      <w:r>
        <w:rPr>
          <w:rFonts w:ascii="宋体" w:hAnsi="宋体"/>
          <w:b/>
          <w:color w:val="000000"/>
          <w:sz w:val="28"/>
          <w:szCs w:val="28"/>
          <w:highlight w:val="none"/>
        </w:rPr>
        <w:br w:type="page"/>
      </w:r>
    </w:p>
    <w:p w14:paraId="40FAF439">
      <w:pPr>
        <w:rPr>
          <w:rFonts w:ascii="宋体" w:hAnsi="宋体" w:cs="新宋体"/>
          <w:sz w:val="22"/>
          <w:szCs w:val="22"/>
          <w:highlight w:val="none"/>
        </w:rPr>
      </w:pPr>
      <w:r>
        <w:rPr>
          <w:rFonts w:hint="eastAsia" w:ascii="宋体" w:hAnsi="宋体" w:cs="新宋体"/>
          <w:sz w:val="22"/>
          <w:szCs w:val="22"/>
          <w:highlight w:val="none"/>
        </w:rPr>
        <w:t>（价格标文件封面，供参考）</w:t>
      </w:r>
    </w:p>
    <w:p w14:paraId="632101B9">
      <w:pPr>
        <w:rPr>
          <w:rFonts w:ascii="宋体" w:hAnsi="宋体" w:cs="新宋体"/>
          <w:highlight w:val="none"/>
        </w:rPr>
      </w:pPr>
    </w:p>
    <w:p w14:paraId="7C71D3A7">
      <w:pPr>
        <w:rPr>
          <w:rFonts w:ascii="宋体" w:hAnsi="宋体" w:cs="新宋体"/>
          <w:highlight w:val="none"/>
        </w:rPr>
      </w:pPr>
    </w:p>
    <w:p w14:paraId="3626833F">
      <w:pPr>
        <w:rPr>
          <w:rFonts w:ascii="宋体" w:hAnsi="宋体" w:cs="新宋体"/>
          <w:highlight w:val="none"/>
        </w:rPr>
      </w:pPr>
    </w:p>
    <w:p w14:paraId="2E45E9B4">
      <w:pPr>
        <w:jc w:val="center"/>
        <w:rPr>
          <w:rFonts w:ascii="宋体" w:hAnsi="宋体" w:cs="新宋体"/>
          <w:sz w:val="28"/>
          <w:szCs w:val="28"/>
          <w:highlight w:val="none"/>
        </w:rPr>
      </w:pPr>
      <w:r>
        <w:rPr>
          <w:rFonts w:hint="eastAsia" w:ascii="宋体" w:hAnsi="宋体" w:cs="新宋体"/>
          <w:sz w:val="28"/>
          <w:szCs w:val="28"/>
          <w:highlight w:val="none"/>
          <w:u w:val="single"/>
        </w:rPr>
        <w:t xml:space="preserve">                 </w:t>
      </w:r>
      <w:r>
        <w:rPr>
          <w:rFonts w:hint="eastAsia" w:ascii="宋体" w:hAnsi="宋体" w:cs="新宋体"/>
          <w:sz w:val="28"/>
          <w:szCs w:val="28"/>
          <w:highlight w:val="none"/>
        </w:rPr>
        <w:t>（项目名称）投标文件</w:t>
      </w:r>
    </w:p>
    <w:p w14:paraId="6A2AF2E5">
      <w:pPr>
        <w:rPr>
          <w:rFonts w:ascii="宋体" w:hAnsi="宋体" w:cs="新宋体"/>
          <w:sz w:val="28"/>
          <w:szCs w:val="28"/>
          <w:highlight w:val="none"/>
        </w:rPr>
      </w:pPr>
    </w:p>
    <w:p w14:paraId="4A2FA562">
      <w:pPr>
        <w:rPr>
          <w:rFonts w:ascii="宋体" w:hAnsi="宋体" w:cs="新宋体"/>
          <w:sz w:val="28"/>
          <w:szCs w:val="28"/>
          <w:highlight w:val="none"/>
        </w:rPr>
      </w:pPr>
    </w:p>
    <w:p w14:paraId="70BE71D6">
      <w:pPr>
        <w:pStyle w:val="12"/>
        <w:ind w:firstLine="280"/>
        <w:rPr>
          <w:rFonts w:ascii="宋体" w:hAnsi="宋体" w:cs="新宋体"/>
          <w:sz w:val="28"/>
          <w:szCs w:val="28"/>
          <w:highlight w:val="none"/>
        </w:rPr>
      </w:pPr>
    </w:p>
    <w:p w14:paraId="46CAB9F7">
      <w:pPr>
        <w:pStyle w:val="12"/>
        <w:ind w:firstLine="280"/>
        <w:rPr>
          <w:rFonts w:ascii="宋体" w:hAnsi="宋体" w:cs="新宋体"/>
          <w:sz w:val="28"/>
          <w:szCs w:val="28"/>
          <w:highlight w:val="none"/>
        </w:rPr>
      </w:pPr>
    </w:p>
    <w:p w14:paraId="38C2393D">
      <w:pPr>
        <w:jc w:val="center"/>
        <w:rPr>
          <w:rFonts w:ascii="宋体" w:hAnsi="宋体" w:cs="新宋体"/>
          <w:sz w:val="52"/>
          <w:szCs w:val="52"/>
          <w:highlight w:val="none"/>
        </w:rPr>
      </w:pPr>
    </w:p>
    <w:p w14:paraId="7A1C4B4F">
      <w:pPr>
        <w:spacing w:line="360" w:lineRule="auto"/>
        <w:jc w:val="center"/>
        <w:outlineLvl w:val="2"/>
        <w:rPr>
          <w:rFonts w:ascii="宋体" w:hAnsi="宋体" w:cs="新宋体"/>
          <w:szCs w:val="21"/>
          <w:highlight w:val="none"/>
        </w:rPr>
      </w:pPr>
      <w:bookmarkStart w:id="119" w:name="_Toc1702"/>
      <w:bookmarkStart w:id="120" w:name="_Toc24158"/>
      <w:r>
        <w:rPr>
          <w:rFonts w:hint="eastAsia" w:ascii="宋体" w:hAnsi="宋体" w:cs="新宋体"/>
          <w:sz w:val="52"/>
          <w:szCs w:val="52"/>
          <w:highlight w:val="none"/>
        </w:rPr>
        <w:t>价 格 标</w:t>
      </w:r>
      <w:bookmarkEnd w:id="119"/>
      <w:bookmarkEnd w:id="120"/>
    </w:p>
    <w:p w14:paraId="5F54A3B7">
      <w:pPr>
        <w:spacing w:line="360" w:lineRule="auto"/>
        <w:rPr>
          <w:rFonts w:ascii="宋体" w:hAnsi="宋体" w:cs="新宋体"/>
          <w:szCs w:val="21"/>
          <w:highlight w:val="none"/>
        </w:rPr>
      </w:pPr>
    </w:p>
    <w:p w14:paraId="2DB1C7F0">
      <w:pPr>
        <w:spacing w:line="360" w:lineRule="auto"/>
        <w:rPr>
          <w:rFonts w:ascii="宋体" w:hAnsi="宋体" w:cs="新宋体"/>
          <w:szCs w:val="21"/>
          <w:highlight w:val="none"/>
        </w:rPr>
      </w:pPr>
    </w:p>
    <w:p w14:paraId="13F8A800">
      <w:pPr>
        <w:spacing w:line="360" w:lineRule="auto"/>
        <w:rPr>
          <w:rFonts w:ascii="宋体" w:hAnsi="宋体" w:cs="新宋体"/>
          <w:szCs w:val="21"/>
          <w:highlight w:val="none"/>
        </w:rPr>
      </w:pPr>
    </w:p>
    <w:p w14:paraId="7529086C">
      <w:pPr>
        <w:spacing w:line="360" w:lineRule="auto"/>
        <w:rPr>
          <w:rFonts w:ascii="宋体" w:hAnsi="宋体" w:cs="新宋体"/>
          <w:szCs w:val="21"/>
          <w:highlight w:val="none"/>
        </w:rPr>
      </w:pPr>
    </w:p>
    <w:p w14:paraId="5DE53052">
      <w:pPr>
        <w:spacing w:line="360" w:lineRule="auto"/>
        <w:rPr>
          <w:rFonts w:ascii="宋体" w:hAnsi="宋体" w:cs="新宋体"/>
          <w:szCs w:val="21"/>
          <w:highlight w:val="none"/>
        </w:rPr>
      </w:pPr>
    </w:p>
    <w:p w14:paraId="609430B2">
      <w:pPr>
        <w:spacing w:line="360" w:lineRule="auto"/>
        <w:rPr>
          <w:rFonts w:ascii="宋体" w:hAnsi="宋体" w:cs="新宋体"/>
          <w:szCs w:val="21"/>
          <w:highlight w:val="none"/>
        </w:rPr>
      </w:pPr>
    </w:p>
    <w:p w14:paraId="49582ECE">
      <w:pPr>
        <w:jc w:val="center"/>
        <w:rPr>
          <w:rFonts w:ascii="宋体" w:hAnsi="宋体" w:cs="新宋体"/>
          <w:sz w:val="28"/>
          <w:szCs w:val="28"/>
          <w:highlight w:val="none"/>
        </w:rPr>
      </w:pPr>
      <w:r>
        <w:rPr>
          <w:rFonts w:hint="eastAsia" w:ascii="宋体" w:hAnsi="宋体" w:cs="新宋体"/>
          <w:sz w:val="28"/>
          <w:szCs w:val="28"/>
          <w:highlight w:val="none"/>
        </w:rPr>
        <w:t>投标人：</w:t>
      </w:r>
      <w:r>
        <w:rPr>
          <w:rFonts w:hint="eastAsia" w:ascii="宋体" w:hAnsi="宋体" w:cs="新宋体"/>
          <w:sz w:val="28"/>
          <w:szCs w:val="28"/>
          <w:highlight w:val="none"/>
          <w:u w:val="single"/>
        </w:rPr>
        <w:t xml:space="preserve">                              </w:t>
      </w:r>
      <w:r>
        <w:rPr>
          <w:rFonts w:hint="eastAsia" w:ascii="宋体" w:hAnsi="宋体" w:cs="新宋体"/>
          <w:sz w:val="28"/>
          <w:szCs w:val="28"/>
          <w:highlight w:val="none"/>
        </w:rPr>
        <w:t>（盖单位章）</w:t>
      </w:r>
    </w:p>
    <w:p w14:paraId="4F3F79F5">
      <w:pPr>
        <w:rPr>
          <w:rFonts w:ascii="宋体" w:hAnsi="宋体" w:cs="新宋体"/>
          <w:sz w:val="28"/>
          <w:szCs w:val="28"/>
          <w:highlight w:val="none"/>
          <w:u w:val="single"/>
        </w:rPr>
      </w:pPr>
    </w:p>
    <w:p w14:paraId="662F1372">
      <w:pPr>
        <w:jc w:val="center"/>
        <w:rPr>
          <w:rFonts w:ascii="宋体" w:hAnsi="宋体" w:cs="新宋体"/>
          <w:sz w:val="28"/>
          <w:szCs w:val="28"/>
          <w:highlight w:val="none"/>
        </w:rPr>
      </w:pPr>
      <w:r>
        <w:rPr>
          <w:rFonts w:hint="eastAsia" w:ascii="宋体" w:hAnsi="宋体" w:cs="新宋体"/>
          <w:sz w:val="28"/>
          <w:szCs w:val="28"/>
          <w:highlight w:val="none"/>
        </w:rPr>
        <w:t>法定代表人或授权代表：</w:t>
      </w:r>
      <w:r>
        <w:rPr>
          <w:rFonts w:hint="eastAsia" w:ascii="宋体" w:hAnsi="宋体" w:cs="新宋体"/>
          <w:sz w:val="28"/>
          <w:szCs w:val="28"/>
          <w:highlight w:val="none"/>
          <w:u w:val="single"/>
        </w:rPr>
        <w:t xml:space="preserve">          </w:t>
      </w:r>
      <w:r>
        <w:rPr>
          <w:rFonts w:hint="eastAsia" w:ascii="宋体" w:hAnsi="宋体" w:cs="新宋体"/>
          <w:sz w:val="28"/>
          <w:szCs w:val="28"/>
          <w:highlight w:val="none"/>
        </w:rPr>
        <w:t>（签字或盖章）</w:t>
      </w:r>
    </w:p>
    <w:p w14:paraId="75C9FB87">
      <w:pPr>
        <w:rPr>
          <w:rFonts w:ascii="宋体" w:hAnsi="宋体" w:cs="新宋体"/>
          <w:sz w:val="28"/>
          <w:szCs w:val="28"/>
          <w:highlight w:val="none"/>
        </w:rPr>
      </w:pPr>
    </w:p>
    <w:p w14:paraId="137B2670">
      <w:pPr>
        <w:overflowPunct w:val="0"/>
        <w:spacing w:line="380" w:lineRule="exact"/>
        <w:ind w:firstLine="2738" w:firstLineChars="978"/>
        <w:rPr>
          <w:rFonts w:ascii="宋体" w:hAnsi="宋体" w:cs="新宋体"/>
          <w:sz w:val="28"/>
          <w:szCs w:val="28"/>
          <w:highlight w:val="none"/>
        </w:rPr>
      </w:pPr>
      <w:r>
        <w:rPr>
          <w:rFonts w:hint="eastAsia" w:ascii="宋体" w:hAnsi="宋体" w:cs="新宋体"/>
          <w:sz w:val="28"/>
          <w:szCs w:val="28"/>
          <w:highlight w:val="none"/>
          <w:u w:val="single"/>
        </w:rPr>
        <w:t xml:space="preserve">        </w:t>
      </w:r>
      <w:r>
        <w:rPr>
          <w:rFonts w:hint="eastAsia" w:ascii="宋体" w:hAnsi="宋体" w:cs="新宋体"/>
          <w:sz w:val="28"/>
          <w:szCs w:val="28"/>
          <w:highlight w:val="none"/>
        </w:rPr>
        <w:t>年</w:t>
      </w:r>
      <w:r>
        <w:rPr>
          <w:rFonts w:hint="eastAsia" w:ascii="宋体" w:hAnsi="宋体" w:cs="新宋体"/>
          <w:sz w:val="28"/>
          <w:szCs w:val="28"/>
          <w:highlight w:val="none"/>
          <w:u w:val="single"/>
        </w:rPr>
        <w:t xml:space="preserve">        </w:t>
      </w:r>
      <w:r>
        <w:rPr>
          <w:rFonts w:hint="eastAsia" w:ascii="宋体" w:hAnsi="宋体" w:cs="新宋体"/>
          <w:sz w:val="28"/>
          <w:szCs w:val="28"/>
          <w:highlight w:val="none"/>
        </w:rPr>
        <w:t>月</w:t>
      </w:r>
      <w:r>
        <w:rPr>
          <w:rFonts w:hint="eastAsia" w:ascii="宋体" w:hAnsi="宋体" w:cs="新宋体"/>
          <w:sz w:val="28"/>
          <w:szCs w:val="28"/>
          <w:highlight w:val="none"/>
          <w:u w:val="single"/>
        </w:rPr>
        <w:t xml:space="preserve">        </w:t>
      </w:r>
      <w:r>
        <w:rPr>
          <w:rFonts w:hint="eastAsia" w:ascii="宋体" w:hAnsi="宋体" w:cs="新宋体"/>
          <w:sz w:val="28"/>
          <w:szCs w:val="28"/>
          <w:highlight w:val="none"/>
        </w:rPr>
        <w:t>日</w:t>
      </w:r>
    </w:p>
    <w:p w14:paraId="3DC487E3">
      <w:pPr>
        <w:widowControl/>
        <w:jc w:val="left"/>
        <w:rPr>
          <w:rFonts w:ascii="宋体" w:hAnsi="宋体"/>
          <w:b/>
          <w:color w:val="000000"/>
          <w:sz w:val="28"/>
          <w:szCs w:val="28"/>
          <w:highlight w:val="none"/>
        </w:rPr>
      </w:pPr>
    </w:p>
    <w:p w14:paraId="47B56F98">
      <w:pPr>
        <w:spacing w:line="360" w:lineRule="auto"/>
        <w:jc w:val="left"/>
        <w:rPr>
          <w:rFonts w:ascii="宋体" w:hAnsi="宋体"/>
          <w:bCs/>
          <w:color w:val="000000"/>
          <w:sz w:val="28"/>
          <w:szCs w:val="28"/>
          <w:highlight w:val="none"/>
        </w:rPr>
      </w:pPr>
      <w:r>
        <w:rPr>
          <w:rFonts w:ascii="宋体" w:hAnsi="宋体"/>
          <w:b/>
          <w:color w:val="000000"/>
          <w:sz w:val="28"/>
          <w:szCs w:val="28"/>
          <w:highlight w:val="none"/>
        </w:rPr>
        <w:br w:type="page"/>
      </w:r>
      <w:r>
        <w:rPr>
          <w:rFonts w:hint="eastAsia" w:ascii="宋体" w:hAnsi="宋体"/>
          <w:color w:val="000000"/>
          <w:sz w:val="28"/>
          <w:szCs w:val="32"/>
          <w:highlight w:val="none"/>
        </w:rPr>
        <w:t>附件二十一</w:t>
      </w:r>
    </w:p>
    <w:p w14:paraId="0DA96425">
      <w:pPr>
        <w:spacing w:line="400" w:lineRule="exact"/>
        <w:jc w:val="center"/>
        <w:outlineLvl w:val="3"/>
        <w:rPr>
          <w:rFonts w:ascii="宋体" w:hAnsi="宋体" w:cs="宋体"/>
          <w:sz w:val="28"/>
          <w:szCs w:val="20"/>
          <w:highlight w:val="none"/>
        </w:rPr>
      </w:pPr>
      <w:r>
        <w:rPr>
          <w:rFonts w:hint="eastAsia" w:ascii="宋体" w:hAnsi="宋体" w:cs="宋体"/>
          <w:b/>
          <w:bCs/>
          <w:sz w:val="28"/>
          <w:szCs w:val="20"/>
          <w:highlight w:val="none"/>
        </w:rPr>
        <w:t>投标报价一览表</w:t>
      </w:r>
    </w:p>
    <w:p w14:paraId="41B763C4">
      <w:pPr>
        <w:spacing w:line="360" w:lineRule="auto"/>
        <w:rPr>
          <w:rFonts w:ascii="宋体" w:hAnsi="宋体"/>
          <w:b/>
          <w:bCs/>
          <w:sz w:val="22"/>
          <w:szCs w:val="22"/>
          <w:highlight w:val="none"/>
        </w:rPr>
      </w:pPr>
      <w:r>
        <w:rPr>
          <w:rFonts w:hint="eastAsia" w:ascii="宋体" w:hAnsi="宋体"/>
          <w:b/>
          <w:bCs/>
          <w:szCs w:val="21"/>
          <w:highlight w:val="none"/>
        </w:rPr>
        <w:t xml:space="preserve">   </w:t>
      </w:r>
    </w:p>
    <w:tbl>
      <w:tblPr>
        <w:tblStyle w:val="30"/>
        <w:tblW w:w="9288" w:type="dxa"/>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59"/>
        <w:gridCol w:w="3682"/>
        <w:gridCol w:w="2036"/>
        <w:gridCol w:w="711"/>
      </w:tblGrid>
      <w:tr w14:paraId="315CC6B4">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2859" w:type="dxa"/>
            <w:tcBorders>
              <w:top w:val="single" w:color="auto" w:sz="4" w:space="0"/>
              <w:left w:val="single" w:color="auto" w:sz="4" w:space="0"/>
            </w:tcBorders>
            <w:noWrap/>
            <w:vAlign w:val="center"/>
          </w:tcPr>
          <w:p w14:paraId="2D042D01">
            <w:pPr>
              <w:pStyle w:val="17"/>
              <w:snapToGrid w:val="0"/>
              <w:spacing w:before="156" w:after="156" w:line="240" w:lineRule="auto"/>
              <w:jc w:val="center"/>
              <w:rPr>
                <w:rFonts w:hAnsi="宋体" w:cs="宋体"/>
                <w:b/>
                <w:kern w:val="2"/>
                <w:sz w:val="22"/>
                <w:szCs w:val="22"/>
                <w:highlight w:val="none"/>
              </w:rPr>
            </w:pPr>
            <w:r>
              <w:rPr>
                <w:rFonts w:hint="eastAsia" w:hAnsi="宋体" w:cs="宋体"/>
                <w:b/>
                <w:kern w:val="2"/>
                <w:sz w:val="22"/>
                <w:szCs w:val="22"/>
                <w:highlight w:val="none"/>
              </w:rPr>
              <w:t>投标内容</w:t>
            </w:r>
          </w:p>
        </w:tc>
        <w:tc>
          <w:tcPr>
            <w:tcW w:w="3682" w:type="dxa"/>
            <w:tcBorders>
              <w:top w:val="single" w:color="auto" w:sz="4" w:space="0"/>
            </w:tcBorders>
            <w:noWrap/>
            <w:vAlign w:val="center"/>
          </w:tcPr>
          <w:p w14:paraId="1F581BC1">
            <w:pPr>
              <w:pStyle w:val="17"/>
              <w:snapToGrid w:val="0"/>
              <w:spacing w:before="156" w:after="156" w:line="240" w:lineRule="auto"/>
              <w:jc w:val="center"/>
              <w:rPr>
                <w:rFonts w:hAnsi="宋体" w:cs="宋体"/>
                <w:b/>
                <w:kern w:val="2"/>
                <w:sz w:val="22"/>
                <w:szCs w:val="22"/>
                <w:highlight w:val="none"/>
              </w:rPr>
            </w:pPr>
            <w:r>
              <w:rPr>
                <w:rFonts w:hint="eastAsia" w:hAnsi="宋体" w:cs="宋体"/>
                <w:b/>
                <w:kern w:val="2"/>
                <w:sz w:val="22"/>
                <w:szCs w:val="22"/>
                <w:highlight w:val="none"/>
              </w:rPr>
              <w:t>项目工期</w:t>
            </w:r>
          </w:p>
        </w:tc>
        <w:tc>
          <w:tcPr>
            <w:tcW w:w="2036" w:type="dxa"/>
            <w:tcBorders>
              <w:top w:val="single" w:color="auto" w:sz="4" w:space="0"/>
              <w:right w:val="single" w:color="auto" w:sz="4" w:space="0"/>
            </w:tcBorders>
            <w:noWrap/>
            <w:vAlign w:val="center"/>
          </w:tcPr>
          <w:p w14:paraId="34E000F1">
            <w:pPr>
              <w:pStyle w:val="17"/>
              <w:snapToGrid w:val="0"/>
              <w:spacing w:before="156" w:after="156" w:line="240" w:lineRule="auto"/>
              <w:jc w:val="center"/>
              <w:rPr>
                <w:rFonts w:hAnsi="宋体" w:cs="宋体"/>
                <w:b/>
                <w:kern w:val="2"/>
                <w:sz w:val="22"/>
                <w:szCs w:val="22"/>
                <w:highlight w:val="none"/>
              </w:rPr>
            </w:pPr>
            <w:r>
              <w:rPr>
                <w:rFonts w:hint="eastAsia" w:hAnsi="宋体" w:cs="宋体"/>
                <w:b/>
                <w:kern w:val="2"/>
                <w:sz w:val="22"/>
                <w:szCs w:val="22"/>
                <w:highlight w:val="none"/>
              </w:rPr>
              <w:t>质保期</w:t>
            </w:r>
          </w:p>
        </w:tc>
        <w:tc>
          <w:tcPr>
            <w:tcW w:w="711" w:type="dxa"/>
            <w:tcBorders>
              <w:top w:val="single" w:color="auto" w:sz="4" w:space="0"/>
              <w:right w:val="single" w:color="auto" w:sz="4" w:space="0"/>
            </w:tcBorders>
            <w:noWrap/>
            <w:vAlign w:val="center"/>
          </w:tcPr>
          <w:p w14:paraId="79BCC4D8">
            <w:pPr>
              <w:pStyle w:val="17"/>
              <w:snapToGrid w:val="0"/>
              <w:spacing w:before="156" w:after="156" w:line="240" w:lineRule="auto"/>
              <w:jc w:val="center"/>
              <w:rPr>
                <w:rFonts w:hAnsi="宋体" w:cs="宋体"/>
                <w:b/>
                <w:kern w:val="2"/>
                <w:sz w:val="22"/>
                <w:szCs w:val="22"/>
                <w:highlight w:val="none"/>
              </w:rPr>
            </w:pPr>
            <w:r>
              <w:rPr>
                <w:rFonts w:hint="eastAsia" w:hAnsi="宋体" w:cs="宋体"/>
                <w:b/>
                <w:kern w:val="2"/>
                <w:sz w:val="22"/>
                <w:szCs w:val="22"/>
                <w:highlight w:val="none"/>
              </w:rPr>
              <w:t>税率</w:t>
            </w:r>
          </w:p>
        </w:tc>
      </w:tr>
      <w:tr w14:paraId="5FA2CF7F">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59" w:type="dxa"/>
            <w:tcBorders>
              <w:left w:val="single" w:color="auto" w:sz="4" w:space="0"/>
            </w:tcBorders>
            <w:noWrap/>
            <w:vAlign w:val="center"/>
          </w:tcPr>
          <w:p w14:paraId="1FAF117B">
            <w:pPr>
              <w:pStyle w:val="17"/>
              <w:snapToGrid w:val="0"/>
              <w:spacing w:before="156" w:after="156" w:line="360" w:lineRule="exact"/>
              <w:jc w:val="center"/>
              <w:rPr>
                <w:rFonts w:hAnsi="宋体" w:cs="宋体"/>
                <w:sz w:val="22"/>
                <w:szCs w:val="22"/>
                <w:highlight w:val="none"/>
              </w:rPr>
            </w:pPr>
            <w:r>
              <w:rPr>
                <w:rFonts w:hint="eastAsia" w:hAnsi="宋体" w:cs="宋体"/>
                <w:sz w:val="22"/>
                <w:szCs w:val="22"/>
                <w:highlight w:val="none"/>
              </w:rPr>
              <w:t>温州港集团有限公司龙湾港务分公司35吨门机回转支承更换及16吨门机臂架头部铰点维修</w:t>
            </w:r>
          </w:p>
        </w:tc>
        <w:tc>
          <w:tcPr>
            <w:tcW w:w="3682" w:type="dxa"/>
            <w:noWrap/>
            <w:vAlign w:val="center"/>
          </w:tcPr>
          <w:p w14:paraId="43483BDC">
            <w:pPr>
              <w:pStyle w:val="17"/>
              <w:snapToGrid w:val="0"/>
              <w:spacing w:before="156" w:after="156" w:line="360" w:lineRule="exact"/>
              <w:jc w:val="left"/>
              <w:rPr>
                <w:rFonts w:hAnsi="宋体" w:cs="宋体"/>
                <w:sz w:val="22"/>
                <w:highlight w:val="none"/>
              </w:rPr>
            </w:pPr>
            <w:r>
              <w:rPr>
                <w:rFonts w:hint="eastAsia" w:hAnsi="宋体" w:cs="宋体"/>
                <w:sz w:val="22"/>
                <w:szCs w:val="22"/>
                <w:highlight w:val="none"/>
              </w:rPr>
              <w:t>①35吨门机回转支承需在合同签订后</w:t>
            </w:r>
            <w:r>
              <w:rPr>
                <w:rFonts w:hint="eastAsia" w:hAnsi="宋体" w:cs="宋体"/>
                <w:sz w:val="22"/>
                <w:szCs w:val="22"/>
                <w:highlight w:val="none"/>
                <w:u w:val="single"/>
              </w:rPr>
              <w:t xml:space="preserve">   </w:t>
            </w:r>
            <w:r>
              <w:rPr>
                <w:rFonts w:hint="eastAsia" w:hAnsi="宋体" w:cs="宋体"/>
                <w:sz w:val="22"/>
                <w:szCs w:val="22"/>
                <w:highlight w:val="none"/>
              </w:rPr>
              <w:t>日历天内完成到港并验收通过。②两台设备现场维修工期为：接到招标人书面通知之日起</w:t>
            </w:r>
            <w:r>
              <w:rPr>
                <w:rFonts w:hint="eastAsia" w:hAnsi="宋体" w:cs="宋体"/>
                <w:sz w:val="22"/>
                <w:szCs w:val="22"/>
                <w:highlight w:val="none"/>
                <w:u w:val="single"/>
              </w:rPr>
              <w:t xml:space="preserve">   </w:t>
            </w:r>
            <w:r>
              <w:rPr>
                <w:rFonts w:hint="eastAsia" w:hAnsi="宋体" w:cs="宋体"/>
                <w:sz w:val="22"/>
                <w:szCs w:val="22"/>
                <w:highlight w:val="none"/>
              </w:rPr>
              <w:t>日历天内完成安装调试并通过招标人验收。</w:t>
            </w:r>
          </w:p>
        </w:tc>
        <w:tc>
          <w:tcPr>
            <w:tcW w:w="2036" w:type="dxa"/>
            <w:tcBorders>
              <w:right w:val="single" w:color="auto" w:sz="4" w:space="0"/>
            </w:tcBorders>
            <w:noWrap/>
            <w:vAlign w:val="center"/>
          </w:tcPr>
          <w:p w14:paraId="18D52739">
            <w:pPr>
              <w:pStyle w:val="17"/>
              <w:snapToGrid w:val="0"/>
              <w:spacing w:before="156" w:after="156" w:line="360" w:lineRule="exact"/>
              <w:jc w:val="center"/>
              <w:rPr>
                <w:rFonts w:hAnsi="宋体" w:cs="宋体"/>
                <w:sz w:val="22"/>
                <w:szCs w:val="22"/>
                <w:highlight w:val="none"/>
              </w:rPr>
            </w:pPr>
            <w:r>
              <w:rPr>
                <w:rFonts w:hint="eastAsia" w:hAnsi="宋体" w:cs="宋体"/>
                <w:sz w:val="22"/>
                <w:szCs w:val="22"/>
                <w:highlight w:val="none"/>
              </w:rPr>
              <w:t>调试合格并通过验收后</w:t>
            </w:r>
            <w:r>
              <w:rPr>
                <w:rFonts w:hint="eastAsia" w:hAnsi="宋体" w:cs="宋体"/>
                <w:sz w:val="22"/>
                <w:szCs w:val="22"/>
                <w:highlight w:val="none"/>
                <w:u w:val="single"/>
              </w:rPr>
              <w:t xml:space="preserve">    </w:t>
            </w:r>
            <w:r>
              <w:rPr>
                <w:rFonts w:hint="eastAsia" w:hAnsi="宋体" w:cs="宋体"/>
                <w:sz w:val="22"/>
                <w:szCs w:val="22"/>
                <w:highlight w:val="none"/>
              </w:rPr>
              <w:t>个月。</w:t>
            </w:r>
          </w:p>
        </w:tc>
        <w:tc>
          <w:tcPr>
            <w:tcW w:w="711" w:type="dxa"/>
            <w:tcBorders>
              <w:right w:val="single" w:color="auto" w:sz="4" w:space="0"/>
            </w:tcBorders>
            <w:noWrap/>
            <w:vAlign w:val="center"/>
          </w:tcPr>
          <w:p w14:paraId="71936559">
            <w:pPr>
              <w:pStyle w:val="17"/>
              <w:snapToGrid w:val="0"/>
              <w:spacing w:before="156" w:after="156" w:line="360" w:lineRule="exact"/>
              <w:jc w:val="left"/>
              <w:rPr>
                <w:rFonts w:hAnsi="宋体" w:cs="宋体"/>
                <w:sz w:val="22"/>
                <w:szCs w:val="22"/>
                <w:highlight w:val="none"/>
              </w:rPr>
            </w:pPr>
            <w:r>
              <w:rPr>
                <w:rFonts w:hint="eastAsia" w:hAnsi="宋体" w:cs="宋体"/>
                <w:sz w:val="22"/>
                <w:szCs w:val="22"/>
                <w:highlight w:val="none"/>
              </w:rPr>
              <w:t>13%</w:t>
            </w:r>
          </w:p>
        </w:tc>
      </w:tr>
      <w:tr w14:paraId="11A48704">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59" w:type="dxa"/>
            <w:tcBorders>
              <w:left w:val="single" w:color="auto" w:sz="4" w:space="0"/>
              <w:bottom w:val="single" w:color="auto" w:sz="4" w:space="0"/>
            </w:tcBorders>
            <w:noWrap/>
            <w:vAlign w:val="center"/>
          </w:tcPr>
          <w:p w14:paraId="58BA5FE9">
            <w:pPr>
              <w:pStyle w:val="17"/>
              <w:snapToGrid w:val="0"/>
              <w:spacing w:before="156" w:after="156" w:line="240" w:lineRule="auto"/>
              <w:jc w:val="center"/>
              <w:rPr>
                <w:rFonts w:hAnsi="宋体" w:cs="宋体"/>
                <w:kern w:val="2"/>
                <w:sz w:val="22"/>
                <w:szCs w:val="22"/>
                <w:highlight w:val="none"/>
              </w:rPr>
            </w:pPr>
            <w:r>
              <w:rPr>
                <w:rFonts w:hint="eastAsia" w:hAnsi="宋体" w:cs="宋体"/>
                <w:kern w:val="2"/>
                <w:sz w:val="22"/>
                <w:szCs w:val="22"/>
                <w:highlight w:val="none"/>
              </w:rPr>
              <w:t>投标报价</w:t>
            </w:r>
          </w:p>
          <w:p w14:paraId="76865A76">
            <w:pPr>
              <w:pStyle w:val="17"/>
              <w:snapToGrid w:val="0"/>
              <w:spacing w:before="156" w:after="156" w:line="240" w:lineRule="auto"/>
              <w:jc w:val="center"/>
              <w:rPr>
                <w:rFonts w:hAnsi="宋体" w:cs="宋体"/>
                <w:kern w:val="2"/>
                <w:sz w:val="22"/>
                <w:szCs w:val="22"/>
                <w:highlight w:val="none"/>
              </w:rPr>
            </w:pPr>
            <w:r>
              <w:rPr>
                <w:rFonts w:hint="eastAsia" w:hAnsi="宋体" w:cs="宋体"/>
                <w:kern w:val="2"/>
                <w:sz w:val="22"/>
                <w:szCs w:val="22"/>
                <w:highlight w:val="none"/>
              </w:rPr>
              <w:t>（总价）</w:t>
            </w:r>
          </w:p>
        </w:tc>
        <w:tc>
          <w:tcPr>
            <w:tcW w:w="6429" w:type="dxa"/>
            <w:gridSpan w:val="3"/>
            <w:tcBorders>
              <w:bottom w:val="single" w:color="auto" w:sz="4" w:space="0"/>
              <w:right w:val="single" w:color="auto" w:sz="4" w:space="0"/>
            </w:tcBorders>
            <w:noWrap/>
            <w:vAlign w:val="center"/>
          </w:tcPr>
          <w:p w14:paraId="7B769CFE">
            <w:pPr>
              <w:pStyle w:val="17"/>
              <w:snapToGrid w:val="0"/>
              <w:spacing w:beforeLines="0" w:afterLines="0" w:line="240" w:lineRule="auto"/>
              <w:jc w:val="left"/>
              <w:rPr>
                <w:rFonts w:hAnsi="宋体" w:cs="宋体"/>
                <w:b/>
                <w:bCs/>
                <w:kern w:val="2"/>
                <w:sz w:val="22"/>
                <w:szCs w:val="22"/>
                <w:highlight w:val="none"/>
              </w:rPr>
            </w:pPr>
            <w:r>
              <w:rPr>
                <w:rFonts w:hint="eastAsia" w:hAnsi="宋体" w:cs="宋体"/>
                <w:kern w:val="2"/>
                <w:sz w:val="22"/>
                <w:szCs w:val="22"/>
                <w:highlight w:val="none"/>
              </w:rPr>
              <w:t>（大写）：</w:t>
            </w:r>
            <w:r>
              <w:rPr>
                <w:rFonts w:hint="eastAsia" w:hAnsi="宋体" w:cs="宋体"/>
                <w:kern w:val="2"/>
                <w:sz w:val="22"/>
                <w:szCs w:val="22"/>
                <w:highlight w:val="none"/>
                <w:u w:val="single"/>
              </w:rPr>
              <w:t xml:space="preserve"> </w:t>
            </w:r>
            <w:r>
              <w:rPr>
                <w:rFonts w:hAnsi="宋体" w:cs="宋体"/>
                <w:kern w:val="2"/>
                <w:sz w:val="22"/>
                <w:szCs w:val="22"/>
                <w:highlight w:val="none"/>
                <w:u w:val="single"/>
              </w:rPr>
              <w:t xml:space="preserve">  </w:t>
            </w:r>
            <w:r>
              <w:rPr>
                <w:rFonts w:hint="eastAsia" w:hAnsi="宋体" w:cs="宋体"/>
                <w:kern w:val="2"/>
                <w:sz w:val="22"/>
                <w:szCs w:val="22"/>
                <w:highlight w:val="none"/>
                <w:u w:val="single"/>
              </w:rPr>
              <w:t xml:space="preserve"> </w:t>
            </w:r>
            <w:r>
              <w:rPr>
                <w:rFonts w:hAnsi="宋体" w:cs="宋体"/>
                <w:kern w:val="2"/>
                <w:sz w:val="22"/>
                <w:szCs w:val="22"/>
                <w:highlight w:val="none"/>
                <w:u w:val="single"/>
              </w:rPr>
              <w:t xml:space="preserve">   </w:t>
            </w:r>
            <w:r>
              <w:rPr>
                <w:rFonts w:hint="eastAsia" w:hAnsi="宋体" w:cs="宋体"/>
                <w:kern w:val="2"/>
                <w:sz w:val="22"/>
                <w:szCs w:val="22"/>
                <w:highlight w:val="none"/>
              </w:rPr>
              <w:t>元/人民币</w:t>
            </w:r>
          </w:p>
          <w:p w14:paraId="5AD70367">
            <w:pPr>
              <w:pStyle w:val="17"/>
              <w:snapToGrid w:val="0"/>
              <w:spacing w:before="156" w:after="156" w:line="240" w:lineRule="auto"/>
              <w:jc w:val="left"/>
              <w:rPr>
                <w:rFonts w:hAnsi="宋体" w:cs="宋体"/>
                <w:kern w:val="2"/>
                <w:sz w:val="22"/>
                <w:szCs w:val="22"/>
                <w:highlight w:val="none"/>
              </w:rPr>
            </w:pPr>
            <w:r>
              <w:rPr>
                <w:rFonts w:hint="eastAsia" w:hAnsi="宋体" w:cs="宋体"/>
                <w:kern w:val="2"/>
                <w:sz w:val="22"/>
                <w:szCs w:val="22"/>
                <w:highlight w:val="none"/>
              </w:rPr>
              <w:t>（小写）：¥</w:t>
            </w:r>
            <w:r>
              <w:rPr>
                <w:rFonts w:hint="eastAsia" w:hAnsi="宋体" w:cs="宋体"/>
                <w:kern w:val="2"/>
                <w:sz w:val="22"/>
                <w:szCs w:val="22"/>
                <w:highlight w:val="none"/>
                <w:u w:val="single"/>
              </w:rPr>
              <w:t xml:space="preserve">      </w:t>
            </w:r>
            <w:r>
              <w:rPr>
                <w:rFonts w:hint="eastAsia" w:hAnsi="宋体" w:cs="宋体"/>
                <w:kern w:val="2"/>
                <w:sz w:val="22"/>
                <w:szCs w:val="22"/>
                <w:highlight w:val="none"/>
              </w:rPr>
              <w:t>元/人民币</w:t>
            </w:r>
          </w:p>
        </w:tc>
      </w:tr>
    </w:tbl>
    <w:p w14:paraId="1750BB25">
      <w:pPr>
        <w:spacing w:line="360" w:lineRule="auto"/>
        <w:rPr>
          <w:rFonts w:ascii="宋体" w:hAnsi="宋体"/>
          <w:b/>
          <w:bCs/>
          <w:sz w:val="22"/>
          <w:szCs w:val="22"/>
          <w:highlight w:val="none"/>
        </w:rPr>
      </w:pPr>
    </w:p>
    <w:p w14:paraId="643243CB">
      <w:pPr>
        <w:spacing w:line="360" w:lineRule="auto"/>
        <w:rPr>
          <w:rFonts w:ascii="宋体" w:hAnsi="宋体"/>
          <w:b/>
          <w:bCs/>
          <w:sz w:val="22"/>
          <w:szCs w:val="22"/>
          <w:highlight w:val="none"/>
        </w:rPr>
      </w:pPr>
      <w:r>
        <w:rPr>
          <w:rFonts w:hint="eastAsia" w:ascii="宋体" w:hAnsi="宋体"/>
          <w:b/>
          <w:bCs/>
          <w:sz w:val="22"/>
          <w:szCs w:val="22"/>
          <w:highlight w:val="none"/>
        </w:rPr>
        <w:t>说明：</w:t>
      </w:r>
      <w:r>
        <w:rPr>
          <w:rFonts w:ascii="宋体" w:hAnsi="宋体"/>
          <w:b/>
          <w:bCs/>
          <w:sz w:val="22"/>
          <w:szCs w:val="22"/>
          <w:highlight w:val="none"/>
        </w:rPr>
        <w:t xml:space="preserve"> </w:t>
      </w:r>
    </w:p>
    <w:p w14:paraId="342606F7">
      <w:pPr>
        <w:spacing w:line="360" w:lineRule="auto"/>
        <w:rPr>
          <w:rFonts w:ascii="宋体" w:hAnsi="宋体"/>
          <w:b/>
          <w:bCs/>
          <w:sz w:val="22"/>
          <w:szCs w:val="22"/>
          <w:highlight w:val="none"/>
        </w:rPr>
      </w:pPr>
      <w:r>
        <w:rPr>
          <w:rFonts w:ascii="宋体" w:hAnsi="宋体"/>
          <w:b/>
          <w:bCs/>
          <w:sz w:val="22"/>
          <w:szCs w:val="22"/>
          <w:highlight w:val="none"/>
        </w:rPr>
        <w:t>1</w:t>
      </w:r>
      <w:r>
        <w:rPr>
          <w:rFonts w:hint="eastAsia" w:ascii="宋体" w:hAnsi="宋体"/>
          <w:b/>
          <w:bCs/>
          <w:sz w:val="22"/>
          <w:szCs w:val="22"/>
          <w:highlight w:val="none"/>
        </w:rPr>
        <w:t>.★不提供投标报价一览表的投标文件将被视为未实质性响应招标文件。</w:t>
      </w:r>
    </w:p>
    <w:p w14:paraId="4D1319BB">
      <w:pPr>
        <w:spacing w:line="360" w:lineRule="auto"/>
        <w:rPr>
          <w:rFonts w:ascii="宋体" w:hAnsi="宋体"/>
          <w:b/>
          <w:bCs/>
          <w:sz w:val="22"/>
          <w:szCs w:val="22"/>
          <w:highlight w:val="none"/>
        </w:rPr>
      </w:pPr>
      <w:r>
        <w:rPr>
          <w:rFonts w:hint="eastAsia" w:ascii="宋体" w:hAnsi="宋体"/>
          <w:b/>
          <w:color w:val="000000"/>
          <w:sz w:val="22"/>
          <w:szCs w:val="22"/>
          <w:highlight w:val="none"/>
        </w:rPr>
        <w:t>2.★本项目为交钥匙工程，本次报价是包含招标文件规定的完成本项目所需的人工费、材料费、汽车吊租赁费、保险费、调试、施工方案审查费、检测检验费、13%增值税税金及项目涉及的一切服务和辅材等全部工作的总费用（含平台交易服务费）。现场安装、调试所需叉车、用电、用水、齿轮油、锂基脂均不含在投标报价内，由招标人负</w:t>
      </w:r>
      <w:r>
        <w:rPr>
          <w:rFonts w:hint="eastAsia" w:ascii="宋体" w:hAnsi="宋体"/>
          <w:b/>
          <w:color w:val="000000"/>
          <w:sz w:val="22"/>
          <w:szCs w:val="22"/>
          <w:highlight w:val="none"/>
          <w:lang w:val="en-US" w:eastAsia="zh-CN"/>
        </w:rPr>
        <w:t>责</w:t>
      </w:r>
      <w:r>
        <w:rPr>
          <w:rFonts w:hint="eastAsia" w:ascii="宋体" w:hAnsi="宋体"/>
          <w:b/>
          <w:color w:val="000000"/>
          <w:sz w:val="22"/>
          <w:szCs w:val="22"/>
          <w:highlight w:val="none"/>
        </w:rPr>
        <w:t>。招标人不再另行支付其它任何费用</w:t>
      </w:r>
      <w:r>
        <w:rPr>
          <w:rFonts w:hint="eastAsia" w:ascii="宋体" w:hAnsi="宋体"/>
          <w:b/>
          <w:bCs/>
          <w:sz w:val="22"/>
          <w:szCs w:val="22"/>
          <w:highlight w:val="none"/>
        </w:rPr>
        <w:t>。</w:t>
      </w:r>
    </w:p>
    <w:p w14:paraId="38026E94">
      <w:pPr>
        <w:rPr>
          <w:rFonts w:ascii="宋体" w:hAnsi="宋体"/>
          <w:sz w:val="22"/>
          <w:szCs w:val="22"/>
          <w:highlight w:val="none"/>
        </w:rPr>
      </w:pPr>
    </w:p>
    <w:p w14:paraId="6530120C">
      <w:pPr>
        <w:rPr>
          <w:rFonts w:ascii="宋体" w:hAnsi="宋体"/>
          <w:sz w:val="22"/>
          <w:szCs w:val="22"/>
          <w:highlight w:val="none"/>
        </w:rPr>
      </w:pPr>
    </w:p>
    <w:p w14:paraId="58D6CFA1">
      <w:pPr>
        <w:spacing w:before="156" w:beforeLines="50" w:after="156" w:afterLines="50" w:line="400" w:lineRule="exact"/>
        <w:ind w:firstLine="5390" w:firstLineChars="2450"/>
        <w:rPr>
          <w:rFonts w:ascii="宋体" w:hAnsi="宋体"/>
          <w:sz w:val="22"/>
          <w:szCs w:val="22"/>
          <w:highlight w:val="none"/>
        </w:rPr>
      </w:pPr>
      <w:r>
        <w:rPr>
          <w:rFonts w:hint="eastAsia" w:ascii="宋体" w:hAnsi="宋体"/>
          <w:sz w:val="22"/>
          <w:szCs w:val="22"/>
          <w:highlight w:val="none"/>
        </w:rPr>
        <w:t xml:space="preserve">投标人全称（加盖单位公章）： </w:t>
      </w:r>
    </w:p>
    <w:p w14:paraId="17CAEDB7">
      <w:pPr>
        <w:spacing w:before="156" w:beforeLines="50" w:after="156" w:afterLines="50" w:line="400" w:lineRule="exact"/>
        <w:ind w:firstLine="5390" w:firstLineChars="2450"/>
        <w:rPr>
          <w:rFonts w:ascii="宋体" w:hAnsi="宋体"/>
          <w:sz w:val="22"/>
          <w:szCs w:val="22"/>
          <w:highlight w:val="none"/>
        </w:rPr>
      </w:pPr>
      <w:r>
        <w:rPr>
          <w:rFonts w:hint="eastAsia" w:ascii="宋体" w:hAnsi="宋体"/>
          <w:sz w:val="22"/>
          <w:szCs w:val="22"/>
          <w:highlight w:val="none"/>
        </w:rPr>
        <w:t>法定代表人或授权代表（签字</w:t>
      </w:r>
      <w:r>
        <w:rPr>
          <w:rFonts w:hint="eastAsia" w:ascii="宋体" w:hAnsi="宋体" w:cs="宋体"/>
          <w:sz w:val="22"/>
          <w:szCs w:val="22"/>
          <w:highlight w:val="none"/>
        </w:rPr>
        <w:t>或盖章</w:t>
      </w:r>
      <w:r>
        <w:rPr>
          <w:rFonts w:hint="eastAsia" w:ascii="宋体" w:hAnsi="宋体"/>
          <w:sz w:val="22"/>
          <w:szCs w:val="22"/>
          <w:highlight w:val="none"/>
        </w:rPr>
        <w:t>）：</w:t>
      </w:r>
    </w:p>
    <w:p w14:paraId="5527723C">
      <w:pPr>
        <w:spacing w:before="156" w:beforeLines="50" w:after="156" w:afterLines="50" w:line="400" w:lineRule="exact"/>
        <w:ind w:firstLine="5390" w:firstLineChars="2450"/>
        <w:rPr>
          <w:rFonts w:ascii="宋体" w:hAnsi="宋体"/>
          <w:sz w:val="22"/>
          <w:szCs w:val="22"/>
          <w:highlight w:val="none"/>
        </w:rPr>
      </w:pPr>
      <w:r>
        <w:rPr>
          <w:rFonts w:hint="eastAsia" w:ascii="宋体" w:hAnsi="宋体"/>
          <w:sz w:val="22"/>
          <w:szCs w:val="22"/>
          <w:highlight w:val="none"/>
        </w:rPr>
        <w:t>日 期：  年  月  日</w:t>
      </w:r>
    </w:p>
    <w:p w14:paraId="4F633C04">
      <w:pPr>
        <w:rPr>
          <w:rFonts w:ascii="宋体" w:hAnsi="宋体"/>
          <w:b/>
          <w:color w:val="000000"/>
          <w:sz w:val="22"/>
          <w:szCs w:val="22"/>
          <w:highlight w:val="none"/>
        </w:rPr>
      </w:pPr>
    </w:p>
    <w:p w14:paraId="4058A0B9">
      <w:pPr>
        <w:rPr>
          <w:rFonts w:ascii="宋体" w:hAnsi="宋体"/>
          <w:b/>
          <w:color w:val="000000"/>
          <w:sz w:val="22"/>
          <w:szCs w:val="22"/>
          <w:highlight w:val="none"/>
        </w:rPr>
      </w:pPr>
    </w:p>
    <w:p w14:paraId="65C9969E">
      <w:pPr>
        <w:rPr>
          <w:rFonts w:ascii="宋体" w:hAnsi="宋体"/>
          <w:b/>
          <w:color w:val="000000"/>
          <w:sz w:val="22"/>
          <w:szCs w:val="22"/>
          <w:highlight w:val="none"/>
        </w:rPr>
      </w:pPr>
      <w:r>
        <w:rPr>
          <w:rFonts w:ascii="宋体" w:hAnsi="宋体"/>
          <w:b/>
          <w:color w:val="000000"/>
          <w:sz w:val="22"/>
          <w:szCs w:val="22"/>
          <w:highlight w:val="none"/>
        </w:rPr>
        <w:br w:type="page"/>
      </w:r>
    </w:p>
    <w:p w14:paraId="4D879DC0">
      <w:pPr>
        <w:spacing w:line="360" w:lineRule="auto"/>
        <w:jc w:val="left"/>
        <w:rPr>
          <w:rFonts w:ascii="宋体" w:hAnsi="宋体"/>
          <w:bCs/>
          <w:color w:val="000000"/>
          <w:sz w:val="28"/>
          <w:szCs w:val="28"/>
          <w:highlight w:val="none"/>
        </w:rPr>
      </w:pPr>
      <w:r>
        <w:rPr>
          <w:rFonts w:hint="eastAsia" w:ascii="宋体" w:hAnsi="宋体"/>
          <w:color w:val="000000"/>
          <w:sz w:val="28"/>
          <w:szCs w:val="32"/>
          <w:highlight w:val="none"/>
        </w:rPr>
        <w:t>附件二十二</w:t>
      </w:r>
    </w:p>
    <w:p w14:paraId="6C3A73C5">
      <w:pPr>
        <w:spacing w:line="400" w:lineRule="exact"/>
        <w:jc w:val="center"/>
        <w:outlineLvl w:val="3"/>
        <w:rPr>
          <w:rFonts w:ascii="宋体" w:hAnsi="宋体" w:cs="宋体"/>
          <w:sz w:val="28"/>
          <w:szCs w:val="20"/>
          <w:highlight w:val="none"/>
        </w:rPr>
      </w:pPr>
      <w:r>
        <w:rPr>
          <w:rFonts w:hint="eastAsia" w:ascii="宋体" w:hAnsi="宋体" w:cs="宋体"/>
          <w:b/>
          <w:bCs/>
          <w:sz w:val="28"/>
          <w:szCs w:val="20"/>
          <w:highlight w:val="none"/>
        </w:rPr>
        <w:t>分项报价表</w:t>
      </w:r>
    </w:p>
    <w:p w14:paraId="610458A9">
      <w:pPr>
        <w:spacing w:line="360" w:lineRule="auto"/>
        <w:rPr>
          <w:rFonts w:ascii="宋体" w:hAnsi="宋体"/>
          <w:b/>
          <w:bCs/>
          <w:sz w:val="22"/>
          <w:szCs w:val="22"/>
          <w:highlight w:val="none"/>
        </w:rPr>
      </w:pPr>
      <w:r>
        <w:rPr>
          <w:rFonts w:hint="eastAsia" w:ascii="宋体" w:hAnsi="宋体"/>
          <w:b/>
          <w:bCs/>
          <w:szCs w:val="21"/>
          <w:highlight w:val="none"/>
        </w:rPr>
        <w:t xml:space="preserve">  </w:t>
      </w:r>
    </w:p>
    <w:tbl>
      <w:tblPr>
        <w:tblStyle w:val="82"/>
        <w:tblW w:w="9116" w:type="dxa"/>
        <w:tblInd w:w="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858"/>
        <w:gridCol w:w="2066"/>
        <w:gridCol w:w="1103"/>
        <w:gridCol w:w="851"/>
        <w:gridCol w:w="851"/>
        <w:gridCol w:w="800"/>
        <w:gridCol w:w="824"/>
        <w:gridCol w:w="763"/>
      </w:tblGrid>
      <w:tr w14:paraId="36837D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06" w:hRule="atLeast"/>
        </w:trPr>
        <w:tc>
          <w:tcPr>
            <w:tcW w:w="1858" w:type="dxa"/>
            <w:vAlign w:val="center"/>
          </w:tcPr>
          <w:p w14:paraId="7F91DAF6">
            <w:pPr>
              <w:pStyle w:val="17"/>
              <w:snapToGrid w:val="0"/>
              <w:spacing w:before="156" w:after="156" w:line="240" w:lineRule="auto"/>
              <w:jc w:val="center"/>
              <w:rPr>
                <w:rFonts w:hAnsi="宋体" w:cs="宋体"/>
                <w:bCs/>
                <w:kern w:val="2"/>
                <w:sz w:val="22"/>
                <w:szCs w:val="22"/>
                <w:highlight w:val="none"/>
              </w:rPr>
            </w:pPr>
            <w:r>
              <w:rPr>
                <w:rFonts w:hint="eastAsia" w:hAnsi="宋体" w:cs="宋体"/>
                <w:bCs/>
                <w:kern w:val="2"/>
                <w:sz w:val="22"/>
                <w:szCs w:val="22"/>
                <w:highlight w:val="none"/>
              </w:rPr>
              <w:t>设备名称</w:t>
            </w:r>
          </w:p>
        </w:tc>
        <w:tc>
          <w:tcPr>
            <w:tcW w:w="2066" w:type="dxa"/>
            <w:vAlign w:val="center"/>
          </w:tcPr>
          <w:p w14:paraId="7B1C4FD3">
            <w:pPr>
              <w:pStyle w:val="17"/>
              <w:snapToGrid w:val="0"/>
              <w:spacing w:before="156" w:after="156" w:line="240" w:lineRule="auto"/>
              <w:jc w:val="center"/>
              <w:rPr>
                <w:rFonts w:hAnsi="宋体" w:cs="宋体"/>
                <w:bCs/>
                <w:kern w:val="2"/>
                <w:sz w:val="22"/>
                <w:szCs w:val="22"/>
                <w:highlight w:val="none"/>
              </w:rPr>
            </w:pPr>
            <w:r>
              <w:rPr>
                <w:rFonts w:hint="eastAsia" w:hAnsi="宋体" w:cs="宋体"/>
                <w:bCs/>
                <w:kern w:val="2"/>
                <w:sz w:val="22"/>
                <w:szCs w:val="22"/>
                <w:highlight w:val="none"/>
              </w:rPr>
              <w:t>名称</w:t>
            </w:r>
          </w:p>
        </w:tc>
        <w:tc>
          <w:tcPr>
            <w:tcW w:w="1103" w:type="dxa"/>
            <w:vAlign w:val="center"/>
          </w:tcPr>
          <w:p w14:paraId="0AD759D6">
            <w:pPr>
              <w:pStyle w:val="17"/>
              <w:snapToGrid w:val="0"/>
              <w:spacing w:before="156" w:after="156" w:line="240" w:lineRule="auto"/>
              <w:jc w:val="center"/>
              <w:rPr>
                <w:rFonts w:hAnsi="宋体" w:cs="宋体"/>
                <w:bCs/>
                <w:kern w:val="2"/>
                <w:sz w:val="22"/>
                <w:szCs w:val="22"/>
                <w:highlight w:val="none"/>
              </w:rPr>
            </w:pPr>
            <w:r>
              <w:rPr>
                <w:rFonts w:hint="eastAsia" w:hAnsi="宋体" w:cs="宋体"/>
                <w:bCs/>
                <w:kern w:val="2"/>
                <w:sz w:val="22"/>
                <w:szCs w:val="22"/>
                <w:highlight w:val="none"/>
              </w:rPr>
              <w:t>规格型号</w:t>
            </w:r>
          </w:p>
        </w:tc>
        <w:tc>
          <w:tcPr>
            <w:tcW w:w="851" w:type="dxa"/>
            <w:vAlign w:val="center"/>
          </w:tcPr>
          <w:p w14:paraId="5509AF35">
            <w:pPr>
              <w:pStyle w:val="17"/>
              <w:snapToGrid w:val="0"/>
              <w:spacing w:before="156" w:after="156" w:line="240" w:lineRule="auto"/>
              <w:jc w:val="center"/>
              <w:rPr>
                <w:rFonts w:hAnsi="宋体" w:cs="宋体"/>
                <w:bCs/>
                <w:kern w:val="2"/>
                <w:sz w:val="22"/>
                <w:szCs w:val="22"/>
                <w:highlight w:val="none"/>
              </w:rPr>
            </w:pPr>
            <w:r>
              <w:rPr>
                <w:rFonts w:hint="eastAsia" w:hAnsi="宋体" w:cs="宋体"/>
                <w:bCs/>
                <w:kern w:val="2"/>
                <w:sz w:val="22"/>
                <w:szCs w:val="22"/>
                <w:highlight w:val="none"/>
              </w:rPr>
              <w:t>数量</w:t>
            </w:r>
          </w:p>
        </w:tc>
        <w:tc>
          <w:tcPr>
            <w:tcW w:w="851" w:type="dxa"/>
            <w:vAlign w:val="center"/>
          </w:tcPr>
          <w:p w14:paraId="44F23542">
            <w:pPr>
              <w:pStyle w:val="17"/>
              <w:snapToGrid w:val="0"/>
              <w:spacing w:before="156" w:after="156" w:line="240" w:lineRule="auto"/>
              <w:jc w:val="center"/>
              <w:rPr>
                <w:rFonts w:hAnsi="宋体" w:cs="宋体"/>
                <w:bCs/>
                <w:kern w:val="2"/>
                <w:sz w:val="22"/>
                <w:szCs w:val="22"/>
                <w:highlight w:val="none"/>
              </w:rPr>
            </w:pPr>
            <w:r>
              <w:rPr>
                <w:rFonts w:hint="eastAsia" w:hAnsi="宋体" w:cs="宋体"/>
                <w:bCs/>
                <w:kern w:val="2"/>
                <w:sz w:val="22"/>
                <w:szCs w:val="22"/>
                <w:highlight w:val="none"/>
              </w:rPr>
              <w:t>单位</w:t>
            </w:r>
          </w:p>
        </w:tc>
        <w:tc>
          <w:tcPr>
            <w:tcW w:w="800" w:type="dxa"/>
            <w:vAlign w:val="center"/>
          </w:tcPr>
          <w:p w14:paraId="6E89BC4F">
            <w:pPr>
              <w:pStyle w:val="17"/>
              <w:snapToGrid w:val="0"/>
              <w:spacing w:before="156" w:after="156" w:line="240" w:lineRule="auto"/>
              <w:jc w:val="center"/>
              <w:rPr>
                <w:rFonts w:hAnsi="宋体" w:cs="宋体"/>
                <w:bCs/>
                <w:kern w:val="2"/>
                <w:sz w:val="22"/>
                <w:szCs w:val="22"/>
                <w:highlight w:val="none"/>
              </w:rPr>
            </w:pPr>
            <w:r>
              <w:rPr>
                <w:rFonts w:hint="eastAsia" w:hAnsi="宋体" w:cs="宋体"/>
                <w:bCs/>
                <w:kern w:val="2"/>
                <w:sz w:val="22"/>
                <w:szCs w:val="22"/>
                <w:highlight w:val="none"/>
              </w:rPr>
              <w:t>单价</w:t>
            </w:r>
          </w:p>
        </w:tc>
        <w:tc>
          <w:tcPr>
            <w:tcW w:w="824" w:type="dxa"/>
            <w:vAlign w:val="center"/>
          </w:tcPr>
          <w:p w14:paraId="6F345D5A">
            <w:pPr>
              <w:pStyle w:val="17"/>
              <w:snapToGrid w:val="0"/>
              <w:spacing w:before="156" w:after="156" w:line="240" w:lineRule="auto"/>
              <w:jc w:val="center"/>
              <w:rPr>
                <w:rFonts w:hAnsi="宋体" w:cs="宋体"/>
                <w:bCs/>
                <w:kern w:val="2"/>
                <w:sz w:val="22"/>
                <w:szCs w:val="22"/>
                <w:highlight w:val="none"/>
              </w:rPr>
            </w:pPr>
            <w:r>
              <w:rPr>
                <w:rFonts w:hint="eastAsia" w:hAnsi="宋体" w:cs="宋体"/>
                <w:bCs/>
                <w:kern w:val="2"/>
                <w:sz w:val="22"/>
                <w:szCs w:val="22"/>
                <w:highlight w:val="none"/>
              </w:rPr>
              <w:t>金额</w:t>
            </w:r>
          </w:p>
        </w:tc>
        <w:tc>
          <w:tcPr>
            <w:tcW w:w="763" w:type="dxa"/>
            <w:vAlign w:val="center"/>
          </w:tcPr>
          <w:p w14:paraId="732C23F1">
            <w:pPr>
              <w:pStyle w:val="17"/>
              <w:snapToGrid w:val="0"/>
              <w:spacing w:before="156" w:after="156" w:line="240" w:lineRule="auto"/>
              <w:jc w:val="center"/>
              <w:rPr>
                <w:rFonts w:hAnsi="宋体" w:cs="宋体"/>
                <w:bCs/>
                <w:kern w:val="2"/>
                <w:sz w:val="22"/>
                <w:szCs w:val="22"/>
                <w:highlight w:val="none"/>
              </w:rPr>
            </w:pPr>
            <w:r>
              <w:rPr>
                <w:rFonts w:hint="eastAsia" w:hAnsi="宋体" w:cs="宋体"/>
                <w:bCs/>
                <w:kern w:val="2"/>
                <w:sz w:val="22"/>
                <w:szCs w:val="22"/>
                <w:highlight w:val="none"/>
              </w:rPr>
              <w:t>品牌</w:t>
            </w:r>
          </w:p>
        </w:tc>
      </w:tr>
      <w:tr w14:paraId="3E7490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06" w:hRule="atLeast"/>
        </w:trPr>
        <w:tc>
          <w:tcPr>
            <w:tcW w:w="1858" w:type="dxa"/>
            <w:vMerge w:val="restart"/>
            <w:vAlign w:val="center"/>
          </w:tcPr>
          <w:p w14:paraId="4B32B28F">
            <w:pPr>
              <w:pStyle w:val="17"/>
              <w:snapToGrid w:val="0"/>
              <w:spacing w:before="156" w:after="156" w:line="240" w:lineRule="auto"/>
              <w:jc w:val="center"/>
              <w:rPr>
                <w:rFonts w:hAnsi="宋体" w:cs="宋体"/>
                <w:bCs/>
                <w:kern w:val="2"/>
                <w:sz w:val="22"/>
                <w:szCs w:val="22"/>
                <w:highlight w:val="none"/>
              </w:rPr>
            </w:pPr>
            <w:r>
              <w:rPr>
                <w:rFonts w:hAnsi="宋体" w:cs="宋体"/>
                <w:sz w:val="22"/>
                <w:szCs w:val="22"/>
                <w:highlight w:val="none"/>
              </w:rPr>
              <w:t>35</w:t>
            </w:r>
            <w:r>
              <w:rPr>
                <w:rFonts w:hint="eastAsia" w:hAnsi="宋体" w:cs="宋体"/>
                <w:sz w:val="22"/>
                <w:szCs w:val="22"/>
                <w:highlight w:val="none"/>
              </w:rPr>
              <w:t>吨门机</w:t>
            </w:r>
          </w:p>
        </w:tc>
        <w:tc>
          <w:tcPr>
            <w:tcW w:w="2066" w:type="dxa"/>
            <w:shd w:val="clear" w:color="auto" w:fill="auto"/>
            <w:vAlign w:val="center"/>
          </w:tcPr>
          <w:p w14:paraId="741B4713">
            <w:pPr>
              <w:tabs>
                <w:tab w:val="left" w:pos="386"/>
              </w:tabs>
              <w:spacing w:line="360" w:lineRule="auto"/>
              <w:jc w:val="center"/>
              <w:rPr>
                <w:rFonts w:ascii="宋体" w:hAnsi="宋体" w:cs="宋体"/>
                <w:bCs/>
                <w:sz w:val="22"/>
                <w:szCs w:val="22"/>
                <w:highlight w:val="none"/>
              </w:rPr>
            </w:pPr>
            <w:r>
              <w:rPr>
                <w:rFonts w:hint="eastAsia" w:ascii="宋体" w:hAnsi="宋体" w:cs="宋体"/>
                <w:bCs/>
                <w:sz w:val="22"/>
                <w:szCs w:val="22"/>
                <w:highlight w:val="none"/>
              </w:rPr>
              <w:t>回转支承</w:t>
            </w:r>
          </w:p>
        </w:tc>
        <w:tc>
          <w:tcPr>
            <w:tcW w:w="1103" w:type="dxa"/>
            <w:vAlign w:val="center"/>
          </w:tcPr>
          <w:p w14:paraId="6783D914">
            <w:pPr>
              <w:pStyle w:val="17"/>
              <w:snapToGrid w:val="0"/>
              <w:spacing w:before="156" w:after="156" w:line="240" w:lineRule="auto"/>
              <w:jc w:val="center"/>
              <w:rPr>
                <w:rFonts w:hAnsi="宋体" w:cs="宋体"/>
                <w:bCs/>
                <w:kern w:val="2"/>
                <w:sz w:val="22"/>
                <w:szCs w:val="22"/>
                <w:highlight w:val="none"/>
              </w:rPr>
            </w:pPr>
          </w:p>
        </w:tc>
        <w:tc>
          <w:tcPr>
            <w:tcW w:w="851" w:type="dxa"/>
            <w:vAlign w:val="center"/>
          </w:tcPr>
          <w:p w14:paraId="32083B34">
            <w:pPr>
              <w:pStyle w:val="17"/>
              <w:snapToGrid w:val="0"/>
              <w:spacing w:before="156" w:after="156" w:line="240" w:lineRule="auto"/>
              <w:jc w:val="center"/>
              <w:rPr>
                <w:rFonts w:hAnsi="宋体" w:cs="宋体"/>
                <w:bCs/>
                <w:kern w:val="2"/>
                <w:sz w:val="22"/>
                <w:szCs w:val="22"/>
                <w:highlight w:val="none"/>
              </w:rPr>
            </w:pPr>
          </w:p>
        </w:tc>
        <w:tc>
          <w:tcPr>
            <w:tcW w:w="851" w:type="dxa"/>
            <w:vAlign w:val="center"/>
          </w:tcPr>
          <w:p w14:paraId="76CB9587">
            <w:pPr>
              <w:pStyle w:val="17"/>
              <w:snapToGrid w:val="0"/>
              <w:spacing w:before="156" w:after="156" w:line="240" w:lineRule="auto"/>
              <w:jc w:val="center"/>
              <w:rPr>
                <w:rFonts w:hAnsi="宋体" w:cs="宋体"/>
                <w:bCs/>
                <w:kern w:val="2"/>
                <w:sz w:val="22"/>
                <w:szCs w:val="22"/>
                <w:highlight w:val="none"/>
              </w:rPr>
            </w:pPr>
          </w:p>
        </w:tc>
        <w:tc>
          <w:tcPr>
            <w:tcW w:w="800" w:type="dxa"/>
            <w:vAlign w:val="center"/>
          </w:tcPr>
          <w:p w14:paraId="64661C19">
            <w:pPr>
              <w:pStyle w:val="17"/>
              <w:snapToGrid w:val="0"/>
              <w:spacing w:before="156" w:after="156" w:line="240" w:lineRule="auto"/>
              <w:jc w:val="center"/>
              <w:rPr>
                <w:rFonts w:hAnsi="宋体" w:cs="宋体"/>
                <w:bCs/>
                <w:kern w:val="2"/>
                <w:sz w:val="22"/>
                <w:szCs w:val="22"/>
                <w:highlight w:val="none"/>
              </w:rPr>
            </w:pPr>
          </w:p>
        </w:tc>
        <w:tc>
          <w:tcPr>
            <w:tcW w:w="824" w:type="dxa"/>
            <w:vAlign w:val="center"/>
          </w:tcPr>
          <w:p w14:paraId="3E05D8E7">
            <w:pPr>
              <w:pStyle w:val="17"/>
              <w:snapToGrid w:val="0"/>
              <w:spacing w:before="156" w:after="156" w:line="240" w:lineRule="auto"/>
              <w:jc w:val="center"/>
              <w:rPr>
                <w:rFonts w:hAnsi="宋体" w:cs="宋体"/>
                <w:bCs/>
                <w:kern w:val="2"/>
                <w:sz w:val="22"/>
                <w:szCs w:val="22"/>
                <w:highlight w:val="none"/>
              </w:rPr>
            </w:pPr>
          </w:p>
        </w:tc>
        <w:tc>
          <w:tcPr>
            <w:tcW w:w="763" w:type="dxa"/>
            <w:vAlign w:val="center"/>
          </w:tcPr>
          <w:p w14:paraId="279D71E3">
            <w:pPr>
              <w:pStyle w:val="17"/>
              <w:snapToGrid w:val="0"/>
              <w:spacing w:before="156" w:after="156" w:line="240" w:lineRule="auto"/>
              <w:jc w:val="center"/>
              <w:rPr>
                <w:rFonts w:hAnsi="宋体" w:cs="宋体"/>
                <w:bCs/>
                <w:kern w:val="2"/>
                <w:sz w:val="22"/>
                <w:szCs w:val="22"/>
                <w:highlight w:val="none"/>
              </w:rPr>
            </w:pPr>
          </w:p>
        </w:tc>
      </w:tr>
      <w:tr w14:paraId="786E84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06" w:hRule="atLeast"/>
        </w:trPr>
        <w:tc>
          <w:tcPr>
            <w:tcW w:w="1858" w:type="dxa"/>
            <w:vMerge w:val="continue"/>
            <w:vAlign w:val="center"/>
          </w:tcPr>
          <w:p w14:paraId="40FF391F">
            <w:pPr>
              <w:pStyle w:val="17"/>
              <w:snapToGrid w:val="0"/>
              <w:spacing w:before="156" w:after="156" w:line="240" w:lineRule="auto"/>
              <w:jc w:val="center"/>
              <w:rPr>
                <w:rFonts w:hAnsi="宋体" w:cs="宋体"/>
                <w:bCs/>
                <w:kern w:val="2"/>
                <w:sz w:val="22"/>
                <w:szCs w:val="22"/>
                <w:highlight w:val="none"/>
              </w:rPr>
            </w:pPr>
          </w:p>
        </w:tc>
        <w:tc>
          <w:tcPr>
            <w:tcW w:w="2066" w:type="dxa"/>
            <w:shd w:val="clear" w:color="auto" w:fill="auto"/>
            <w:vAlign w:val="center"/>
          </w:tcPr>
          <w:p w14:paraId="3266E0AD">
            <w:pPr>
              <w:tabs>
                <w:tab w:val="left" w:pos="386"/>
              </w:tabs>
              <w:spacing w:line="360" w:lineRule="auto"/>
              <w:jc w:val="center"/>
              <w:rPr>
                <w:rFonts w:ascii="宋体" w:hAnsi="宋体" w:cs="宋体"/>
                <w:bCs/>
                <w:sz w:val="22"/>
                <w:szCs w:val="22"/>
                <w:highlight w:val="none"/>
              </w:rPr>
            </w:pPr>
            <w:r>
              <w:rPr>
                <w:rFonts w:hint="eastAsia" w:ascii="宋体" w:hAnsi="宋体" w:cs="宋体"/>
                <w:kern w:val="0"/>
                <w:sz w:val="22"/>
                <w:szCs w:val="22"/>
                <w:highlight w:val="none"/>
              </w:rPr>
              <w:t>回转支承安装螺栓、螺母、垫片</w:t>
            </w:r>
          </w:p>
        </w:tc>
        <w:tc>
          <w:tcPr>
            <w:tcW w:w="1103" w:type="dxa"/>
            <w:vAlign w:val="center"/>
          </w:tcPr>
          <w:p w14:paraId="44FDAFE5">
            <w:pPr>
              <w:pStyle w:val="17"/>
              <w:snapToGrid w:val="0"/>
              <w:spacing w:before="156" w:after="156" w:line="240" w:lineRule="auto"/>
              <w:jc w:val="center"/>
              <w:rPr>
                <w:rFonts w:hAnsi="宋体" w:cs="宋体"/>
                <w:bCs/>
                <w:kern w:val="2"/>
                <w:sz w:val="22"/>
                <w:szCs w:val="22"/>
                <w:highlight w:val="none"/>
              </w:rPr>
            </w:pPr>
          </w:p>
        </w:tc>
        <w:tc>
          <w:tcPr>
            <w:tcW w:w="851" w:type="dxa"/>
            <w:vAlign w:val="center"/>
          </w:tcPr>
          <w:p w14:paraId="71C00E89">
            <w:pPr>
              <w:pStyle w:val="17"/>
              <w:snapToGrid w:val="0"/>
              <w:spacing w:before="156" w:after="156" w:line="240" w:lineRule="auto"/>
              <w:jc w:val="center"/>
              <w:rPr>
                <w:rFonts w:hAnsi="宋体" w:cs="宋体"/>
                <w:bCs/>
                <w:kern w:val="2"/>
                <w:sz w:val="22"/>
                <w:szCs w:val="22"/>
                <w:highlight w:val="none"/>
              </w:rPr>
            </w:pPr>
          </w:p>
        </w:tc>
        <w:tc>
          <w:tcPr>
            <w:tcW w:w="851" w:type="dxa"/>
            <w:vAlign w:val="center"/>
          </w:tcPr>
          <w:p w14:paraId="214C5AAA">
            <w:pPr>
              <w:pStyle w:val="17"/>
              <w:snapToGrid w:val="0"/>
              <w:spacing w:before="156" w:after="156" w:line="240" w:lineRule="auto"/>
              <w:jc w:val="center"/>
              <w:rPr>
                <w:rFonts w:hAnsi="宋体" w:cs="宋体"/>
                <w:bCs/>
                <w:kern w:val="2"/>
                <w:sz w:val="22"/>
                <w:szCs w:val="22"/>
                <w:highlight w:val="none"/>
              </w:rPr>
            </w:pPr>
          </w:p>
        </w:tc>
        <w:tc>
          <w:tcPr>
            <w:tcW w:w="800" w:type="dxa"/>
            <w:vAlign w:val="center"/>
          </w:tcPr>
          <w:p w14:paraId="51E8780C">
            <w:pPr>
              <w:pStyle w:val="17"/>
              <w:snapToGrid w:val="0"/>
              <w:spacing w:before="156" w:after="156" w:line="240" w:lineRule="auto"/>
              <w:jc w:val="center"/>
              <w:rPr>
                <w:rFonts w:hAnsi="宋体" w:cs="宋体"/>
                <w:bCs/>
                <w:kern w:val="2"/>
                <w:sz w:val="22"/>
                <w:szCs w:val="22"/>
                <w:highlight w:val="none"/>
              </w:rPr>
            </w:pPr>
          </w:p>
        </w:tc>
        <w:tc>
          <w:tcPr>
            <w:tcW w:w="824" w:type="dxa"/>
            <w:vAlign w:val="center"/>
          </w:tcPr>
          <w:p w14:paraId="4BBB54FB">
            <w:pPr>
              <w:pStyle w:val="17"/>
              <w:snapToGrid w:val="0"/>
              <w:spacing w:before="156" w:after="156" w:line="240" w:lineRule="auto"/>
              <w:jc w:val="center"/>
              <w:rPr>
                <w:rFonts w:hAnsi="宋体" w:cs="宋体"/>
                <w:bCs/>
                <w:kern w:val="2"/>
                <w:sz w:val="22"/>
                <w:szCs w:val="22"/>
                <w:highlight w:val="none"/>
              </w:rPr>
            </w:pPr>
          </w:p>
        </w:tc>
        <w:tc>
          <w:tcPr>
            <w:tcW w:w="763" w:type="dxa"/>
            <w:vAlign w:val="center"/>
          </w:tcPr>
          <w:p w14:paraId="3EC23533">
            <w:pPr>
              <w:pStyle w:val="17"/>
              <w:snapToGrid w:val="0"/>
              <w:spacing w:before="156" w:after="156" w:line="240" w:lineRule="auto"/>
              <w:jc w:val="center"/>
              <w:rPr>
                <w:rFonts w:hAnsi="宋体" w:cs="宋体"/>
                <w:bCs/>
                <w:kern w:val="2"/>
                <w:sz w:val="22"/>
                <w:szCs w:val="22"/>
                <w:highlight w:val="none"/>
              </w:rPr>
            </w:pPr>
          </w:p>
        </w:tc>
      </w:tr>
      <w:tr w14:paraId="3D0EE0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06" w:hRule="atLeast"/>
        </w:trPr>
        <w:tc>
          <w:tcPr>
            <w:tcW w:w="1858" w:type="dxa"/>
            <w:vAlign w:val="center"/>
          </w:tcPr>
          <w:p w14:paraId="39A9B0DB">
            <w:pPr>
              <w:pStyle w:val="17"/>
              <w:snapToGrid w:val="0"/>
              <w:spacing w:before="156" w:after="156" w:line="240" w:lineRule="auto"/>
              <w:jc w:val="center"/>
              <w:rPr>
                <w:rFonts w:hAnsi="宋体" w:cs="宋体"/>
                <w:bCs/>
                <w:kern w:val="2"/>
                <w:sz w:val="22"/>
                <w:szCs w:val="22"/>
                <w:highlight w:val="none"/>
              </w:rPr>
            </w:pPr>
            <w:r>
              <w:rPr>
                <w:rFonts w:hint="eastAsia" w:hAnsi="宋体" w:cs="宋体"/>
                <w:sz w:val="22"/>
                <w:szCs w:val="22"/>
                <w:highlight w:val="none"/>
              </w:rPr>
              <w:t>1</w:t>
            </w:r>
            <w:r>
              <w:rPr>
                <w:rFonts w:hAnsi="宋体" w:cs="宋体"/>
                <w:sz w:val="22"/>
                <w:szCs w:val="22"/>
                <w:highlight w:val="none"/>
              </w:rPr>
              <w:t>6</w:t>
            </w:r>
            <w:r>
              <w:rPr>
                <w:rFonts w:hint="eastAsia" w:hAnsi="宋体" w:cs="宋体"/>
                <w:sz w:val="22"/>
                <w:szCs w:val="22"/>
                <w:highlight w:val="none"/>
              </w:rPr>
              <w:t>吨门机</w:t>
            </w:r>
          </w:p>
        </w:tc>
        <w:tc>
          <w:tcPr>
            <w:tcW w:w="2066" w:type="dxa"/>
            <w:shd w:val="clear" w:color="auto" w:fill="auto"/>
            <w:vAlign w:val="center"/>
          </w:tcPr>
          <w:p w14:paraId="074D557F">
            <w:pPr>
              <w:tabs>
                <w:tab w:val="left" w:pos="386"/>
              </w:tabs>
              <w:spacing w:line="360" w:lineRule="auto"/>
              <w:jc w:val="center"/>
              <w:rPr>
                <w:rFonts w:ascii="宋体" w:hAnsi="宋体" w:cs="宋体"/>
                <w:bCs/>
                <w:sz w:val="22"/>
                <w:szCs w:val="22"/>
                <w:highlight w:val="none"/>
              </w:rPr>
            </w:pPr>
            <w:r>
              <w:rPr>
                <w:rFonts w:hint="eastAsia" w:ascii="宋体" w:hAnsi="宋体" w:cs="宋体"/>
                <w:kern w:val="0"/>
                <w:sz w:val="22"/>
                <w:szCs w:val="22"/>
                <w:highlight w:val="none"/>
              </w:rPr>
              <w:t>臂架头部铰点轴承</w:t>
            </w:r>
          </w:p>
        </w:tc>
        <w:tc>
          <w:tcPr>
            <w:tcW w:w="1103" w:type="dxa"/>
            <w:vAlign w:val="center"/>
          </w:tcPr>
          <w:p w14:paraId="5504FB45">
            <w:pPr>
              <w:pStyle w:val="17"/>
              <w:snapToGrid w:val="0"/>
              <w:spacing w:before="156" w:after="156" w:line="240" w:lineRule="auto"/>
              <w:jc w:val="center"/>
              <w:rPr>
                <w:rFonts w:hAnsi="宋体" w:cs="宋体"/>
                <w:bCs/>
                <w:kern w:val="2"/>
                <w:sz w:val="22"/>
                <w:szCs w:val="22"/>
                <w:highlight w:val="none"/>
              </w:rPr>
            </w:pPr>
          </w:p>
        </w:tc>
        <w:tc>
          <w:tcPr>
            <w:tcW w:w="851" w:type="dxa"/>
            <w:vAlign w:val="center"/>
          </w:tcPr>
          <w:p w14:paraId="74F555E3">
            <w:pPr>
              <w:pStyle w:val="17"/>
              <w:snapToGrid w:val="0"/>
              <w:spacing w:before="156" w:after="156" w:line="240" w:lineRule="auto"/>
              <w:jc w:val="center"/>
              <w:rPr>
                <w:rFonts w:hAnsi="宋体" w:cs="宋体"/>
                <w:bCs/>
                <w:kern w:val="2"/>
                <w:sz w:val="22"/>
                <w:szCs w:val="22"/>
                <w:highlight w:val="none"/>
              </w:rPr>
            </w:pPr>
          </w:p>
        </w:tc>
        <w:tc>
          <w:tcPr>
            <w:tcW w:w="851" w:type="dxa"/>
            <w:vAlign w:val="center"/>
          </w:tcPr>
          <w:p w14:paraId="6ED47287">
            <w:pPr>
              <w:pStyle w:val="17"/>
              <w:snapToGrid w:val="0"/>
              <w:spacing w:before="156" w:after="156" w:line="240" w:lineRule="auto"/>
              <w:jc w:val="center"/>
              <w:rPr>
                <w:rFonts w:hAnsi="宋体" w:cs="宋体"/>
                <w:bCs/>
                <w:kern w:val="2"/>
                <w:sz w:val="22"/>
                <w:szCs w:val="22"/>
                <w:highlight w:val="none"/>
              </w:rPr>
            </w:pPr>
          </w:p>
        </w:tc>
        <w:tc>
          <w:tcPr>
            <w:tcW w:w="800" w:type="dxa"/>
            <w:vAlign w:val="center"/>
          </w:tcPr>
          <w:p w14:paraId="05B07E9F">
            <w:pPr>
              <w:pStyle w:val="17"/>
              <w:snapToGrid w:val="0"/>
              <w:spacing w:before="156" w:after="156" w:line="240" w:lineRule="auto"/>
              <w:jc w:val="center"/>
              <w:rPr>
                <w:rFonts w:hAnsi="宋体" w:cs="宋体"/>
                <w:bCs/>
                <w:kern w:val="2"/>
                <w:sz w:val="22"/>
                <w:szCs w:val="22"/>
                <w:highlight w:val="none"/>
              </w:rPr>
            </w:pPr>
          </w:p>
        </w:tc>
        <w:tc>
          <w:tcPr>
            <w:tcW w:w="824" w:type="dxa"/>
            <w:vAlign w:val="center"/>
          </w:tcPr>
          <w:p w14:paraId="70EC92E1">
            <w:pPr>
              <w:pStyle w:val="17"/>
              <w:snapToGrid w:val="0"/>
              <w:spacing w:before="156" w:after="156" w:line="240" w:lineRule="auto"/>
              <w:jc w:val="center"/>
              <w:rPr>
                <w:rFonts w:hAnsi="宋体" w:cs="宋体"/>
                <w:bCs/>
                <w:kern w:val="2"/>
                <w:sz w:val="22"/>
                <w:szCs w:val="22"/>
                <w:highlight w:val="none"/>
              </w:rPr>
            </w:pPr>
          </w:p>
        </w:tc>
        <w:tc>
          <w:tcPr>
            <w:tcW w:w="763" w:type="dxa"/>
            <w:vAlign w:val="center"/>
          </w:tcPr>
          <w:p w14:paraId="095934D1">
            <w:pPr>
              <w:pStyle w:val="17"/>
              <w:snapToGrid w:val="0"/>
              <w:spacing w:before="156" w:after="156" w:line="240" w:lineRule="auto"/>
              <w:jc w:val="center"/>
              <w:rPr>
                <w:rFonts w:hAnsi="宋体" w:cs="宋体"/>
                <w:bCs/>
                <w:kern w:val="2"/>
                <w:sz w:val="22"/>
                <w:szCs w:val="22"/>
                <w:highlight w:val="none"/>
              </w:rPr>
            </w:pPr>
          </w:p>
        </w:tc>
      </w:tr>
      <w:tr w14:paraId="59B54F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06" w:hRule="atLeast"/>
        </w:trPr>
        <w:tc>
          <w:tcPr>
            <w:tcW w:w="3924" w:type="dxa"/>
            <w:gridSpan w:val="2"/>
            <w:vAlign w:val="center"/>
          </w:tcPr>
          <w:p w14:paraId="3C012853">
            <w:pPr>
              <w:pStyle w:val="17"/>
              <w:snapToGrid w:val="0"/>
              <w:spacing w:before="156" w:after="156" w:line="240" w:lineRule="auto"/>
              <w:jc w:val="center"/>
              <w:rPr>
                <w:rFonts w:hAnsi="宋体" w:cs="宋体"/>
                <w:bCs/>
                <w:kern w:val="2"/>
                <w:sz w:val="22"/>
                <w:szCs w:val="22"/>
                <w:highlight w:val="none"/>
              </w:rPr>
            </w:pPr>
            <w:r>
              <w:rPr>
                <w:rFonts w:hint="eastAsia" w:hAnsi="宋体" w:cs="宋体"/>
                <w:bCs/>
                <w:kern w:val="2"/>
                <w:sz w:val="22"/>
                <w:szCs w:val="22"/>
                <w:highlight w:val="none"/>
              </w:rPr>
              <w:t>其他（人工费及辅材等）（元）</w:t>
            </w:r>
          </w:p>
        </w:tc>
        <w:tc>
          <w:tcPr>
            <w:tcW w:w="5192" w:type="dxa"/>
            <w:gridSpan w:val="6"/>
            <w:vAlign w:val="center"/>
          </w:tcPr>
          <w:p w14:paraId="3639B376">
            <w:pPr>
              <w:pStyle w:val="17"/>
              <w:snapToGrid w:val="0"/>
              <w:spacing w:before="156" w:after="156" w:line="240" w:lineRule="auto"/>
              <w:rPr>
                <w:rFonts w:hAnsi="宋体" w:cs="宋体"/>
                <w:bCs/>
                <w:kern w:val="2"/>
                <w:sz w:val="22"/>
                <w:szCs w:val="22"/>
                <w:highlight w:val="none"/>
              </w:rPr>
            </w:pPr>
          </w:p>
        </w:tc>
      </w:tr>
      <w:tr w14:paraId="252DB1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68" w:hRule="atLeast"/>
        </w:trPr>
        <w:tc>
          <w:tcPr>
            <w:tcW w:w="3924" w:type="dxa"/>
            <w:gridSpan w:val="2"/>
            <w:vAlign w:val="center"/>
          </w:tcPr>
          <w:p w14:paraId="655D652E">
            <w:pPr>
              <w:pStyle w:val="17"/>
              <w:snapToGrid w:val="0"/>
              <w:spacing w:before="156" w:after="156" w:line="240" w:lineRule="auto"/>
              <w:jc w:val="center"/>
              <w:rPr>
                <w:rFonts w:hAnsi="宋体" w:cs="宋体"/>
                <w:bCs/>
                <w:kern w:val="2"/>
                <w:sz w:val="22"/>
                <w:szCs w:val="22"/>
                <w:highlight w:val="none"/>
              </w:rPr>
            </w:pPr>
            <w:r>
              <w:rPr>
                <w:rFonts w:hint="eastAsia" w:hAnsi="宋体" w:cs="宋体"/>
                <w:bCs/>
                <w:kern w:val="2"/>
                <w:sz w:val="22"/>
                <w:szCs w:val="22"/>
                <w:highlight w:val="none"/>
              </w:rPr>
              <w:t>合计</w:t>
            </w:r>
          </w:p>
        </w:tc>
        <w:tc>
          <w:tcPr>
            <w:tcW w:w="5192" w:type="dxa"/>
            <w:gridSpan w:val="6"/>
            <w:vAlign w:val="center"/>
          </w:tcPr>
          <w:p w14:paraId="4BD5A66F">
            <w:pPr>
              <w:pStyle w:val="17"/>
              <w:snapToGrid w:val="0"/>
              <w:spacing w:beforeLines="0" w:afterLines="0" w:line="240" w:lineRule="auto"/>
              <w:rPr>
                <w:rFonts w:hAnsi="宋体" w:cs="宋体"/>
                <w:b/>
                <w:bCs/>
                <w:kern w:val="2"/>
                <w:sz w:val="22"/>
                <w:szCs w:val="22"/>
                <w:highlight w:val="none"/>
              </w:rPr>
            </w:pPr>
            <w:r>
              <w:rPr>
                <w:rFonts w:hint="eastAsia" w:hAnsi="宋体" w:cs="宋体"/>
                <w:kern w:val="2"/>
                <w:sz w:val="22"/>
                <w:szCs w:val="22"/>
                <w:highlight w:val="none"/>
              </w:rPr>
              <w:t>（大写）：</w:t>
            </w:r>
            <w:r>
              <w:rPr>
                <w:rFonts w:hint="eastAsia" w:hAnsi="宋体" w:cs="宋体"/>
                <w:kern w:val="2"/>
                <w:sz w:val="22"/>
                <w:szCs w:val="22"/>
                <w:highlight w:val="none"/>
                <w:u w:val="single"/>
              </w:rPr>
              <w:t xml:space="preserve"> </w:t>
            </w:r>
            <w:r>
              <w:rPr>
                <w:rFonts w:hAnsi="宋体" w:cs="宋体"/>
                <w:kern w:val="2"/>
                <w:sz w:val="22"/>
                <w:szCs w:val="22"/>
                <w:highlight w:val="none"/>
                <w:u w:val="single"/>
              </w:rPr>
              <w:t xml:space="preserve">  </w:t>
            </w:r>
            <w:r>
              <w:rPr>
                <w:rFonts w:hint="eastAsia" w:hAnsi="宋体" w:cs="宋体"/>
                <w:kern w:val="2"/>
                <w:sz w:val="22"/>
                <w:szCs w:val="22"/>
                <w:highlight w:val="none"/>
                <w:u w:val="single"/>
              </w:rPr>
              <w:t xml:space="preserve"> </w:t>
            </w:r>
            <w:r>
              <w:rPr>
                <w:rFonts w:hAnsi="宋体" w:cs="宋体"/>
                <w:kern w:val="2"/>
                <w:sz w:val="22"/>
                <w:szCs w:val="22"/>
                <w:highlight w:val="none"/>
                <w:u w:val="single"/>
              </w:rPr>
              <w:t xml:space="preserve">   </w:t>
            </w:r>
            <w:r>
              <w:rPr>
                <w:rFonts w:hint="eastAsia" w:hAnsi="宋体" w:cs="宋体"/>
                <w:kern w:val="2"/>
                <w:sz w:val="22"/>
                <w:szCs w:val="22"/>
                <w:highlight w:val="none"/>
              </w:rPr>
              <w:t>元/人民币</w:t>
            </w:r>
          </w:p>
          <w:p w14:paraId="6B6F609C">
            <w:pPr>
              <w:pStyle w:val="17"/>
              <w:snapToGrid w:val="0"/>
              <w:spacing w:beforeLines="0" w:afterLines="0" w:line="240" w:lineRule="auto"/>
              <w:rPr>
                <w:rFonts w:hAnsi="宋体" w:cs="宋体"/>
                <w:bCs/>
                <w:kern w:val="2"/>
                <w:sz w:val="22"/>
                <w:szCs w:val="22"/>
                <w:highlight w:val="none"/>
              </w:rPr>
            </w:pPr>
            <w:r>
              <w:rPr>
                <w:rFonts w:hint="eastAsia" w:hAnsi="宋体" w:cs="宋体"/>
                <w:kern w:val="2"/>
                <w:sz w:val="22"/>
                <w:szCs w:val="22"/>
                <w:highlight w:val="none"/>
              </w:rPr>
              <w:t>（小写）：¥</w:t>
            </w:r>
            <w:r>
              <w:rPr>
                <w:rFonts w:hint="eastAsia" w:hAnsi="宋体" w:cs="宋体"/>
                <w:kern w:val="2"/>
                <w:sz w:val="22"/>
                <w:szCs w:val="22"/>
                <w:highlight w:val="none"/>
                <w:u w:val="single"/>
              </w:rPr>
              <w:t xml:space="preserve">      </w:t>
            </w:r>
            <w:r>
              <w:rPr>
                <w:rFonts w:hint="eastAsia" w:hAnsi="宋体" w:cs="宋体"/>
                <w:kern w:val="2"/>
                <w:sz w:val="22"/>
                <w:szCs w:val="22"/>
                <w:highlight w:val="none"/>
              </w:rPr>
              <w:t>元/人民币</w:t>
            </w:r>
          </w:p>
        </w:tc>
      </w:tr>
    </w:tbl>
    <w:p w14:paraId="2A9F878A">
      <w:pPr>
        <w:spacing w:line="360" w:lineRule="auto"/>
        <w:rPr>
          <w:rFonts w:ascii="宋体" w:hAnsi="宋体"/>
          <w:b/>
          <w:bCs/>
          <w:sz w:val="22"/>
          <w:szCs w:val="22"/>
          <w:highlight w:val="none"/>
        </w:rPr>
      </w:pPr>
    </w:p>
    <w:p w14:paraId="21631AB3">
      <w:pPr>
        <w:spacing w:line="360" w:lineRule="auto"/>
        <w:rPr>
          <w:rFonts w:ascii="宋体" w:hAnsi="宋体"/>
          <w:b/>
          <w:bCs/>
          <w:sz w:val="22"/>
          <w:szCs w:val="22"/>
          <w:highlight w:val="none"/>
        </w:rPr>
      </w:pPr>
      <w:r>
        <w:rPr>
          <w:rFonts w:hint="eastAsia" w:ascii="宋体" w:hAnsi="宋体"/>
          <w:b/>
          <w:bCs/>
          <w:sz w:val="22"/>
          <w:szCs w:val="22"/>
          <w:highlight w:val="none"/>
        </w:rPr>
        <w:t>说明：</w:t>
      </w:r>
    </w:p>
    <w:p w14:paraId="48E1BBB5">
      <w:pPr>
        <w:spacing w:line="360" w:lineRule="auto"/>
        <w:rPr>
          <w:rFonts w:ascii="宋体" w:hAnsi="宋体"/>
          <w:b/>
          <w:bCs/>
          <w:sz w:val="22"/>
          <w:szCs w:val="22"/>
          <w:highlight w:val="none"/>
        </w:rPr>
      </w:pPr>
      <w:r>
        <w:rPr>
          <w:rFonts w:ascii="宋体" w:hAnsi="宋体"/>
          <w:b/>
          <w:bCs/>
          <w:sz w:val="22"/>
          <w:szCs w:val="22"/>
          <w:highlight w:val="none"/>
        </w:rPr>
        <w:t>1</w:t>
      </w:r>
      <w:r>
        <w:rPr>
          <w:rFonts w:hint="eastAsia" w:ascii="宋体" w:hAnsi="宋体"/>
          <w:b/>
          <w:bCs/>
          <w:sz w:val="22"/>
          <w:szCs w:val="22"/>
          <w:highlight w:val="none"/>
        </w:rPr>
        <w:t>.★不提供分项报价表的投标文件将被视为未实质性响应招标文件。</w:t>
      </w:r>
    </w:p>
    <w:p w14:paraId="4EF067D9">
      <w:pPr>
        <w:spacing w:line="360" w:lineRule="auto"/>
        <w:rPr>
          <w:rFonts w:ascii="宋体" w:hAnsi="宋体"/>
          <w:b/>
          <w:bCs/>
          <w:sz w:val="22"/>
          <w:szCs w:val="22"/>
          <w:highlight w:val="none"/>
        </w:rPr>
      </w:pPr>
      <w:r>
        <w:rPr>
          <w:rFonts w:hint="eastAsia" w:ascii="宋体" w:hAnsi="宋体"/>
          <w:b/>
          <w:color w:val="000000"/>
          <w:sz w:val="22"/>
          <w:szCs w:val="22"/>
          <w:highlight w:val="none"/>
        </w:rPr>
        <w:t>2.★本项目为“交钥匙”项目。本表所列的部件已包含在投标价格中。</w:t>
      </w:r>
    </w:p>
    <w:p w14:paraId="30A54550">
      <w:pPr>
        <w:rPr>
          <w:rFonts w:ascii="宋体" w:hAnsi="宋体"/>
          <w:sz w:val="22"/>
          <w:szCs w:val="22"/>
          <w:highlight w:val="none"/>
        </w:rPr>
      </w:pPr>
    </w:p>
    <w:p w14:paraId="0661F735">
      <w:pPr>
        <w:rPr>
          <w:rFonts w:ascii="宋体" w:hAnsi="宋体"/>
          <w:sz w:val="22"/>
          <w:szCs w:val="22"/>
          <w:highlight w:val="none"/>
        </w:rPr>
      </w:pPr>
    </w:p>
    <w:p w14:paraId="494BAC20">
      <w:pPr>
        <w:spacing w:before="156" w:beforeLines="50" w:after="156" w:afterLines="50" w:line="400" w:lineRule="exact"/>
        <w:ind w:firstLine="5390" w:firstLineChars="2450"/>
        <w:rPr>
          <w:rFonts w:ascii="宋体" w:hAnsi="宋体"/>
          <w:sz w:val="22"/>
          <w:szCs w:val="22"/>
          <w:highlight w:val="none"/>
        </w:rPr>
      </w:pPr>
      <w:r>
        <w:rPr>
          <w:rFonts w:hint="eastAsia" w:ascii="宋体" w:hAnsi="宋体"/>
          <w:sz w:val="22"/>
          <w:szCs w:val="22"/>
          <w:highlight w:val="none"/>
        </w:rPr>
        <w:t xml:space="preserve">投标人全称（加盖单位公章）： </w:t>
      </w:r>
    </w:p>
    <w:p w14:paraId="7FB34087">
      <w:pPr>
        <w:spacing w:before="156" w:beforeLines="50" w:after="156" w:afterLines="50" w:line="400" w:lineRule="exact"/>
        <w:ind w:firstLine="5390" w:firstLineChars="2450"/>
        <w:rPr>
          <w:rFonts w:ascii="宋体" w:hAnsi="宋体"/>
          <w:sz w:val="22"/>
          <w:szCs w:val="22"/>
          <w:highlight w:val="none"/>
        </w:rPr>
      </w:pPr>
      <w:r>
        <w:rPr>
          <w:rFonts w:hint="eastAsia" w:ascii="宋体" w:hAnsi="宋体"/>
          <w:sz w:val="22"/>
          <w:szCs w:val="22"/>
          <w:highlight w:val="none"/>
        </w:rPr>
        <w:t>法定代表人或授权代表（签字</w:t>
      </w:r>
      <w:r>
        <w:rPr>
          <w:rFonts w:hint="eastAsia" w:ascii="宋体" w:hAnsi="宋体" w:cs="宋体"/>
          <w:sz w:val="22"/>
          <w:szCs w:val="22"/>
          <w:highlight w:val="none"/>
        </w:rPr>
        <w:t>或盖章</w:t>
      </w:r>
      <w:r>
        <w:rPr>
          <w:rFonts w:hint="eastAsia" w:ascii="宋体" w:hAnsi="宋体"/>
          <w:sz w:val="22"/>
          <w:szCs w:val="22"/>
          <w:highlight w:val="none"/>
        </w:rPr>
        <w:t>）：</w:t>
      </w:r>
    </w:p>
    <w:p w14:paraId="30D8B4A3">
      <w:pPr>
        <w:spacing w:before="156" w:beforeLines="50" w:after="156" w:afterLines="50" w:line="400" w:lineRule="exact"/>
        <w:ind w:firstLine="5390" w:firstLineChars="2450"/>
        <w:rPr>
          <w:rFonts w:ascii="宋体" w:hAnsi="宋体"/>
          <w:sz w:val="22"/>
          <w:szCs w:val="22"/>
          <w:highlight w:val="none"/>
        </w:rPr>
      </w:pPr>
      <w:r>
        <w:rPr>
          <w:rFonts w:hint="eastAsia" w:ascii="宋体" w:hAnsi="宋体"/>
          <w:sz w:val="22"/>
          <w:szCs w:val="22"/>
          <w:highlight w:val="none"/>
        </w:rPr>
        <w:t>日 期：  年  月  日</w:t>
      </w:r>
    </w:p>
    <w:p w14:paraId="5B9396F7">
      <w:pPr>
        <w:rPr>
          <w:rFonts w:ascii="宋体" w:hAnsi="宋体"/>
          <w:b/>
          <w:color w:val="000000"/>
          <w:sz w:val="22"/>
          <w:szCs w:val="22"/>
          <w:highlight w:val="none"/>
        </w:rPr>
      </w:pPr>
    </w:p>
    <w:sectPr>
      <w:pgSz w:w="11906" w:h="16838"/>
      <w:pgMar w:top="1440" w:right="1417" w:bottom="1440" w:left="1417" w:header="851" w:footer="992" w:gutter="0"/>
      <w:pgNumType w:fmt="decimal"/>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endnote>
  <w:endnote w:type="continuationSeparator" w:id="1">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34"/>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libri Light">
    <w:panose1 w:val="020F0302020204030204"/>
    <w:charset w:val="00"/>
    <w:family w:val="swiss"/>
    <w:pitch w:val="default"/>
    <w:sig w:usb0="E4002EFF" w:usb1="C200247B" w:usb2="00000009" w:usb3="00000000" w:csb0="200001FF" w:csb1="00000000"/>
  </w:font>
  <w:font w:name="Century Gothic">
    <w:panose1 w:val="020B0502020202020204"/>
    <w:charset w:val="00"/>
    <w:family w:val="swiss"/>
    <w:pitch w:val="default"/>
    <w:sig w:usb0="00000287" w:usb1="00000000" w:usb2="00000000" w:usb3="00000000" w:csb0="2000009F" w:csb1="DFD70000"/>
  </w:font>
  <w:font w:name="Cambria">
    <w:panose1 w:val="02040503050406030204"/>
    <w:charset w:val="00"/>
    <w:family w:val="roman"/>
    <w:pitch w:val="default"/>
    <w:sig w:usb0="E00006FF" w:usb1="420024FF" w:usb2="02000000" w:usb3="00000000" w:csb0="2000019F" w:csb1="00000000"/>
  </w:font>
  <w:font w:name="仿宋_GB2312">
    <w:panose1 w:val="02010609030101010101"/>
    <w:charset w:val="86"/>
    <w:family w:val="modern"/>
    <w:pitch w:val="default"/>
    <w:sig w:usb0="00000001" w:usb1="080E0000" w:usb2="00000000" w:usb3="00000000" w:csb0="00040000" w:csb1="00000000"/>
  </w:font>
  <w:font w:name="Tahoma">
    <w:panose1 w:val="020B0604030504040204"/>
    <w:charset w:val="00"/>
    <w:family w:val="swiss"/>
    <w:pitch w:val="default"/>
    <w:sig w:usb0="E1002EFF" w:usb1="C000605B" w:usb2="00000029" w:usb3="00000000" w:csb0="200101FF" w:csb1="20280000"/>
  </w:font>
  <w:font w:name="Arial Unicode MS">
    <w:altName w:val="宋体"/>
    <w:panose1 w:val="020B0604020202020204"/>
    <w:charset w:val="86"/>
    <w:family w:val="swiss"/>
    <w:pitch w:val="default"/>
    <w:sig w:usb0="00000000" w:usb1="00000000" w:usb2="0000003F" w:usb3="00000000" w:csb0="603F01FF" w:csb1="FFFF0000"/>
  </w:font>
  <w:font w:name="汉仪楷体简">
    <w:altName w:val="宋体"/>
    <w:panose1 w:val="00000000000000000000"/>
    <w:charset w:val="86"/>
    <w:family w:val="modern"/>
    <w:pitch w:val="default"/>
    <w:sig w:usb0="00000000" w:usb1="00000000" w:usb2="00000012" w:usb3="00000000" w:csb0="00040000" w:csb1="00000000"/>
  </w:font>
  <w:font w:name="微软雅黑">
    <w:panose1 w:val="020B0503020204020204"/>
    <w:charset w:val="86"/>
    <w:family w:val="swiss"/>
    <w:pitch w:val="default"/>
    <w:sig w:usb0="80000287" w:usb1="2ACF3C50" w:usb2="00000016" w:usb3="00000000" w:csb0="0004001F" w:csb1="00000000"/>
  </w:font>
  <w:font w:name="新宋体">
    <w:panose1 w:val="02010609030101010101"/>
    <w:charset w:val="86"/>
    <w:family w:val="modern"/>
    <w:pitch w:val="default"/>
    <w:sig w:usb0="00000203" w:usb1="288F0000" w:usb2="00000006" w:usb3="00000000" w:csb0="00040001" w:csb1="00000000"/>
  </w:font>
  <w:font w:name="楷体">
    <w:panose1 w:val="02010609060101010101"/>
    <w:charset w:val="86"/>
    <w:family w:val="modern"/>
    <w:pitch w:val="default"/>
    <w:sig w:usb0="800002BF" w:usb1="38CF7CFA" w:usb2="00000016" w:usb3="00000000" w:csb0="00040001" w:csb1="00000000"/>
  </w:font>
  <w:font w:name="方正小标宋简体">
    <w:panose1 w:val="02010601030101010101"/>
    <w:charset w:val="86"/>
    <w:family w:val="auto"/>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116736611"/>
      <w:showingPlcHdr/>
      <w:docPartObj>
        <w:docPartGallery w:val="autotext"/>
      </w:docPartObj>
    </w:sdtPr>
    <w:sdtContent>
      <w:p w14:paraId="52B804A6">
        <w:pPr>
          <w:pStyle w:val="20"/>
          <w:jc w:val="center"/>
        </w:pPr>
        <w:r>
          <w:rPr>
            <w:rFonts w:hint="eastAsia"/>
            <w:lang w:eastAsia="zh-CN"/>
          </w:rPr>
          <w:t xml:space="preserve">     </w:t>
        </w:r>
      </w:p>
    </w:sdtContent>
  </w:sdt>
  <w:p w14:paraId="6840C7E2">
    <w:pPr>
      <w:pStyle w:val="2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04F5AB">
    <w:pPr>
      <w:pStyle w:val="20"/>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FAF6F39">
                          <w:pPr>
                            <w:pStyle w:val="20"/>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0FAF6F39">
                    <w:pPr>
                      <w:pStyle w:val="20"/>
                    </w:pPr>
                    <w:r>
                      <w:fldChar w:fldCharType="begin"/>
                    </w:r>
                    <w:r>
                      <w:instrText xml:space="preserve"> PAGE  \* MERGEFORMAT </w:instrText>
                    </w:r>
                    <w:r>
                      <w:fldChar w:fldCharType="separate"/>
                    </w:r>
                    <w:r>
                      <w:t>3</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footnote>
  <w:footnote w:type="continuationSeparator" w:id="1">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1"/>
    <w:multiLevelType w:val="singleLevel"/>
    <w:tmpl w:val="00000001"/>
    <w:lvl w:ilvl="0" w:tentative="0">
      <w:start w:val="1"/>
      <w:numFmt w:val="decimal"/>
      <w:pStyle w:val="6"/>
      <w:lvlText w:val="%1."/>
      <w:lvlJc w:val="left"/>
      <w:pPr>
        <w:tabs>
          <w:tab w:val="left" w:pos="360"/>
        </w:tabs>
        <w:ind w:left="360" w:hanging="360"/>
      </w:pPr>
    </w:lvl>
  </w:abstractNum>
  <w:abstractNum w:abstractNumId="1">
    <w:nsid w:val="00000007"/>
    <w:multiLevelType w:val="multilevel"/>
    <w:tmpl w:val="00000007"/>
    <w:lvl w:ilvl="0" w:tentative="0">
      <w:start w:val="1"/>
      <w:numFmt w:val="japaneseCounting"/>
      <w:pStyle w:val="68"/>
      <w:lvlText w:val="第%1条"/>
      <w:lvlJc w:val="left"/>
      <w:pPr>
        <w:tabs>
          <w:tab w:val="left" w:pos="1800"/>
        </w:tabs>
        <w:ind w:left="1800" w:hanging="1200"/>
      </w:pPr>
      <w:rPr>
        <w:rFonts w:hint="eastAsia" w:ascii="黑体" w:eastAsia="黑体"/>
      </w:rPr>
    </w:lvl>
    <w:lvl w:ilvl="1" w:tentative="0">
      <w:start w:val="1"/>
      <w:numFmt w:val="lowerLetter"/>
      <w:lvlText w:val="%2)"/>
      <w:lvlJc w:val="left"/>
      <w:pPr>
        <w:tabs>
          <w:tab w:val="left" w:pos="1440"/>
        </w:tabs>
        <w:ind w:left="1440" w:hanging="420"/>
      </w:pPr>
    </w:lvl>
    <w:lvl w:ilvl="2" w:tentative="0">
      <w:start w:val="1"/>
      <w:numFmt w:val="lowerRoman"/>
      <w:lvlText w:val="%3."/>
      <w:lvlJc w:val="right"/>
      <w:pPr>
        <w:tabs>
          <w:tab w:val="left" w:pos="1860"/>
        </w:tabs>
        <w:ind w:left="1860" w:hanging="420"/>
      </w:pPr>
    </w:lvl>
    <w:lvl w:ilvl="3" w:tentative="0">
      <w:start w:val="1"/>
      <w:numFmt w:val="decimal"/>
      <w:lvlText w:val="%4."/>
      <w:lvlJc w:val="left"/>
      <w:pPr>
        <w:tabs>
          <w:tab w:val="left" w:pos="2280"/>
        </w:tabs>
        <w:ind w:left="2280" w:hanging="420"/>
      </w:pPr>
    </w:lvl>
    <w:lvl w:ilvl="4" w:tentative="0">
      <w:start w:val="1"/>
      <w:numFmt w:val="lowerLetter"/>
      <w:lvlText w:val="%5)"/>
      <w:lvlJc w:val="left"/>
      <w:pPr>
        <w:tabs>
          <w:tab w:val="left" w:pos="2700"/>
        </w:tabs>
        <w:ind w:left="2700" w:hanging="420"/>
      </w:pPr>
    </w:lvl>
    <w:lvl w:ilvl="5" w:tentative="0">
      <w:start w:val="1"/>
      <w:numFmt w:val="lowerRoman"/>
      <w:lvlText w:val="%6."/>
      <w:lvlJc w:val="right"/>
      <w:pPr>
        <w:tabs>
          <w:tab w:val="left" w:pos="3120"/>
        </w:tabs>
        <w:ind w:left="3120" w:hanging="420"/>
      </w:pPr>
    </w:lvl>
    <w:lvl w:ilvl="6" w:tentative="0">
      <w:start w:val="1"/>
      <w:numFmt w:val="decimal"/>
      <w:lvlText w:val="%7."/>
      <w:lvlJc w:val="left"/>
      <w:pPr>
        <w:tabs>
          <w:tab w:val="left" w:pos="3540"/>
        </w:tabs>
        <w:ind w:left="3540" w:hanging="420"/>
      </w:pPr>
    </w:lvl>
    <w:lvl w:ilvl="7" w:tentative="0">
      <w:start w:val="1"/>
      <w:numFmt w:val="lowerLetter"/>
      <w:lvlText w:val="%8)"/>
      <w:lvlJc w:val="left"/>
      <w:pPr>
        <w:tabs>
          <w:tab w:val="left" w:pos="3960"/>
        </w:tabs>
        <w:ind w:left="3960" w:hanging="420"/>
      </w:pPr>
    </w:lvl>
    <w:lvl w:ilvl="8" w:tentative="0">
      <w:start w:val="1"/>
      <w:numFmt w:val="lowerRoman"/>
      <w:lvlText w:val="%9."/>
      <w:lvlJc w:val="right"/>
      <w:pPr>
        <w:tabs>
          <w:tab w:val="left" w:pos="4380"/>
        </w:tabs>
        <w:ind w:left="4380" w:hanging="420"/>
      </w:pPr>
    </w:lvl>
  </w:abstractNum>
  <w:abstractNum w:abstractNumId="2">
    <w:nsid w:val="252641B5"/>
    <w:multiLevelType w:val="singleLevel"/>
    <w:tmpl w:val="252641B5"/>
    <w:lvl w:ilvl="0" w:tentative="0">
      <w:start w:val="3"/>
      <w:numFmt w:val="chineseCounting"/>
      <w:suff w:val="space"/>
      <w:lvlText w:val="第%1章"/>
      <w:lvlJc w:val="left"/>
      <w:rPr>
        <w:rFonts w:hint="eastAsia"/>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documentProtection w:enforcement="0"/>
  <w:defaultTabStop w:val="420"/>
  <w:drawingGridVerticalSpacing w:val="156"/>
  <w:doNotShadeFormData w:val="1"/>
  <w:noPunctuationKerning w:val="1"/>
  <w:characterSpacingControl w:val="compressPunctuation"/>
  <w:doNotValidateAgainstSchema/>
  <w:doNotDemarcateInvalidXml/>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TU5NGE5MzUzODA2NmVhOGVmZTMzYWIzYzk3ZTgyYTMifQ=="/>
  </w:docVars>
  <w:rsids>
    <w:rsidRoot w:val="00172A27"/>
    <w:rsid w:val="000015F7"/>
    <w:rsid w:val="000062BC"/>
    <w:rsid w:val="00010836"/>
    <w:rsid w:val="000167D1"/>
    <w:rsid w:val="0002117A"/>
    <w:rsid w:val="00021A39"/>
    <w:rsid w:val="00022187"/>
    <w:rsid w:val="00025EAD"/>
    <w:rsid w:val="0002794A"/>
    <w:rsid w:val="00031F27"/>
    <w:rsid w:val="000323BB"/>
    <w:rsid w:val="00036454"/>
    <w:rsid w:val="00036475"/>
    <w:rsid w:val="00037BC5"/>
    <w:rsid w:val="000452EF"/>
    <w:rsid w:val="00046B73"/>
    <w:rsid w:val="00060F2E"/>
    <w:rsid w:val="0006206F"/>
    <w:rsid w:val="00071312"/>
    <w:rsid w:val="00074762"/>
    <w:rsid w:val="00077468"/>
    <w:rsid w:val="00080A9F"/>
    <w:rsid w:val="00082843"/>
    <w:rsid w:val="00083282"/>
    <w:rsid w:val="00085188"/>
    <w:rsid w:val="00090B3B"/>
    <w:rsid w:val="00094948"/>
    <w:rsid w:val="00094B74"/>
    <w:rsid w:val="00095D50"/>
    <w:rsid w:val="000966A8"/>
    <w:rsid w:val="000A0666"/>
    <w:rsid w:val="000A1350"/>
    <w:rsid w:val="000A7580"/>
    <w:rsid w:val="000B7228"/>
    <w:rsid w:val="000B760E"/>
    <w:rsid w:val="000B7B97"/>
    <w:rsid w:val="000C0FCD"/>
    <w:rsid w:val="000C5131"/>
    <w:rsid w:val="000C7A1E"/>
    <w:rsid w:val="000D153B"/>
    <w:rsid w:val="000D5EBF"/>
    <w:rsid w:val="000D70F9"/>
    <w:rsid w:val="000E489B"/>
    <w:rsid w:val="000E6FBE"/>
    <w:rsid w:val="000F22FF"/>
    <w:rsid w:val="000F2B41"/>
    <w:rsid w:val="000F79A3"/>
    <w:rsid w:val="00101FC5"/>
    <w:rsid w:val="00102871"/>
    <w:rsid w:val="00117372"/>
    <w:rsid w:val="00121F7A"/>
    <w:rsid w:val="00122B12"/>
    <w:rsid w:val="001240A3"/>
    <w:rsid w:val="00124AE3"/>
    <w:rsid w:val="00125B91"/>
    <w:rsid w:val="00134FEA"/>
    <w:rsid w:val="00140097"/>
    <w:rsid w:val="0014160D"/>
    <w:rsid w:val="00142328"/>
    <w:rsid w:val="00142B3F"/>
    <w:rsid w:val="00146B74"/>
    <w:rsid w:val="00147576"/>
    <w:rsid w:val="00151618"/>
    <w:rsid w:val="00156965"/>
    <w:rsid w:val="00160E87"/>
    <w:rsid w:val="0016535D"/>
    <w:rsid w:val="001656E7"/>
    <w:rsid w:val="0016757F"/>
    <w:rsid w:val="001678A3"/>
    <w:rsid w:val="00171BF7"/>
    <w:rsid w:val="00172A27"/>
    <w:rsid w:val="00175B6A"/>
    <w:rsid w:val="001770CF"/>
    <w:rsid w:val="00177D20"/>
    <w:rsid w:val="0018245A"/>
    <w:rsid w:val="00185DA6"/>
    <w:rsid w:val="00187515"/>
    <w:rsid w:val="00190964"/>
    <w:rsid w:val="00191C36"/>
    <w:rsid w:val="00192CF4"/>
    <w:rsid w:val="00193B33"/>
    <w:rsid w:val="00196B36"/>
    <w:rsid w:val="001A248A"/>
    <w:rsid w:val="001A58E4"/>
    <w:rsid w:val="001A6518"/>
    <w:rsid w:val="001B27BB"/>
    <w:rsid w:val="001B3BCD"/>
    <w:rsid w:val="001B5C7D"/>
    <w:rsid w:val="001D2924"/>
    <w:rsid w:val="001E251B"/>
    <w:rsid w:val="001F17C1"/>
    <w:rsid w:val="001F35C6"/>
    <w:rsid w:val="001F6037"/>
    <w:rsid w:val="001F7DE6"/>
    <w:rsid w:val="00210128"/>
    <w:rsid w:val="002126A2"/>
    <w:rsid w:val="00217595"/>
    <w:rsid w:val="00217AC5"/>
    <w:rsid w:val="00221703"/>
    <w:rsid w:val="00222BA9"/>
    <w:rsid w:val="00227288"/>
    <w:rsid w:val="002308AB"/>
    <w:rsid w:val="00233F62"/>
    <w:rsid w:val="00236103"/>
    <w:rsid w:val="0023752E"/>
    <w:rsid w:val="00240B0D"/>
    <w:rsid w:val="0024118E"/>
    <w:rsid w:val="0024377C"/>
    <w:rsid w:val="00244DDA"/>
    <w:rsid w:val="00245A2B"/>
    <w:rsid w:val="00247071"/>
    <w:rsid w:val="00253CD0"/>
    <w:rsid w:val="00261D4C"/>
    <w:rsid w:val="00263BA7"/>
    <w:rsid w:val="002647DE"/>
    <w:rsid w:val="00264A11"/>
    <w:rsid w:val="002651A1"/>
    <w:rsid w:val="002658F8"/>
    <w:rsid w:val="00265BF0"/>
    <w:rsid w:val="00267A02"/>
    <w:rsid w:val="00274A5D"/>
    <w:rsid w:val="00274BCC"/>
    <w:rsid w:val="0028084C"/>
    <w:rsid w:val="00285097"/>
    <w:rsid w:val="002867D5"/>
    <w:rsid w:val="002915DF"/>
    <w:rsid w:val="00291C2C"/>
    <w:rsid w:val="002A3171"/>
    <w:rsid w:val="002A4789"/>
    <w:rsid w:val="002A5907"/>
    <w:rsid w:val="002A7D08"/>
    <w:rsid w:val="002B0054"/>
    <w:rsid w:val="002B2570"/>
    <w:rsid w:val="002B3B6E"/>
    <w:rsid w:val="002C065C"/>
    <w:rsid w:val="002C4029"/>
    <w:rsid w:val="002C51B9"/>
    <w:rsid w:val="002C7FC7"/>
    <w:rsid w:val="002D437F"/>
    <w:rsid w:val="002D5787"/>
    <w:rsid w:val="002D77D5"/>
    <w:rsid w:val="002E31BC"/>
    <w:rsid w:val="002E3563"/>
    <w:rsid w:val="002E48E0"/>
    <w:rsid w:val="002F249D"/>
    <w:rsid w:val="002F385E"/>
    <w:rsid w:val="002F3F04"/>
    <w:rsid w:val="002F4520"/>
    <w:rsid w:val="00302285"/>
    <w:rsid w:val="0030444D"/>
    <w:rsid w:val="0030564F"/>
    <w:rsid w:val="00317359"/>
    <w:rsid w:val="00317DB7"/>
    <w:rsid w:val="00320F65"/>
    <w:rsid w:val="00321F35"/>
    <w:rsid w:val="0032771A"/>
    <w:rsid w:val="00336F41"/>
    <w:rsid w:val="00340E01"/>
    <w:rsid w:val="003419EE"/>
    <w:rsid w:val="00345768"/>
    <w:rsid w:val="00345C1F"/>
    <w:rsid w:val="00346882"/>
    <w:rsid w:val="00353B74"/>
    <w:rsid w:val="00360D3D"/>
    <w:rsid w:val="00371ED9"/>
    <w:rsid w:val="0038054E"/>
    <w:rsid w:val="00380EF7"/>
    <w:rsid w:val="00381538"/>
    <w:rsid w:val="00384BA2"/>
    <w:rsid w:val="00385B46"/>
    <w:rsid w:val="003919E3"/>
    <w:rsid w:val="00394867"/>
    <w:rsid w:val="00396809"/>
    <w:rsid w:val="003972D0"/>
    <w:rsid w:val="003A202E"/>
    <w:rsid w:val="003A367A"/>
    <w:rsid w:val="003A678C"/>
    <w:rsid w:val="003A67E3"/>
    <w:rsid w:val="003B1D49"/>
    <w:rsid w:val="003B3694"/>
    <w:rsid w:val="003B5314"/>
    <w:rsid w:val="003B68DF"/>
    <w:rsid w:val="003C307B"/>
    <w:rsid w:val="003C32AA"/>
    <w:rsid w:val="003C6EA1"/>
    <w:rsid w:val="003C6F17"/>
    <w:rsid w:val="003C778F"/>
    <w:rsid w:val="003D1680"/>
    <w:rsid w:val="003D5BB5"/>
    <w:rsid w:val="003E0943"/>
    <w:rsid w:val="003E1E21"/>
    <w:rsid w:val="003E38DB"/>
    <w:rsid w:val="003E3AE8"/>
    <w:rsid w:val="003E482C"/>
    <w:rsid w:val="003E50A6"/>
    <w:rsid w:val="003F1C82"/>
    <w:rsid w:val="003F2531"/>
    <w:rsid w:val="003F43DB"/>
    <w:rsid w:val="003F6794"/>
    <w:rsid w:val="004016A3"/>
    <w:rsid w:val="00402505"/>
    <w:rsid w:val="00402EB6"/>
    <w:rsid w:val="004066CF"/>
    <w:rsid w:val="00406C8D"/>
    <w:rsid w:val="004118C1"/>
    <w:rsid w:val="00414B01"/>
    <w:rsid w:val="00414ECF"/>
    <w:rsid w:val="00420F7F"/>
    <w:rsid w:val="00421690"/>
    <w:rsid w:val="00422CFA"/>
    <w:rsid w:val="004244E5"/>
    <w:rsid w:val="004274CF"/>
    <w:rsid w:val="004303DA"/>
    <w:rsid w:val="00430FEE"/>
    <w:rsid w:val="0043412C"/>
    <w:rsid w:val="00435EB5"/>
    <w:rsid w:val="00436A42"/>
    <w:rsid w:val="00440403"/>
    <w:rsid w:val="00440CE8"/>
    <w:rsid w:val="0044765D"/>
    <w:rsid w:val="00447A80"/>
    <w:rsid w:val="004524D4"/>
    <w:rsid w:val="004605F5"/>
    <w:rsid w:val="00482180"/>
    <w:rsid w:val="004823BE"/>
    <w:rsid w:val="004857A1"/>
    <w:rsid w:val="00485E43"/>
    <w:rsid w:val="00490ADB"/>
    <w:rsid w:val="00491FA2"/>
    <w:rsid w:val="00493037"/>
    <w:rsid w:val="00493508"/>
    <w:rsid w:val="0049508E"/>
    <w:rsid w:val="00495B11"/>
    <w:rsid w:val="00495D47"/>
    <w:rsid w:val="004974D4"/>
    <w:rsid w:val="004A17DD"/>
    <w:rsid w:val="004A24D3"/>
    <w:rsid w:val="004A3276"/>
    <w:rsid w:val="004A3B01"/>
    <w:rsid w:val="004B5685"/>
    <w:rsid w:val="004B5EAA"/>
    <w:rsid w:val="004B6B0A"/>
    <w:rsid w:val="004C3C01"/>
    <w:rsid w:val="004C4AC9"/>
    <w:rsid w:val="004D5FC5"/>
    <w:rsid w:val="004E0446"/>
    <w:rsid w:val="004E3B1E"/>
    <w:rsid w:val="004F2137"/>
    <w:rsid w:val="004F7F45"/>
    <w:rsid w:val="0050577E"/>
    <w:rsid w:val="0050688C"/>
    <w:rsid w:val="00506D5A"/>
    <w:rsid w:val="00511ACC"/>
    <w:rsid w:val="00511BAE"/>
    <w:rsid w:val="00515CC2"/>
    <w:rsid w:val="00516AB2"/>
    <w:rsid w:val="00520F1B"/>
    <w:rsid w:val="0052125C"/>
    <w:rsid w:val="00521F86"/>
    <w:rsid w:val="005229E6"/>
    <w:rsid w:val="00523A63"/>
    <w:rsid w:val="00525C77"/>
    <w:rsid w:val="005303CB"/>
    <w:rsid w:val="005337F9"/>
    <w:rsid w:val="00533B2F"/>
    <w:rsid w:val="00536101"/>
    <w:rsid w:val="00536F72"/>
    <w:rsid w:val="00542172"/>
    <w:rsid w:val="00542D5F"/>
    <w:rsid w:val="00543962"/>
    <w:rsid w:val="00546B01"/>
    <w:rsid w:val="00546E6A"/>
    <w:rsid w:val="0055290F"/>
    <w:rsid w:val="005532DB"/>
    <w:rsid w:val="00560E87"/>
    <w:rsid w:val="0056601A"/>
    <w:rsid w:val="0056686A"/>
    <w:rsid w:val="00571971"/>
    <w:rsid w:val="00574EC7"/>
    <w:rsid w:val="00577472"/>
    <w:rsid w:val="00582ECF"/>
    <w:rsid w:val="00591374"/>
    <w:rsid w:val="00591D39"/>
    <w:rsid w:val="00594BD0"/>
    <w:rsid w:val="00594D33"/>
    <w:rsid w:val="005971E2"/>
    <w:rsid w:val="005A27ED"/>
    <w:rsid w:val="005A2F81"/>
    <w:rsid w:val="005A30BE"/>
    <w:rsid w:val="005B296C"/>
    <w:rsid w:val="005B2DC3"/>
    <w:rsid w:val="005C653E"/>
    <w:rsid w:val="005C7B3F"/>
    <w:rsid w:val="005D0581"/>
    <w:rsid w:val="005D1FFE"/>
    <w:rsid w:val="005D36CF"/>
    <w:rsid w:val="005D4D06"/>
    <w:rsid w:val="005D7B79"/>
    <w:rsid w:val="005E06A4"/>
    <w:rsid w:val="005E138D"/>
    <w:rsid w:val="005E170C"/>
    <w:rsid w:val="006032AC"/>
    <w:rsid w:val="00606116"/>
    <w:rsid w:val="0060695B"/>
    <w:rsid w:val="00615CC1"/>
    <w:rsid w:val="00623F5E"/>
    <w:rsid w:val="0062473C"/>
    <w:rsid w:val="00630675"/>
    <w:rsid w:val="00637CE9"/>
    <w:rsid w:val="00640A77"/>
    <w:rsid w:val="00640A8C"/>
    <w:rsid w:val="00640AB8"/>
    <w:rsid w:val="00640BB9"/>
    <w:rsid w:val="0064194E"/>
    <w:rsid w:val="00642C81"/>
    <w:rsid w:val="00643474"/>
    <w:rsid w:val="00644524"/>
    <w:rsid w:val="00644963"/>
    <w:rsid w:val="00645151"/>
    <w:rsid w:val="00645782"/>
    <w:rsid w:val="006464F6"/>
    <w:rsid w:val="00647090"/>
    <w:rsid w:val="0065056C"/>
    <w:rsid w:val="006546B7"/>
    <w:rsid w:val="0065507E"/>
    <w:rsid w:val="0065788D"/>
    <w:rsid w:val="00657A2A"/>
    <w:rsid w:val="006621DA"/>
    <w:rsid w:val="0067369B"/>
    <w:rsid w:val="006745F9"/>
    <w:rsid w:val="00681965"/>
    <w:rsid w:val="00685FEC"/>
    <w:rsid w:val="006864B2"/>
    <w:rsid w:val="006973D8"/>
    <w:rsid w:val="006A17D7"/>
    <w:rsid w:val="006A31C4"/>
    <w:rsid w:val="006A3BDA"/>
    <w:rsid w:val="006A636A"/>
    <w:rsid w:val="006B13FE"/>
    <w:rsid w:val="006B148E"/>
    <w:rsid w:val="006C3291"/>
    <w:rsid w:val="006C3EE0"/>
    <w:rsid w:val="006C5D77"/>
    <w:rsid w:val="006D03B0"/>
    <w:rsid w:val="006D213A"/>
    <w:rsid w:val="006D3C5D"/>
    <w:rsid w:val="006D5960"/>
    <w:rsid w:val="006F22B6"/>
    <w:rsid w:val="006F3501"/>
    <w:rsid w:val="006F5F09"/>
    <w:rsid w:val="006F78B2"/>
    <w:rsid w:val="0070298A"/>
    <w:rsid w:val="00703EF4"/>
    <w:rsid w:val="00705114"/>
    <w:rsid w:val="00706693"/>
    <w:rsid w:val="00706EAE"/>
    <w:rsid w:val="0071744C"/>
    <w:rsid w:val="007304AF"/>
    <w:rsid w:val="00730D10"/>
    <w:rsid w:val="00736B0B"/>
    <w:rsid w:val="00740C75"/>
    <w:rsid w:val="00741C3C"/>
    <w:rsid w:val="00745260"/>
    <w:rsid w:val="007465D4"/>
    <w:rsid w:val="007557FC"/>
    <w:rsid w:val="00764B59"/>
    <w:rsid w:val="007735EE"/>
    <w:rsid w:val="00781B08"/>
    <w:rsid w:val="00792CCA"/>
    <w:rsid w:val="00793585"/>
    <w:rsid w:val="007A6FCA"/>
    <w:rsid w:val="007B115D"/>
    <w:rsid w:val="007B24FE"/>
    <w:rsid w:val="007C0803"/>
    <w:rsid w:val="007C1B9F"/>
    <w:rsid w:val="007C34B8"/>
    <w:rsid w:val="007C7BDD"/>
    <w:rsid w:val="007C7C5D"/>
    <w:rsid w:val="007E0DF1"/>
    <w:rsid w:val="007E220C"/>
    <w:rsid w:val="007E64C0"/>
    <w:rsid w:val="007E6F6B"/>
    <w:rsid w:val="007F13C4"/>
    <w:rsid w:val="007F2BB5"/>
    <w:rsid w:val="007F3C23"/>
    <w:rsid w:val="007F49AF"/>
    <w:rsid w:val="007F7E0A"/>
    <w:rsid w:val="0080302B"/>
    <w:rsid w:val="008066DE"/>
    <w:rsid w:val="008074CA"/>
    <w:rsid w:val="00817220"/>
    <w:rsid w:val="0082224F"/>
    <w:rsid w:val="0082296C"/>
    <w:rsid w:val="00823848"/>
    <w:rsid w:val="00823FBC"/>
    <w:rsid w:val="008279BD"/>
    <w:rsid w:val="00831084"/>
    <w:rsid w:val="0083428E"/>
    <w:rsid w:val="00834662"/>
    <w:rsid w:val="00837C65"/>
    <w:rsid w:val="008514E4"/>
    <w:rsid w:val="0085176F"/>
    <w:rsid w:val="00852AF0"/>
    <w:rsid w:val="00853B1B"/>
    <w:rsid w:val="00853E0A"/>
    <w:rsid w:val="008559FA"/>
    <w:rsid w:val="0085751E"/>
    <w:rsid w:val="00857DAC"/>
    <w:rsid w:val="00861810"/>
    <w:rsid w:val="008630B0"/>
    <w:rsid w:val="00874F20"/>
    <w:rsid w:val="0087680B"/>
    <w:rsid w:val="008810B4"/>
    <w:rsid w:val="00881851"/>
    <w:rsid w:val="00882C96"/>
    <w:rsid w:val="00891A2F"/>
    <w:rsid w:val="008922A4"/>
    <w:rsid w:val="008970F6"/>
    <w:rsid w:val="008A1575"/>
    <w:rsid w:val="008A15D1"/>
    <w:rsid w:val="008A45AD"/>
    <w:rsid w:val="008A4656"/>
    <w:rsid w:val="008A51BD"/>
    <w:rsid w:val="008A77F4"/>
    <w:rsid w:val="008B1F65"/>
    <w:rsid w:val="008B4A1A"/>
    <w:rsid w:val="008B4A55"/>
    <w:rsid w:val="008B77E5"/>
    <w:rsid w:val="008D1E5B"/>
    <w:rsid w:val="008D6D1A"/>
    <w:rsid w:val="008E3881"/>
    <w:rsid w:val="008E44F2"/>
    <w:rsid w:val="008F37AF"/>
    <w:rsid w:val="00922A8B"/>
    <w:rsid w:val="00927CA5"/>
    <w:rsid w:val="009315ED"/>
    <w:rsid w:val="00931CF8"/>
    <w:rsid w:val="00933440"/>
    <w:rsid w:val="0093728F"/>
    <w:rsid w:val="009410C8"/>
    <w:rsid w:val="00941B07"/>
    <w:rsid w:val="00951CBB"/>
    <w:rsid w:val="0095441B"/>
    <w:rsid w:val="00954550"/>
    <w:rsid w:val="00956366"/>
    <w:rsid w:val="00972257"/>
    <w:rsid w:val="00972462"/>
    <w:rsid w:val="009840FA"/>
    <w:rsid w:val="00984105"/>
    <w:rsid w:val="00984672"/>
    <w:rsid w:val="0098538C"/>
    <w:rsid w:val="00987173"/>
    <w:rsid w:val="00993AC2"/>
    <w:rsid w:val="00995856"/>
    <w:rsid w:val="00995FD1"/>
    <w:rsid w:val="00996061"/>
    <w:rsid w:val="009A13CB"/>
    <w:rsid w:val="009A5089"/>
    <w:rsid w:val="009A5468"/>
    <w:rsid w:val="009B02BD"/>
    <w:rsid w:val="009B524C"/>
    <w:rsid w:val="009B6584"/>
    <w:rsid w:val="009C41CA"/>
    <w:rsid w:val="009C4537"/>
    <w:rsid w:val="009C517E"/>
    <w:rsid w:val="009E1AB2"/>
    <w:rsid w:val="009E2958"/>
    <w:rsid w:val="009E39D0"/>
    <w:rsid w:val="009E3C55"/>
    <w:rsid w:val="009E5B5D"/>
    <w:rsid w:val="00A025DF"/>
    <w:rsid w:val="00A12D1A"/>
    <w:rsid w:val="00A13232"/>
    <w:rsid w:val="00A24F81"/>
    <w:rsid w:val="00A30104"/>
    <w:rsid w:val="00A40807"/>
    <w:rsid w:val="00A42F02"/>
    <w:rsid w:val="00A51A47"/>
    <w:rsid w:val="00A530FA"/>
    <w:rsid w:val="00A53183"/>
    <w:rsid w:val="00A54C5A"/>
    <w:rsid w:val="00A607F0"/>
    <w:rsid w:val="00A60E7D"/>
    <w:rsid w:val="00A61027"/>
    <w:rsid w:val="00A61FAA"/>
    <w:rsid w:val="00A62B5D"/>
    <w:rsid w:val="00A62D7F"/>
    <w:rsid w:val="00A66196"/>
    <w:rsid w:val="00A67DDC"/>
    <w:rsid w:val="00A77DA8"/>
    <w:rsid w:val="00A80864"/>
    <w:rsid w:val="00A849B2"/>
    <w:rsid w:val="00A91C31"/>
    <w:rsid w:val="00A92DC6"/>
    <w:rsid w:val="00AA11CB"/>
    <w:rsid w:val="00AB40FE"/>
    <w:rsid w:val="00AB50EA"/>
    <w:rsid w:val="00AC302A"/>
    <w:rsid w:val="00AD2054"/>
    <w:rsid w:val="00AD2E27"/>
    <w:rsid w:val="00AD573F"/>
    <w:rsid w:val="00AD621C"/>
    <w:rsid w:val="00AE0D98"/>
    <w:rsid w:val="00AE0E09"/>
    <w:rsid w:val="00AE4644"/>
    <w:rsid w:val="00AE7258"/>
    <w:rsid w:val="00AE741F"/>
    <w:rsid w:val="00AE7A93"/>
    <w:rsid w:val="00AF13EF"/>
    <w:rsid w:val="00AF2D33"/>
    <w:rsid w:val="00B00AF3"/>
    <w:rsid w:val="00B02E47"/>
    <w:rsid w:val="00B153F4"/>
    <w:rsid w:val="00B17157"/>
    <w:rsid w:val="00B208DC"/>
    <w:rsid w:val="00B22229"/>
    <w:rsid w:val="00B334A9"/>
    <w:rsid w:val="00B33DED"/>
    <w:rsid w:val="00B356FB"/>
    <w:rsid w:val="00B40225"/>
    <w:rsid w:val="00B407BD"/>
    <w:rsid w:val="00B4213F"/>
    <w:rsid w:val="00B467AC"/>
    <w:rsid w:val="00B47F3A"/>
    <w:rsid w:val="00B539C3"/>
    <w:rsid w:val="00B560BF"/>
    <w:rsid w:val="00B617C4"/>
    <w:rsid w:val="00B61934"/>
    <w:rsid w:val="00B63148"/>
    <w:rsid w:val="00B7153E"/>
    <w:rsid w:val="00B73656"/>
    <w:rsid w:val="00B82AEF"/>
    <w:rsid w:val="00B86824"/>
    <w:rsid w:val="00B877B2"/>
    <w:rsid w:val="00B90526"/>
    <w:rsid w:val="00B915FC"/>
    <w:rsid w:val="00B9376A"/>
    <w:rsid w:val="00B93C8F"/>
    <w:rsid w:val="00BA1288"/>
    <w:rsid w:val="00BA2133"/>
    <w:rsid w:val="00BA3594"/>
    <w:rsid w:val="00BA38A9"/>
    <w:rsid w:val="00BB16C4"/>
    <w:rsid w:val="00BB259B"/>
    <w:rsid w:val="00BB4070"/>
    <w:rsid w:val="00BC076C"/>
    <w:rsid w:val="00BC0B8A"/>
    <w:rsid w:val="00BC45E7"/>
    <w:rsid w:val="00BD094E"/>
    <w:rsid w:val="00BD0C46"/>
    <w:rsid w:val="00BD6724"/>
    <w:rsid w:val="00BE26AA"/>
    <w:rsid w:val="00BE4A88"/>
    <w:rsid w:val="00BE4D80"/>
    <w:rsid w:val="00C007B0"/>
    <w:rsid w:val="00C00E62"/>
    <w:rsid w:val="00C026E5"/>
    <w:rsid w:val="00C137F5"/>
    <w:rsid w:val="00C14B16"/>
    <w:rsid w:val="00C14CDA"/>
    <w:rsid w:val="00C174AE"/>
    <w:rsid w:val="00C32263"/>
    <w:rsid w:val="00C328BD"/>
    <w:rsid w:val="00C37E44"/>
    <w:rsid w:val="00C4243B"/>
    <w:rsid w:val="00C462E8"/>
    <w:rsid w:val="00C471B7"/>
    <w:rsid w:val="00C5149C"/>
    <w:rsid w:val="00C51A0C"/>
    <w:rsid w:val="00C52EA5"/>
    <w:rsid w:val="00C571E9"/>
    <w:rsid w:val="00C6000D"/>
    <w:rsid w:val="00C62E60"/>
    <w:rsid w:val="00C654DA"/>
    <w:rsid w:val="00C71394"/>
    <w:rsid w:val="00C72B39"/>
    <w:rsid w:val="00C73122"/>
    <w:rsid w:val="00C7776F"/>
    <w:rsid w:val="00C81120"/>
    <w:rsid w:val="00C81242"/>
    <w:rsid w:val="00C81A2B"/>
    <w:rsid w:val="00C8239D"/>
    <w:rsid w:val="00C8463A"/>
    <w:rsid w:val="00C92E32"/>
    <w:rsid w:val="00C939AF"/>
    <w:rsid w:val="00C94005"/>
    <w:rsid w:val="00C94EB2"/>
    <w:rsid w:val="00C95506"/>
    <w:rsid w:val="00C96541"/>
    <w:rsid w:val="00C9798E"/>
    <w:rsid w:val="00CA33DD"/>
    <w:rsid w:val="00CA75B0"/>
    <w:rsid w:val="00CB10C2"/>
    <w:rsid w:val="00CB62BE"/>
    <w:rsid w:val="00CB6F9E"/>
    <w:rsid w:val="00CC4809"/>
    <w:rsid w:val="00CC695C"/>
    <w:rsid w:val="00CD35FA"/>
    <w:rsid w:val="00CD547D"/>
    <w:rsid w:val="00CD5587"/>
    <w:rsid w:val="00CD5BF1"/>
    <w:rsid w:val="00CD6FCF"/>
    <w:rsid w:val="00CD7FF8"/>
    <w:rsid w:val="00CE24E0"/>
    <w:rsid w:val="00CE38E7"/>
    <w:rsid w:val="00CF4678"/>
    <w:rsid w:val="00CF67B6"/>
    <w:rsid w:val="00CF7C5D"/>
    <w:rsid w:val="00D0002E"/>
    <w:rsid w:val="00D00B0B"/>
    <w:rsid w:val="00D01BE0"/>
    <w:rsid w:val="00D03B1A"/>
    <w:rsid w:val="00D065DC"/>
    <w:rsid w:val="00D073A6"/>
    <w:rsid w:val="00D07729"/>
    <w:rsid w:val="00D14622"/>
    <w:rsid w:val="00D15C55"/>
    <w:rsid w:val="00D2016C"/>
    <w:rsid w:val="00D218C8"/>
    <w:rsid w:val="00D26709"/>
    <w:rsid w:val="00D27154"/>
    <w:rsid w:val="00D30CD9"/>
    <w:rsid w:val="00D33EB8"/>
    <w:rsid w:val="00D34281"/>
    <w:rsid w:val="00D40694"/>
    <w:rsid w:val="00D445B5"/>
    <w:rsid w:val="00D44BD8"/>
    <w:rsid w:val="00D474EA"/>
    <w:rsid w:val="00D538B8"/>
    <w:rsid w:val="00D62EF7"/>
    <w:rsid w:val="00D633BA"/>
    <w:rsid w:val="00D65CFE"/>
    <w:rsid w:val="00D660CF"/>
    <w:rsid w:val="00D72404"/>
    <w:rsid w:val="00D72941"/>
    <w:rsid w:val="00D73E6B"/>
    <w:rsid w:val="00D7564B"/>
    <w:rsid w:val="00D76FD8"/>
    <w:rsid w:val="00D81F18"/>
    <w:rsid w:val="00D833DE"/>
    <w:rsid w:val="00D83BF2"/>
    <w:rsid w:val="00D94074"/>
    <w:rsid w:val="00D957DD"/>
    <w:rsid w:val="00D97F84"/>
    <w:rsid w:val="00DA01E1"/>
    <w:rsid w:val="00DA101E"/>
    <w:rsid w:val="00DA257B"/>
    <w:rsid w:val="00DA4B08"/>
    <w:rsid w:val="00DA64C3"/>
    <w:rsid w:val="00DA7AB4"/>
    <w:rsid w:val="00DB2BB4"/>
    <w:rsid w:val="00DB3D25"/>
    <w:rsid w:val="00DC557F"/>
    <w:rsid w:val="00DD247A"/>
    <w:rsid w:val="00DD2BA7"/>
    <w:rsid w:val="00DD32FF"/>
    <w:rsid w:val="00DD62A5"/>
    <w:rsid w:val="00DD6A27"/>
    <w:rsid w:val="00DE05AC"/>
    <w:rsid w:val="00DE091D"/>
    <w:rsid w:val="00DE1446"/>
    <w:rsid w:val="00DE481F"/>
    <w:rsid w:val="00DF3F9D"/>
    <w:rsid w:val="00DF449E"/>
    <w:rsid w:val="00DF468B"/>
    <w:rsid w:val="00E0097C"/>
    <w:rsid w:val="00E00C29"/>
    <w:rsid w:val="00E01BD5"/>
    <w:rsid w:val="00E03A8A"/>
    <w:rsid w:val="00E0554F"/>
    <w:rsid w:val="00E1275A"/>
    <w:rsid w:val="00E205B1"/>
    <w:rsid w:val="00E2536F"/>
    <w:rsid w:val="00E3225A"/>
    <w:rsid w:val="00E50837"/>
    <w:rsid w:val="00E5092A"/>
    <w:rsid w:val="00E56684"/>
    <w:rsid w:val="00E56F11"/>
    <w:rsid w:val="00E622F9"/>
    <w:rsid w:val="00E71637"/>
    <w:rsid w:val="00E7306C"/>
    <w:rsid w:val="00E80851"/>
    <w:rsid w:val="00E81848"/>
    <w:rsid w:val="00E81E0B"/>
    <w:rsid w:val="00E82207"/>
    <w:rsid w:val="00E83077"/>
    <w:rsid w:val="00E84C58"/>
    <w:rsid w:val="00E8636E"/>
    <w:rsid w:val="00E9211D"/>
    <w:rsid w:val="00E9290D"/>
    <w:rsid w:val="00E94976"/>
    <w:rsid w:val="00EA3BBA"/>
    <w:rsid w:val="00EA657A"/>
    <w:rsid w:val="00EA7F4E"/>
    <w:rsid w:val="00EB04B5"/>
    <w:rsid w:val="00EB6267"/>
    <w:rsid w:val="00EB7440"/>
    <w:rsid w:val="00EB74A4"/>
    <w:rsid w:val="00EC2B5B"/>
    <w:rsid w:val="00ED3856"/>
    <w:rsid w:val="00ED465E"/>
    <w:rsid w:val="00ED6846"/>
    <w:rsid w:val="00EE030C"/>
    <w:rsid w:val="00EE4212"/>
    <w:rsid w:val="00EE6F30"/>
    <w:rsid w:val="00EF453C"/>
    <w:rsid w:val="00F01EF8"/>
    <w:rsid w:val="00F022B6"/>
    <w:rsid w:val="00F02414"/>
    <w:rsid w:val="00F05CEE"/>
    <w:rsid w:val="00F05F75"/>
    <w:rsid w:val="00F06D92"/>
    <w:rsid w:val="00F07EDA"/>
    <w:rsid w:val="00F135D4"/>
    <w:rsid w:val="00F136A9"/>
    <w:rsid w:val="00F16C89"/>
    <w:rsid w:val="00F16D77"/>
    <w:rsid w:val="00F1709B"/>
    <w:rsid w:val="00F221F8"/>
    <w:rsid w:val="00F27FBD"/>
    <w:rsid w:val="00F33B21"/>
    <w:rsid w:val="00F340F5"/>
    <w:rsid w:val="00F35418"/>
    <w:rsid w:val="00F35E86"/>
    <w:rsid w:val="00F3668A"/>
    <w:rsid w:val="00F36C48"/>
    <w:rsid w:val="00F44207"/>
    <w:rsid w:val="00F44BB5"/>
    <w:rsid w:val="00F532C4"/>
    <w:rsid w:val="00F5414F"/>
    <w:rsid w:val="00F6712B"/>
    <w:rsid w:val="00F71374"/>
    <w:rsid w:val="00F73BBB"/>
    <w:rsid w:val="00F73FCF"/>
    <w:rsid w:val="00F7440F"/>
    <w:rsid w:val="00F762B9"/>
    <w:rsid w:val="00F85335"/>
    <w:rsid w:val="00F9178C"/>
    <w:rsid w:val="00F94465"/>
    <w:rsid w:val="00F96172"/>
    <w:rsid w:val="00F96B91"/>
    <w:rsid w:val="00F96FE8"/>
    <w:rsid w:val="00F9744F"/>
    <w:rsid w:val="00FA0798"/>
    <w:rsid w:val="00FA184D"/>
    <w:rsid w:val="00FA7DA0"/>
    <w:rsid w:val="00FB1C9F"/>
    <w:rsid w:val="00FC0E11"/>
    <w:rsid w:val="00FC54A5"/>
    <w:rsid w:val="00FD367E"/>
    <w:rsid w:val="00FD4D6A"/>
    <w:rsid w:val="00FD54E4"/>
    <w:rsid w:val="00FE17C1"/>
    <w:rsid w:val="00FE3272"/>
    <w:rsid w:val="00FF1561"/>
    <w:rsid w:val="00FF5B87"/>
    <w:rsid w:val="00FF6E3A"/>
    <w:rsid w:val="01433ECC"/>
    <w:rsid w:val="01523337"/>
    <w:rsid w:val="01600895"/>
    <w:rsid w:val="0164119F"/>
    <w:rsid w:val="01866614"/>
    <w:rsid w:val="019674B7"/>
    <w:rsid w:val="01F93628"/>
    <w:rsid w:val="021B202C"/>
    <w:rsid w:val="026874B3"/>
    <w:rsid w:val="02C646E1"/>
    <w:rsid w:val="02FE20CD"/>
    <w:rsid w:val="03010693"/>
    <w:rsid w:val="03125B78"/>
    <w:rsid w:val="03580080"/>
    <w:rsid w:val="03A42D9E"/>
    <w:rsid w:val="03B2599D"/>
    <w:rsid w:val="03F35194"/>
    <w:rsid w:val="041A0F22"/>
    <w:rsid w:val="042C6306"/>
    <w:rsid w:val="043F299D"/>
    <w:rsid w:val="04475EA8"/>
    <w:rsid w:val="044C56F1"/>
    <w:rsid w:val="04592FCB"/>
    <w:rsid w:val="04806C4F"/>
    <w:rsid w:val="048363E9"/>
    <w:rsid w:val="04A92BDA"/>
    <w:rsid w:val="04B20C5E"/>
    <w:rsid w:val="04DD3F64"/>
    <w:rsid w:val="04F35535"/>
    <w:rsid w:val="050977B2"/>
    <w:rsid w:val="053F6CEC"/>
    <w:rsid w:val="054949D2"/>
    <w:rsid w:val="054B5ABB"/>
    <w:rsid w:val="058B28BB"/>
    <w:rsid w:val="05994946"/>
    <w:rsid w:val="05A924C6"/>
    <w:rsid w:val="05AA049E"/>
    <w:rsid w:val="05B64035"/>
    <w:rsid w:val="05DC5F0A"/>
    <w:rsid w:val="05F15F19"/>
    <w:rsid w:val="05F33DF2"/>
    <w:rsid w:val="06127C92"/>
    <w:rsid w:val="06341B5E"/>
    <w:rsid w:val="066B1FF9"/>
    <w:rsid w:val="067D162A"/>
    <w:rsid w:val="069A3221"/>
    <w:rsid w:val="06C23CD9"/>
    <w:rsid w:val="072950A2"/>
    <w:rsid w:val="07396547"/>
    <w:rsid w:val="073E205D"/>
    <w:rsid w:val="074612F7"/>
    <w:rsid w:val="07647CE3"/>
    <w:rsid w:val="077722CC"/>
    <w:rsid w:val="07973E92"/>
    <w:rsid w:val="079F6195"/>
    <w:rsid w:val="07B61D0C"/>
    <w:rsid w:val="07B76CEE"/>
    <w:rsid w:val="07E37AE3"/>
    <w:rsid w:val="07EB3A1B"/>
    <w:rsid w:val="08894A4B"/>
    <w:rsid w:val="08A44BA2"/>
    <w:rsid w:val="08B42FD0"/>
    <w:rsid w:val="08CF742E"/>
    <w:rsid w:val="08EC6C1E"/>
    <w:rsid w:val="08EF66E4"/>
    <w:rsid w:val="08F00C5F"/>
    <w:rsid w:val="09084117"/>
    <w:rsid w:val="090A175C"/>
    <w:rsid w:val="091361A6"/>
    <w:rsid w:val="092F6FCD"/>
    <w:rsid w:val="09555E2F"/>
    <w:rsid w:val="09721832"/>
    <w:rsid w:val="09771E96"/>
    <w:rsid w:val="09790C57"/>
    <w:rsid w:val="097F66EB"/>
    <w:rsid w:val="099D4687"/>
    <w:rsid w:val="09BA5BB8"/>
    <w:rsid w:val="09D43B87"/>
    <w:rsid w:val="09ED206A"/>
    <w:rsid w:val="09EE61F1"/>
    <w:rsid w:val="0A1B223B"/>
    <w:rsid w:val="0A3818DA"/>
    <w:rsid w:val="0A3D338E"/>
    <w:rsid w:val="0A556D8E"/>
    <w:rsid w:val="0A5C2CB4"/>
    <w:rsid w:val="0A6B449D"/>
    <w:rsid w:val="0A76419E"/>
    <w:rsid w:val="0A8D0C30"/>
    <w:rsid w:val="0ABD1C25"/>
    <w:rsid w:val="0ABE0E0C"/>
    <w:rsid w:val="0AC2504B"/>
    <w:rsid w:val="0ADB4AF6"/>
    <w:rsid w:val="0B2C16AB"/>
    <w:rsid w:val="0B2F0A09"/>
    <w:rsid w:val="0B365692"/>
    <w:rsid w:val="0B3F3CB2"/>
    <w:rsid w:val="0B4F488E"/>
    <w:rsid w:val="0B664E45"/>
    <w:rsid w:val="0B7633CD"/>
    <w:rsid w:val="0B7913DA"/>
    <w:rsid w:val="0B9E269F"/>
    <w:rsid w:val="0BBC2B25"/>
    <w:rsid w:val="0BD13923"/>
    <w:rsid w:val="0C124D4F"/>
    <w:rsid w:val="0C470638"/>
    <w:rsid w:val="0C5874A6"/>
    <w:rsid w:val="0C5C0BE5"/>
    <w:rsid w:val="0C7929B9"/>
    <w:rsid w:val="0C861BA8"/>
    <w:rsid w:val="0C917B0E"/>
    <w:rsid w:val="0C98608F"/>
    <w:rsid w:val="0CB83453"/>
    <w:rsid w:val="0CC8265C"/>
    <w:rsid w:val="0D002A3D"/>
    <w:rsid w:val="0D106456"/>
    <w:rsid w:val="0D110E33"/>
    <w:rsid w:val="0D1A12D3"/>
    <w:rsid w:val="0D1C617F"/>
    <w:rsid w:val="0D503321"/>
    <w:rsid w:val="0D51193C"/>
    <w:rsid w:val="0D5A3E0F"/>
    <w:rsid w:val="0D5B1376"/>
    <w:rsid w:val="0D6D5B36"/>
    <w:rsid w:val="0D861304"/>
    <w:rsid w:val="0D8B5E6E"/>
    <w:rsid w:val="0DA701FE"/>
    <w:rsid w:val="0DBC0CF3"/>
    <w:rsid w:val="0DC35FDB"/>
    <w:rsid w:val="0DCD6DA8"/>
    <w:rsid w:val="0E63372C"/>
    <w:rsid w:val="0E8071AE"/>
    <w:rsid w:val="0E820FEE"/>
    <w:rsid w:val="0E9051DA"/>
    <w:rsid w:val="0EC46E52"/>
    <w:rsid w:val="0ECA70A2"/>
    <w:rsid w:val="0ED4233E"/>
    <w:rsid w:val="0EE5282B"/>
    <w:rsid w:val="0EE716CD"/>
    <w:rsid w:val="0EE71E6E"/>
    <w:rsid w:val="0EEB3BE8"/>
    <w:rsid w:val="0EFF2410"/>
    <w:rsid w:val="0F0471D0"/>
    <w:rsid w:val="0F0C4A9D"/>
    <w:rsid w:val="0F0D673E"/>
    <w:rsid w:val="0F125A06"/>
    <w:rsid w:val="0F211D86"/>
    <w:rsid w:val="0F352364"/>
    <w:rsid w:val="0F4810D3"/>
    <w:rsid w:val="0F5D017B"/>
    <w:rsid w:val="0F784B96"/>
    <w:rsid w:val="0F8676D2"/>
    <w:rsid w:val="0F886514"/>
    <w:rsid w:val="0F9124C0"/>
    <w:rsid w:val="0F915FB1"/>
    <w:rsid w:val="0FA26188"/>
    <w:rsid w:val="0FAF6321"/>
    <w:rsid w:val="0FB0647D"/>
    <w:rsid w:val="0FB31E5E"/>
    <w:rsid w:val="0FC130AF"/>
    <w:rsid w:val="0FC159EE"/>
    <w:rsid w:val="0FC3462A"/>
    <w:rsid w:val="0FF17FD6"/>
    <w:rsid w:val="0FFD0150"/>
    <w:rsid w:val="10050132"/>
    <w:rsid w:val="10081183"/>
    <w:rsid w:val="10106BD9"/>
    <w:rsid w:val="101A510D"/>
    <w:rsid w:val="102C235B"/>
    <w:rsid w:val="102F1E43"/>
    <w:rsid w:val="1041184B"/>
    <w:rsid w:val="10591B8F"/>
    <w:rsid w:val="10646C16"/>
    <w:rsid w:val="107E71FC"/>
    <w:rsid w:val="109720CE"/>
    <w:rsid w:val="10977CE3"/>
    <w:rsid w:val="10B01C72"/>
    <w:rsid w:val="10B239BE"/>
    <w:rsid w:val="10B9142C"/>
    <w:rsid w:val="10BD39CF"/>
    <w:rsid w:val="10D426BF"/>
    <w:rsid w:val="10D506D0"/>
    <w:rsid w:val="10D77228"/>
    <w:rsid w:val="10E3528B"/>
    <w:rsid w:val="10E670E5"/>
    <w:rsid w:val="111020D9"/>
    <w:rsid w:val="11136C90"/>
    <w:rsid w:val="113228CA"/>
    <w:rsid w:val="113257E6"/>
    <w:rsid w:val="11350259"/>
    <w:rsid w:val="113971FE"/>
    <w:rsid w:val="114D7589"/>
    <w:rsid w:val="11744E4C"/>
    <w:rsid w:val="11B70512"/>
    <w:rsid w:val="11BA1147"/>
    <w:rsid w:val="11C00BB3"/>
    <w:rsid w:val="11C444E1"/>
    <w:rsid w:val="11D75F8A"/>
    <w:rsid w:val="11EE155E"/>
    <w:rsid w:val="12003626"/>
    <w:rsid w:val="12010B2B"/>
    <w:rsid w:val="121316CD"/>
    <w:rsid w:val="122E39B2"/>
    <w:rsid w:val="123F625E"/>
    <w:rsid w:val="12804A1F"/>
    <w:rsid w:val="129468C1"/>
    <w:rsid w:val="12D16E7E"/>
    <w:rsid w:val="131E7C21"/>
    <w:rsid w:val="1366770F"/>
    <w:rsid w:val="13806B0E"/>
    <w:rsid w:val="13912E17"/>
    <w:rsid w:val="13BE3078"/>
    <w:rsid w:val="13E22DAF"/>
    <w:rsid w:val="13F95D40"/>
    <w:rsid w:val="140E3559"/>
    <w:rsid w:val="141B4BC5"/>
    <w:rsid w:val="14281B7A"/>
    <w:rsid w:val="143D61F5"/>
    <w:rsid w:val="144D4192"/>
    <w:rsid w:val="14602603"/>
    <w:rsid w:val="14F5475E"/>
    <w:rsid w:val="14FB1631"/>
    <w:rsid w:val="151C5956"/>
    <w:rsid w:val="152C7D17"/>
    <w:rsid w:val="153B3244"/>
    <w:rsid w:val="153F2E0B"/>
    <w:rsid w:val="1549647B"/>
    <w:rsid w:val="15581B10"/>
    <w:rsid w:val="155D0ED5"/>
    <w:rsid w:val="156B2032"/>
    <w:rsid w:val="156C0552"/>
    <w:rsid w:val="15781839"/>
    <w:rsid w:val="15785AE6"/>
    <w:rsid w:val="15C37DBC"/>
    <w:rsid w:val="15E456D6"/>
    <w:rsid w:val="16016C39"/>
    <w:rsid w:val="161F43DC"/>
    <w:rsid w:val="162304BC"/>
    <w:rsid w:val="16566EEE"/>
    <w:rsid w:val="16713945"/>
    <w:rsid w:val="167A736F"/>
    <w:rsid w:val="16851698"/>
    <w:rsid w:val="16885058"/>
    <w:rsid w:val="16D05C6C"/>
    <w:rsid w:val="16E2355E"/>
    <w:rsid w:val="16FA2753"/>
    <w:rsid w:val="17017061"/>
    <w:rsid w:val="172F45D6"/>
    <w:rsid w:val="174B3892"/>
    <w:rsid w:val="175036A8"/>
    <w:rsid w:val="178A2C08"/>
    <w:rsid w:val="17B15508"/>
    <w:rsid w:val="17BB4FAF"/>
    <w:rsid w:val="17BE06B7"/>
    <w:rsid w:val="17DD2109"/>
    <w:rsid w:val="17F57BF5"/>
    <w:rsid w:val="17F9240D"/>
    <w:rsid w:val="181451A4"/>
    <w:rsid w:val="18452030"/>
    <w:rsid w:val="18596E28"/>
    <w:rsid w:val="18830B19"/>
    <w:rsid w:val="18CA1C53"/>
    <w:rsid w:val="18EB38E1"/>
    <w:rsid w:val="18EF45BC"/>
    <w:rsid w:val="1901426D"/>
    <w:rsid w:val="19023C03"/>
    <w:rsid w:val="190726E1"/>
    <w:rsid w:val="19103FB0"/>
    <w:rsid w:val="19197904"/>
    <w:rsid w:val="193F7DF6"/>
    <w:rsid w:val="19697B60"/>
    <w:rsid w:val="19751DBA"/>
    <w:rsid w:val="197A1C24"/>
    <w:rsid w:val="19AE7588"/>
    <w:rsid w:val="19B07990"/>
    <w:rsid w:val="19B4591C"/>
    <w:rsid w:val="19C86259"/>
    <w:rsid w:val="19D2341F"/>
    <w:rsid w:val="19DF3DE9"/>
    <w:rsid w:val="19E51499"/>
    <w:rsid w:val="19F8741E"/>
    <w:rsid w:val="19FF5093"/>
    <w:rsid w:val="1A045DC3"/>
    <w:rsid w:val="1A11549E"/>
    <w:rsid w:val="1A1A77D0"/>
    <w:rsid w:val="1A2226ED"/>
    <w:rsid w:val="1A247921"/>
    <w:rsid w:val="1A2E1FAE"/>
    <w:rsid w:val="1A3C7D8E"/>
    <w:rsid w:val="1A401DC0"/>
    <w:rsid w:val="1A575F0D"/>
    <w:rsid w:val="1A5C5EC7"/>
    <w:rsid w:val="1A620D3B"/>
    <w:rsid w:val="1A633CB8"/>
    <w:rsid w:val="1AA779DA"/>
    <w:rsid w:val="1AAF6EA9"/>
    <w:rsid w:val="1AC9700C"/>
    <w:rsid w:val="1AD85FD1"/>
    <w:rsid w:val="1ADB110B"/>
    <w:rsid w:val="1B4132B0"/>
    <w:rsid w:val="1B4E4481"/>
    <w:rsid w:val="1B711762"/>
    <w:rsid w:val="1BA74DEE"/>
    <w:rsid w:val="1BFE685E"/>
    <w:rsid w:val="1C292111"/>
    <w:rsid w:val="1C4F709D"/>
    <w:rsid w:val="1CB16448"/>
    <w:rsid w:val="1CB80CC2"/>
    <w:rsid w:val="1CBB7DA4"/>
    <w:rsid w:val="1CC23D13"/>
    <w:rsid w:val="1CC64E9C"/>
    <w:rsid w:val="1CCC27F4"/>
    <w:rsid w:val="1CD42EEB"/>
    <w:rsid w:val="1CE330B3"/>
    <w:rsid w:val="1CF903A2"/>
    <w:rsid w:val="1D196757"/>
    <w:rsid w:val="1D1B06B4"/>
    <w:rsid w:val="1D1D0FA8"/>
    <w:rsid w:val="1D314359"/>
    <w:rsid w:val="1D3A6CE5"/>
    <w:rsid w:val="1D4D170E"/>
    <w:rsid w:val="1D7C2A4E"/>
    <w:rsid w:val="1D7E21C0"/>
    <w:rsid w:val="1D9C27B6"/>
    <w:rsid w:val="1D9F5BF5"/>
    <w:rsid w:val="1DA2499B"/>
    <w:rsid w:val="1DA455BF"/>
    <w:rsid w:val="1DB32116"/>
    <w:rsid w:val="1DBE298C"/>
    <w:rsid w:val="1DC4750B"/>
    <w:rsid w:val="1DDB26C6"/>
    <w:rsid w:val="1DDE76BF"/>
    <w:rsid w:val="1DEF5970"/>
    <w:rsid w:val="1E053DEB"/>
    <w:rsid w:val="1E6F5D7F"/>
    <w:rsid w:val="1E971C7C"/>
    <w:rsid w:val="1EDB5BC0"/>
    <w:rsid w:val="1EF52AD7"/>
    <w:rsid w:val="1EFC7049"/>
    <w:rsid w:val="1F2D7B6A"/>
    <w:rsid w:val="1F33215A"/>
    <w:rsid w:val="1F5C29EF"/>
    <w:rsid w:val="1F6376EC"/>
    <w:rsid w:val="1F9C7BD4"/>
    <w:rsid w:val="1FA50613"/>
    <w:rsid w:val="1FA763EB"/>
    <w:rsid w:val="1FBB4722"/>
    <w:rsid w:val="1FF24910"/>
    <w:rsid w:val="200C1D97"/>
    <w:rsid w:val="200D34F7"/>
    <w:rsid w:val="20131114"/>
    <w:rsid w:val="2025500E"/>
    <w:rsid w:val="202A46FE"/>
    <w:rsid w:val="202B6203"/>
    <w:rsid w:val="203F26C1"/>
    <w:rsid w:val="205513A2"/>
    <w:rsid w:val="206F79A9"/>
    <w:rsid w:val="20BC3CBC"/>
    <w:rsid w:val="20BE30A3"/>
    <w:rsid w:val="20C42A94"/>
    <w:rsid w:val="20D6181B"/>
    <w:rsid w:val="20D81004"/>
    <w:rsid w:val="20DF66BD"/>
    <w:rsid w:val="20F228F2"/>
    <w:rsid w:val="21091ECA"/>
    <w:rsid w:val="210A513A"/>
    <w:rsid w:val="212072F4"/>
    <w:rsid w:val="21243C11"/>
    <w:rsid w:val="21247B2A"/>
    <w:rsid w:val="21336028"/>
    <w:rsid w:val="213C72A6"/>
    <w:rsid w:val="21424AB8"/>
    <w:rsid w:val="2159252D"/>
    <w:rsid w:val="219A4F9F"/>
    <w:rsid w:val="219F51A1"/>
    <w:rsid w:val="21B35F74"/>
    <w:rsid w:val="21BE3575"/>
    <w:rsid w:val="21CC3BB1"/>
    <w:rsid w:val="21E503AE"/>
    <w:rsid w:val="21EA7A2A"/>
    <w:rsid w:val="22185F2F"/>
    <w:rsid w:val="22326D60"/>
    <w:rsid w:val="22655921"/>
    <w:rsid w:val="22733EEF"/>
    <w:rsid w:val="227B5760"/>
    <w:rsid w:val="227E03ED"/>
    <w:rsid w:val="228046E6"/>
    <w:rsid w:val="22834E72"/>
    <w:rsid w:val="22A87507"/>
    <w:rsid w:val="22C434BF"/>
    <w:rsid w:val="22CD5079"/>
    <w:rsid w:val="22D7603D"/>
    <w:rsid w:val="22DE45F5"/>
    <w:rsid w:val="22EB3521"/>
    <w:rsid w:val="22EC3A24"/>
    <w:rsid w:val="22FD55F0"/>
    <w:rsid w:val="23067019"/>
    <w:rsid w:val="23117568"/>
    <w:rsid w:val="231C32E1"/>
    <w:rsid w:val="231E0C58"/>
    <w:rsid w:val="232A658B"/>
    <w:rsid w:val="23361055"/>
    <w:rsid w:val="233908F5"/>
    <w:rsid w:val="23391984"/>
    <w:rsid w:val="23491FB8"/>
    <w:rsid w:val="235B5D48"/>
    <w:rsid w:val="237F503C"/>
    <w:rsid w:val="23817D89"/>
    <w:rsid w:val="238602DE"/>
    <w:rsid w:val="23940548"/>
    <w:rsid w:val="23A303EF"/>
    <w:rsid w:val="23A91F1F"/>
    <w:rsid w:val="23AA7873"/>
    <w:rsid w:val="240F4710"/>
    <w:rsid w:val="242F5608"/>
    <w:rsid w:val="245F0C9E"/>
    <w:rsid w:val="247F11AE"/>
    <w:rsid w:val="248A09FD"/>
    <w:rsid w:val="249B5576"/>
    <w:rsid w:val="24AC7C20"/>
    <w:rsid w:val="24D0283E"/>
    <w:rsid w:val="24E231A5"/>
    <w:rsid w:val="24E46FB5"/>
    <w:rsid w:val="24ED3288"/>
    <w:rsid w:val="24FC2811"/>
    <w:rsid w:val="250F6F6A"/>
    <w:rsid w:val="251A2011"/>
    <w:rsid w:val="25243CB6"/>
    <w:rsid w:val="253D4483"/>
    <w:rsid w:val="254642ED"/>
    <w:rsid w:val="255231DD"/>
    <w:rsid w:val="25BB7663"/>
    <w:rsid w:val="25DB5045"/>
    <w:rsid w:val="25DC23B3"/>
    <w:rsid w:val="25E54E4A"/>
    <w:rsid w:val="25FE6BC1"/>
    <w:rsid w:val="25FF3CFD"/>
    <w:rsid w:val="26172D32"/>
    <w:rsid w:val="261C3F09"/>
    <w:rsid w:val="26365BC9"/>
    <w:rsid w:val="263E3703"/>
    <w:rsid w:val="264B2FCC"/>
    <w:rsid w:val="26852A38"/>
    <w:rsid w:val="269B14B9"/>
    <w:rsid w:val="26AE7F87"/>
    <w:rsid w:val="26CF1507"/>
    <w:rsid w:val="26EB07E4"/>
    <w:rsid w:val="27193BC5"/>
    <w:rsid w:val="271D7217"/>
    <w:rsid w:val="273113D0"/>
    <w:rsid w:val="27330264"/>
    <w:rsid w:val="27572F1E"/>
    <w:rsid w:val="275A3CB7"/>
    <w:rsid w:val="276F4994"/>
    <w:rsid w:val="27711EF6"/>
    <w:rsid w:val="278A4010"/>
    <w:rsid w:val="27A4456F"/>
    <w:rsid w:val="27D23A29"/>
    <w:rsid w:val="27D36DD5"/>
    <w:rsid w:val="27E965F8"/>
    <w:rsid w:val="27ED606F"/>
    <w:rsid w:val="281C07C0"/>
    <w:rsid w:val="282852CC"/>
    <w:rsid w:val="283E433E"/>
    <w:rsid w:val="28535F29"/>
    <w:rsid w:val="28696EF0"/>
    <w:rsid w:val="288B7815"/>
    <w:rsid w:val="289217DF"/>
    <w:rsid w:val="2895052E"/>
    <w:rsid w:val="28FE60D3"/>
    <w:rsid w:val="2914205A"/>
    <w:rsid w:val="29152296"/>
    <w:rsid w:val="29190FC6"/>
    <w:rsid w:val="2920429C"/>
    <w:rsid w:val="29207B77"/>
    <w:rsid w:val="29216E6C"/>
    <w:rsid w:val="29267966"/>
    <w:rsid w:val="29567A3B"/>
    <w:rsid w:val="299802D6"/>
    <w:rsid w:val="299E0D3E"/>
    <w:rsid w:val="29A66A78"/>
    <w:rsid w:val="29CC704D"/>
    <w:rsid w:val="29DB11BF"/>
    <w:rsid w:val="29DB7CAB"/>
    <w:rsid w:val="2A317DE8"/>
    <w:rsid w:val="2A3D0E7D"/>
    <w:rsid w:val="2A4757B8"/>
    <w:rsid w:val="2A537DA0"/>
    <w:rsid w:val="2A6E5D6C"/>
    <w:rsid w:val="2A9211C9"/>
    <w:rsid w:val="2A9F7185"/>
    <w:rsid w:val="2AA2503A"/>
    <w:rsid w:val="2AA7108D"/>
    <w:rsid w:val="2ACD5430"/>
    <w:rsid w:val="2AE3465E"/>
    <w:rsid w:val="2AE54992"/>
    <w:rsid w:val="2AEE2AAD"/>
    <w:rsid w:val="2AF90050"/>
    <w:rsid w:val="2B007D27"/>
    <w:rsid w:val="2B1A14CE"/>
    <w:rsid w:val="2B3202B6"/>
    <w:rsid w:val="2B3215A3"/>
    <w:rsid w:val="2B396E18"/>
    <w:rsid w:val="2B3E7798"/>
    <w:rsid w:val="2B4078F7"/>
    <w:rsid w:val="2B5845E6"/>
    <w:rsid w:val="2B5F7D93"/>
    <w:rsid w:val="2B9B2D63"/>
    <w:rsid w:val="2BA45F73"/>
    <w:rsid w:val="2BA97252"/>
    <w:rsid w:val="2BB557EA"/>
    <w:rsid w:val="2BCF1FA9"/>
    <w:rsid w:val="2BE37D65"/>
    <w:rsid w:val="2BE844D5"/>
    <w:rsid w:val="2BF45499"/>
    <w:rsid w:val="2C407052"/>
    <w:rsid w:val="2C4E3FF4"/>
    <w:rsid w:val="2C7B3DA7"/>
    <w:rsid w:val="2C7C4356"/>
    <w:rsid w:val="2C860086"/>
    <w:rsid w:val="2C8818E6"/>
    <w:rsid w:val="2C8D1F0E"/>
    <w:rsid w:val="2C933DE1"/>
    <w:rsid w:val="2CBF0A1C"/>
    <w:rsid w:val="2CC713D6"/>
    <w:rsid w:val="2CEF5AD6"/>
    <w:rsid w:val="2D214A86"/>
    <w:rsid w:val="2D32413A"/>
    <w:rsid w:val="2D39352D"/>
    <w:rsid w:val="2D3E0EB4"/>
    <w:rsid w:val="2D3F6B18"/>
    <w:rsid w:val="2D457903"/>
    <w:rsid w:val="2D501395"/>
    <w:rsid w:val="2D524903"/>
    <w:rsid w:val="2D5B6175"/>
    <w:rsid w:val="2D7B6944"/>
    <w:rsid w:val="2D8F33D5"/>
    <w:rsid w:val="2D962D7E"/>
    <w:rsid w:val="2D9E404B"/>
    <w:rsid w:val="2DFE1988"/>
    <w:rsid w:val="2E0816B2"/>
    <w:rsid w:val="2E226EA0"/>
    <w:rsid w:val="2E2A34C6"/>
    <w:rsid w:val="2E3A3E0F"/>
    <w:rsid w:val="2E3C6B43"/>
    <w:rsid w:val="2E532A17"/>
    <w:rsid w:val="2E6A0A1F"/>
    <w:rsid w:val="2EB01214"/>
    <w:rsid w:val="2EEB70DC"/>
    <w:rsid w:val="2EF24F48"/>
    <w:rsid w:val="2F0B703D"/>
    <w:rsid w:val="2F0C34E0"/>
    <w:rsid w:val="2F1A4BC0"/>
    <w:rsid w:val="2F2B28F9"/>
    <w:rsid w:val="2F2E57C0"/>
    <w:rsid w:val="2F3C4C7F"/>
    <w:rsid w:val="2F407170"/>
    <w:rsid w:val="2F4633FD"/>
    <w:rsid w:val="2F473DD9"/>
    <w:rsid w:val="2F4C184E"/>
    <w:rsid w:val="2F66205F"/>
    <w:rsid w:val="2F815AF6"/>
    <w:rsid w:val="2F8444D4"/>
    <w:rsid w:val="2FC16D09"/>
    <w:rsid w:val="2FCB4132"/>
    <w:rsid w:val="2FD67307"/>
    <w:rsid w:val="2FE1399E"/>
    <w:rsid w:val="2FF95726"/>
    <w:rsid w:val="30147828"/>
    <w:rsid w:val="30532999"/>
    <w:rsid w:val="309D23E8"/>
    <w:rsid w:val="30AE4233"/>
    <w:rsid w:val="30B312FD"/>
    <w:rsid w:val="30D00608"/>
    <w:rsid w:val="30D843EF"/>
    <w:rsid w:val="30EF5E9C"/>
    <w:rsid w:val="313C3C3D"/>
    <w:rsid w:val="315476F4"/>
    <w:rsid w:val="3159290B"/>
    <w:rsid w:val="31703C21"/>
    <w:rsid w:val="317A1A81"/>
    <w:rsid w:val="31804FD7"/>
    <w:rsid w:val="31853836"/>
    <w:rsid w:val="318E33F4"/>
    <w:rsid w:val="318F3F3E"/>
    <w:rsid w:val="31E019BC"/>
    <w:rsid w:val="31EE1D2E"/>
    <w:rsid w:val="31FF724A"/>
    <w:rsid w:val="323F1C36"/>
    <w:rsid w:val="324777B2"/>
    <w:rsid w:val="324F79A0"/>
    <w:rsid w:val="326C526B"/>
    <w:rsid w:val="327B0795"/>
    <w:rsid w:val="32861DCE"/>
    <w:rsid w:val="3296336A"/>
    <w:rsid w:val="329E1AA3"/>
    <w:rsid w:val="32B803DE"/>
    <w:rsid w:val="32BE5501"/>
    <w:rsid w:val="32D10B07"/>
    <w:rsid w:val="32DC7485"/>
    <w:rsid w:val="32DF00FE"/>
    <w:rsid w:val="32E21D97"/>
    <w:rsid w:val="32E95DD7"/>
    <w:rsid w:val="32F01002"/>
    <w:rsid w:val="334179D0"/>
    <w:rsid w:val="33480F3B"/>
    <w:rsid w:val="334B460B"/>
    <w:rsid w:val="335C739B"/>
    <w:rsid w:val="335D7178"/>
    <w:rsid w:val="33676D5F"/>
    <w:rsid w:val="33692909"/>
    <w:rsid w:val="3379714C"/>
    <w:rsid w:val="33833DA5"/>
    <w:rsid w:val="33A32448"/>
    <w:rsid w:val="33CD5020"/>
    <w:rsid w:val="33E1665D"/>
    <w:rsid w:val="33E613D9"/>
    <w:rsid w:val="33EC194A"/>
    <w:rsid w:val="33F02323"/>
    <w:rsid w:val="34076784"/>
    <w:rsid w:val="342860E3"/>
    <w:rsid w:val="344F012B"/>
    <w:rsid w:val="346E457B"/>
    <w:rsid w:val="34814B98"/>
    <w:rsid w:val="348C4EDB"/>
    <w:rsid w:val="34965208"/>
    <w:rsid w:val="34BD5094"/>
    <w:rsid w:val="35214B49"/>
    <w:rsid w:val="35275399"/>
    <w:rsid w:val="35381B9A"/>
    <w:rsid w:val="35400093"/>
    <w:rsid w:val="356915C7"/>
    <w:rsid w:val="35722333"/>
    <w:rsid w:val="36002BFE"/>
    <w:rsid w:val="362B402B"/>
    <w:rsid w:val="364434DA"/>
    <w:rsid w:val="365A133A"/>
    <w:rsid w:val="365B3E4B"/>
    <w:rsid w:val="36727ED0"/>
    <w:rsid w:val="368B1FD3"/>
    <w:rsid w:val="36C070C1"/>
    <w:rsid w:val="36F34D9D"/>
    <w:rsid w:val="3700043A"/>
    <w:rsid w:val="377370F1"/>
    <w:rsid w:val="378575D7"/>
    <w:rsid w:val="379A5ADF"/>
    <w:rsid w:val="379A61A1"/>
    <w:rsid w:val="379A7E45"/>
    <w:rsid w:val="37AE3E37"/>
    <w:rsid w:val="37C3753E"/>
    <w:rsid w:val="37CE0E6C"/>
    <w:rsid w:val="37DB397F"/>
    <w:rsid w:val="38084A69"/>
    <w:rsid w:val="380D41E7"/>
    <w:rsid w:val="38104AC7"/>
    <w:rsid w:val="3815165B"/>
    <w:rsid w:val="38262F51"/>
    <w:rsid w:val="382867EC"/>
    <w:rsid w:val="386E27BE"/>
    <w:rsid w:val="388529F3"/>
    <w:rsid w:val="389F6F59"/>
    <w:rsid w:val="38A87E0A"/>
    <w:rsid w:val="38AB29DC"/>
    <w:rsid w:val="38E17B53"/>
    <w:rsid w:val="38E56968"/>
    <w:rsid w:val="39136922"/>
    <w:rsid w:val="39184C51"/>
    <w:rsid w:val="39255E6C"/>
    <w:rsid w:val="3939767E"/>
    <w:rsid w:val="39460A09"/>
    <w:rsid w:val="39471A83"/>
    <w:rsid w:val="39614ACF"/>
    <w:rsid w:val="39632233"/>
    <w:rsid w:val="39664D91"/>
    <w:rsid w:val="398A1411"/>
    <w:rsid w:val="399C2DFE"/>
    <w:rsid w:val="399F2CA9"/>
    <w:rsid w:val="39A16A15"/>
    <w:rsid w:val="39BB54AD"/>
    <w:rsid w:val="39DE1D44"/>
    <w:rsid w:val="39E860D5"/>
    <w:rsid w:val="3A0555C0"/>
    <w:rsid w:val="3A0A28CD"/>
    <w:rsid w:val="3A1679CC"/>
    <w:rsid w:val="3A1C3BDD"/>
    <w:rsid w:val="3A2608CF"/>
    <w:rsid w:val="3A276567"/>
    <w:rsid w:val="3A2D7BC7"/>
    <w:rsid w:val="3A3E4BFF"/>
    <w:rsid w:val="3A4333F5"/>
    <w:rsid w:val="3A5442A8"/>
    <w:rsid w:val="3A75301B"/>
    <w:rsid w:val="3A7676A0"/>
    <w:rsid w:val="3A7903BF"/>
    <w:rsid w:val="3AB05CCC"/>
    <w:rsid w:val="3AD434E2"/>
    <w:rsid w:val="3AF0530D"/>
    <w:rsid w:val="3B0D25CC"/>
    <w:rsid w:val="3B15099D"/>
    <w:rsid w:val="3B7C7EC0"/>
    <w:rsid w:val="3B986F4A"/>
    <w:rsid w:val="3B9F275D"/>
    <w:rsid w:val="3BFC50FB"/>
    <w:rsid w:val="3C34460A"/>
    <w:rsid w:val="3C646365"/>
    <w:rsid w:val="3C6D7821"/>
    <w:rsid w:val="3C7A386B"/>
    <w:rsid w:val="3C7D7C75"/>
    <w:rsid w:val="3C952FE8"/>
    <w:rsid w:val="3CC86E00"/>
    <w:rsid w:val="3CFB2BFE"/>
    <w:rsid w:val="3D0C2408"/>
    <w:rsid w:val="3D191656"/>
    <w:rsid w:val="3D33525E"/>
    <w:rsid w:val="3D72562B"/>
    <w:rsid w:val="3D9410F7"/>
    <w:rsid w:val="3DC15BF5"/>
    <w:rsid w:val="3DF2457E"/>
    <w:rsid w:val="3DFF79EF"/>
    <w:rsid w:val="3E3A6FF6"/>
    <w:rsid w:val="3E415948"/>
    <w:rsid w:val="3E4E0C46"/>
    <w:rsid w:val="3E655CE5"/>
    <w:rsid w:val="3E6671E3"/>
    <w:rsid w:val="3E7730A9"/>
    <w:rsid w:val="3E866E66"/>
    <w:rsid w:val="3E965318"/>
    <w:rsid w:val="3EB84021"/>
    <w:rsid w:val="3EC139D3"/>
    <w:rsid w:val="3ECE7A61"/>
    <w:rsid w:val="3ED35A0C"/>
    <w:rsid w:val="3EDD0DD2"/>
    <w:rsid w:val="3EE11ADE"/>
    <w:rsid w:val="3EEF4053"/>
    <w:rsid w:val="3EF508F9"/>
    <w:rsid w:val="3EF53FC7"/>
    <w:rsid w:val="3EFF5827"/>
    <w:rsid w:val="3F200698"/>
    <w:rsid w:val="3F4315EC"/>
    <w:rsid w:val="3F4D7923"/>
    <w:rsid w:val="3F6438B0"/>
    <w:rsid w:val="3F663B8E"/>
    <w:rsid w:val="3F747261"/>
    <w:rsid w:val="3FA57B63"/>
    <w:rsid w:val="3FA95589"/>
    <w:rsid w:val="3FB80979"/>
    <w:rsid w:val="3FDE7D6C"/>
    <w:rsid w:val="3FFD724B"/>
    <w:rsid w:val="4003574A"/>
    <w:rsid w:val="401406C3"/>
    <w:rsid w:val="403B6AC9"/>
    <w:rsid w:val="40B40332"/>
    <w:rsid w:val="40B47856"/>
    <w:rsid w:val="40D130AC"/>
    <w:rsid w:val="40E51BFB"/>
    <w:rsid w:val="40EA4EB9"/>
    <w:rsid w:val="40F20A48"/>
    <w:rsid w:val="40F779A5"/>
    <w:rsid w:val="40FA6902"/>
    <w:rsid w:val="410762AC"/>
    <w:rsid w:val="41151DB4"/>
    <w:rsid w:val="4142553C"/>
    <w:rsid w:val="414A54C6"/>
    <w:rsid w:val="41662C1D"/>
    <w:rsid w:val="41770D40"/>
    <w:rsid w:val="41855765"/>
    <w:rsid w:val="418C651A"/>
    <w:rsid w:val="419D0060"/>
    <w:rsid w:val="41C517A6"/>
    <w:rsid w:val="41D028CD"/>
    <w:rsid w:val="41ED2A5B"/>
    <w:rsid w:val="41F12821"/>
    <w:rsid w:val="41F30347"/>
    <w:rsid w:val="4204658F"/>
    <w:rsid w:val="42227B1D"/>
    <w:rsid w:val="42255D7C"/>
    <w:rsid w:val="42510019"/>
    <w:rsid w:val="4260502C"/>
    <w:rsid w:val="42BB50BB"/>
    <w:rsid w:val="42C24B71"/>
    <w:rsid w:val="42EC10D7"/>
    <w:rsid w:val="42F1044A"/>
    <w:rsid w:val="43213484"/>
    <w:rsid w:val="432C088C"/>
    <w:rsid w:val="433A2831"/>
    <w:rsid w:val="434B7D0F"/>
    <w:rsid w:val="43601A0D"/>
    <w:rsid w:val="43884ABF"/>
    <w:rsid w:val="43A06B6B"/>
    <w:rsid w:val="43AC33A3"/>
    <w:rsid w:val="43F36F02"/>
    <w:rsid w:val="442B201A"/>
    <w:rsid w:val="44300A63"/>
    <w:rsid w:val="44703ED1"/>
    <w:rsid w:val="447C20E9"/>
    <w:rsid w:val="44840A29"/>
    <w:rsid w:val="44903117"/>
    <w:rsid w:val="44964A55"/>
    <w:rsid w:val="44CC23C8"/>
    <w:rsid w:val="44D52AC8"/>
    <w:rsid w:val="44F06DC0"/>
    <w:rsid w:val="455F130C"/>
    <w:rsid w:val="456364CA"/>
    <w:rsid w:val="459A3C6B"/>
    <w:rsid w:val="45B762D5"/>
    <w:rsid w:val="45DB16EF"/>
    <w:rsid w:val="460226A9"/>
    <w:rsid w:val="462F4D56"/>
    <w:rsid w:val="46722286"/>
    <w:rsid w:val="46BC4C7C"/>
    <w:rsid w:val="470E0CD3"/>
    <w:rsid w:val="470F6414"/>
    <w:rsid w:val="474663D4"/>
    <w:rsid w:val="47486A40"/>
    <w:rsid w:val="475641CE"/>
    <w:rsid w:val="47AA1529"/>
    <w:rsid w:val="47AF5A8C"/>
    <w:rsid w:val="47B54D5F"/>
    <w:rsid w:val="47BC6FC7"/>
    <w:rsid w:val="47CD3E9D"/>
    <w:rsid w:val="47F1517F"/>
    <w:rsid w:val="47F61467"/>
    <w:rsid w:val="47F65806"/>
    <w:rsid w:val="48094409"/>
    <w:rsid w:val="48251680"/>
    <w:rsid w:val="483C1A5C"/>
    <w:rsid w:val="483F10E1"/>
    <w:rsid w:val="48535EE5"/>
    <w:rsid w:val="48582183"/>
    <w:rsid w:val="486D4E21"/>
    <w:rsid w:val="4892286E"/>
    <w:rsid w:val="4899002B"/>
    <w:rsid w:val="48CA58F4"/>
    <w:rsid w:val="48D0398E"/>
    <w:rsid w:val="49066E7C"/>
    <w:rsid w:val="492B777B"/>
    <w:rsid w:val="49301E81"/>
    <w:rsid w:val="49414896"/>
    <w:rsid w:val="495404B0"/>
    <w:rsid w:val="49742B31"/>
    <w:rsid w:val="497B26BB"/>
    <w:rsid w:val="49AB5334"/>
    <w:rsid w:val="49D055BC"/>
    <w:rsid w:val="49D519F5"/>
    <w:rsid w:val="49E01742"/>
    <w:rsid w:val="49E964AB"/>
    <w:rsid w:val="4A1B2CBB"/>
    <w:rsid w:val="4A22199C"/>
    <w:rsid w:val="4A5C723A"/>
    <w:rsid w:val="4A7668EC"/>
    <w:rsid w:val="4A86340C"/>
    <w:rsid w:val="4A9505C1"/>
    <w:rsid w:val="4AAB5302"/>
    <w:rsid w:val="4AC972C8"/>
    <w:rsid w:val="4AFF1C2C"/>
    <w:rsid w:val="4B077E0A"/>
    <w:rsid w:val="4B1E126E"/>
    <w:rsid w:val="4B373E0F"/>
    <w:rsid w:val="4B513338"/>
    <w:rsid w:val="4B515805"/>
    <w:rsid w:val="4B873C24"/>
    <w:rsid w:val="4B8B3770"/>
    <w:rsid w:val="4B991A45"/>
    <w:rsid w:val="4BA91898"/>
    <w:rsid w:val="4BAD21EC"/>
    <w:rsid w:val="4BB33876"/>
    <w:rsid w:val="4BB76675"/>
    <w:rsid w:val="4BBD477E"/>
    <w:rsid w:val="4BC76531"/>
    <w:rsid w:val="4BD16F85"/>
    <w:rsid w:val="4BD41C9E"/>
    <w:rsid w:val="4BD46E91"/>
    <w:rsid w:val="4BF56AD2"/>
    <w:rsid w:val="4C5A3BDF"/>
    <w:rsid w:val="4C653BF0"/>
    <w:rsid w:val="4C942727"/>
    <w:rsid w:val="4CAC181F"/>
    <w:rsid w:val="4CE82017"/>
    <w:rsid w:val="4CEB3820"/>
    <w:rsid w:val="4D1635E9"/>
    <w:rsid w:val="4D235727"/>
    <w:rsid w:val="4D6976FD"/>
    <w:rsid w:val="4D7E1B24"/>
    <w:rsid w:val="4D8419F1"/>
    <w:rsid w:val="4DC5158D"/>
    <w:rsid w:val="4DCF7345"/>
    <w:rsid w:val="4DE54393"/>
    <w:rsid w:val="4DFB5952"/>
    <w:rsid w:val="4E023BB8"/>
    <w:rsid w:val="4E086A97"/>
    <w:rsid w:val="4E0E6BB1"/>
    <w:rsid w:val="4E1425DF"/>
    <w:rsid w:val="4E2A2065"/>
    <w:rsid w:val="4E4E112E"/>
    <w:rsid w:val="4EAA2F9D"/>
    <w:rsid w:val="4F175859"/>
    <w:rsid w:val="4F1B34DF"/>
    <w:rsid w:val="4F3B28B6"/>
    <w:rsid w:val="4F5A1355"/>
    <w:rsid w:val="4F8D1DDB"/>
    <w:rsid w:val="4F9C228D"/>
    <w:rsid w:val="4FA669F9"/>
    <w:rsid w:val="4FB720C1"/>
    <w:rsid w:val="4FB86B18"/>
    <w:rsid w:val="4FD3083A"/>
    <w:rsid w:val="4FEB4FF3"/>
    <w:rsid w:val="50055E16"/>
    <w:rsid w:val="501B6F55"/>
    <w:rsid w:val="50352DA6"/>
    <w:rsid w:val="50660772"/>
    <w:rsid w:val="506765F9"/>
    <w:rsid w:val="50692AA8"/>
    <w:rsid w:val="50693F6B"/>
    <w:rsid w:val="50724489"/>
    <w:rsid w:val="507A6208"/>
    <w:rsid w:val="50A90813"/>
    <w:rsid w:val="50C55AAC"/>
    <w:rsid w:val="50DE21C3"/>
    <w:rsid w:val="50E10B6E"/>
    <w:rsid w:val="50E876F3"/>
    <w:rsid w:val="51244882"/>
    <w:rsid w:val="51303805"/>
    <w:rsid w:val="51422D08"/>
    <w:rsid w:val="51467F3F"/>
    <w:rsid w:val="51CE66DB"/>
    <w:rsid w:val="51D75590"/>
    <w:rsid w:val="51EC0C8A"/>
    <w:rsid w:val="51EC4659"/>
    <w:rsid w:val="523B7746"/>
    <w:rsid w:val="52457712"/>
    <w:rsid w:val="524A6CE5"/>
    <w:rsid w:val="526238F8"/>
    <w:rsid w:val="5263546F"/>
    <w:rsid w:val="52705FA3"/>
    <w:rsid w:val="5281560E"/>
    <w:rsid w:val="529D64D7"/>
    <w:rsid w:val="52BD533F"/>
    <w:rsid w:val="52DB2F68"/>
    <w:rsid w:val="530B230D"/>
    <w:rsid w:val="53267ACD"/>
    <w:rsid w:val="53512600"/>
    <w:rsid w:val="535366F4"/>
    <w:rsid w:val="5392568C"/>
    <w:rsid w:val="53B06098"/>
    <w:rsid w:val="540A0FFD"/>
    <w:rsid w:val="540B7436"/>
    <w:rsid w:val="54292410"/>
    <w:rsid w:val="544267BB"/>
    <w:rsid w:val="54674509"/>
    <w:rsid w:val="548555E5"/>
    <w:rsid w:val="549A0850"/>
    <w:rsid w:val="54AB643E"/>
    <w:rsid w:val="54C067AF"/>
    <w:rsid w:val="54C65865"/>
    <w:rsid w:val="54D83366"/>
    <w:rsid w:val="54E0377A"/>
    <w:rsid w:val="55093A00"/>
    <w:rsid w:val="55376345"/>
    <w:rsid w:val="55530A4B"/>
    <w:rsid w:val="558538EB"/>
    <w:rsid w:val="55903755"/>
    <w:rsid w:val="55981846"/>
    <w:rsid w:val="55BC4B67"/>
    <w:rsid w:val="55C070B7"/>
    <w:rsid w:val="55C717C0"/>
    <w:rsid w:val="56090558"/>
    <w:rsid w:val="56100663"/>
    <w:rsid w:val="56151419"/>
    <w:rsid w:val="561522EC"/>
    <w:rsid w:val="561D07B6"/>
    <w:rsid w:val="566B4A80"/>
    <w:rsid w:val="566C67F8"/>
    <w:rsid w:val="56814111"/>
    <w:rsid w:val="56D4614A"/>
    <w:rsid w:val="56D85B30"/>
    <w:rsid w:val="56D87AA8"/>
    <w:rsid w:val="56DA179D"/>
    <w:rsid w:val="56EA0AF9"/>
    <w:rsid w:val="570F59A6"/>
    <w:rsid w:val="572F65E9"/>
    <w:rsid w:val="573A3649"/>
    <w:rsid w:val="577962B5"/>
    <w:rsid w:val="5787713C"/>
    <w:rsid w:val="57A36F6D"/>
    <w:rsid w:val="57BD6B36"/>
    <w:rsid w:val="57D13845"/>
    <w:rsid w:val="57E46D2C"/>
    <w:rsid w:val="58016AE1"/>
    <w:rsid w:val="581A38EF"/>
    <w:rsid w:val="58552A83"/>
    <w:rsid w:val="586630C0"/>
    <w:rsid w:val="58890AED"/>
    <w:rsid w:val="588A1CD9"/>
    <w:rsid w:val="589E7311"/>
    <w:rsid w:val="58A942AA"/>
    <w:rsid w:val="58AF3FE1"/>
    <w:rsid w:val="58B32187"/>
    <w:rsid w:val="58B52714"/>
    <w:rsid w:val="58B55F21"/>
    <w:rsid w:val="58BD6FF3"/>
    <w:rsid w:val="58BF4EAC"/>
    <w:rsid w:val="58EA4877"/>
    <w:rsid w:val="58EB7343"/>
    <w:rsid w:val="592425D8"/>
    <w:rsid w:val="59506F96"/>
    <w:rsid w:val="596B0926"/>
    <w:rsid w:val="598A113A"/>
    <w:rsid w:val="598A738C"/>
    <w:rsid w:val="599D7C5B"/>
    <w:rsid w:val="59AF1F6E"/>
    <w:rsid w:val="59C61C25"/>
    <w:rsid w:val="59C76F0D"/>
    <w:rsid w:val="59C82EB3"/>
    <w:rsid w:val="59E427F8"/>
    <w:rsid w:val="59E545C2"/>
    <w:rsid w:val="5A026276"/>
    <w:rsid w:val="5A1F1ACE"/>
    <w:rsid w:val="5A381E73"/>
    <w:rsid w:val="5A9A3967"/>
    <w:rsid w:val="5AAA5B52"/>
    <w:rsid w:val="5AB167BE"/>
    <w:rsid w:val="5ABE0581"/>
    <w:rsid w:val="5AC35D7E"/>
    <w:rsid w:val="5AC75083"/>
    <w:rsid w:val="5AD308BE"/>
    <w:rsid w:val="5AD36361"/>
    <w:rsid w:val="5AE049A4"/>
    <w:rsid w:val="5AFE6BC9"/>
    <w:rsid w:val="5B026381"/>
    <w:rsid w:val="5B0F3EE3"/>
    <w:rsid w:val="5B330ADD"/>
    <w:rsid w:val="5B413A7A"/>
    <w:rsid w:val="5B6C459D"/>
    <w:rsid w:val="5B7244DD"/>
    <w:rsid w:val="5B741E80"/>
    <w:rsid w:val="5B9A5634"/>
    <w:rsid w:val="5BA21FD6"/>
    <w:rsid w:val="5BA97223"/>
    <w:rsid w:val="5BCC7641"/>
    <w:rsid w:val="5BD72D20"/>
    <w:rsid w:val="5BDE6302"/>
    <w:rsid w:val="5BE27794"/>
    <w:rsid w:val="5BE442F7"/>
    <w:rsid w:val="5BF95923"/>
    <w:rsid w:val="5BFE7BBD"/>
    <w:rsid w:val="5C1B3BFC"/>
    <w:rsid w:val="5C210489"/>
    <w:rsid w:val="5C235370"/>
    <w:rsid w:val="5C2A177C"/>
    <w:rsid w:val="5C3E5FAE"/>
    <w:rsid w:val="5C5D5C4B"/>
    <w:rsid w:val="5C6513B5"/>
    <w:rsid w:val="5C6B6A9A"/>
    <w:rsid w:val="5C6D6D45"/>
    <w:rsid w:val="5C9504F8"/>
    <w:rsid w:val="5CDB5274"/>
    <w:rsid w:val="5CE06462"/>
    <w:rsid w:val="5CEA020B"/>
    <w:rsid w:val="5D1E78A3"/>
    <w:rsid w:val="5D5A0E20"/>
    <w:rsid w:val="5D705E91"/>
    <w:rsid w:val="5D795DB7"/>
    <w:rsid w:val="5D8848E1"/>
    <w:rsid w:val="5DA0301B"/>
    <w:rsid w:val="5DB04EE7"/>
    <w:rsid w:val="5DBE5FB1"/>
    <w:rsid w:val="5DCB0BC5"/>
    <w:rsid w:val="5DD4355F"/>
    <w:rsid w:val="5DD92690"/>
    <w:rsid w:val="5DE97093"/>
    <w:rsid w:val="5E021DB5"/>
    <w:rsid w:val="5E4C4C10"/>
    <w:rsid w:val="5E6253BD"/>
    <w:rsid w:val="5E750455"/>
    <w:rsid w:val="5E96232F"/>
    <w:rsid w:val="5E9B5D68"/>
    <w:rsid w:val="5E9E01B3"/>
    <w:rsid w:val="5EA21ED2"/>
    <w:rsid w:val="5EA73F71"/>
    <w:rsid w:val="5EC869DB"/>
    <w:rsid w:val="5ED23FB3"/>
    <w:rsid w:val="5EF77271"/>
    <w:rsid w:val="5F037AAF"/>
    <w:rsid w:val="5F1B3BC8"/>
    <w:rsid w:val="5F285182"/>
    <w:rsid w:val="5F30450D"/>
    <w:rsid w:val="5F465C40"/>
    <w:rsid w:val="5F4B136B"/>
    <w:rsid w:val="5F6736DD"/>
    <w:rsid w:val="5F7558A0"/>
    <w:rsid w:val="5F767D2F"/>
    <w:rsid w:val="5FA17D60"/>
    <w:rsid w:val="5FC068D6"/>
    <w:rsid w:val="5FEF05D0"/>
    <w:rsid w:val="600B0C8B"/>
    <w:rsid w:val="601B317E"/>
    <w:rsid w:val="601C600B"/>
    <w:rsid w:val="60372198"/>
    <w:rsid w:val="6045400C"/>
    <w:rsid w:val="60671748"/>
    <w:rsid w:val="609F6BB2"/>
    <w:rsid w:val="60A969E3"/>
    <w:rsid w:val="60AA6973"/>
    <w:rsid w:val="60B9109E"/>
    <w:rsid w:val="60C31CB3"/>
    <w:rsid w:val="60D41BA2"/>
    <w:rsid w:val="60E40B12"/>
    <w:rsid w:val="60F13388"/>
    <w:rsid w:val="61116D10"/>
    <w:rsid w:val="611529B1"/>
    <w:rsid w:val="613763C3"/>
    <w:rsid w:val="615755BD"/>
    <w:rsid w:val="61722B2B"/>
    <w:rsid w:val="618C5212"/>
    <w:rsid w:val="61C242DB"/>
    <w:rsid w:val="61C968A6"/>
    <w:rsid w:val="61E72B15"/>
    <w:rsid w:val="61FA2BD4"/>
    <w:rsid w:val="6243455A"/>
    <w:rsid w:val="624A60BA"/>
    <w:rsid w:val="625D6245"/>
    <w:rsid w:val="62B162F2"/>
    <w:rsid w:val="62BD69F2"/>
    <w:rsid w:val="62D6755B"/>
    <w:rsid w:val="62E11625"/>
    <w:rsid w:val="62F61F14"/>
    <w:rsid w:val="63021AD4"/>
    <w:rsid w:val="63035AB9"/>
    <w:rsid w:val="63097573"/>
    <w:rsid w:val="63190646"/>
    <w:rsid w:val="632919C3"/>
    <w:rsid w:val="632B3F54"/>
    <w:rsid w:val="635F53E5"/>
    <w:rsid w:val="63795F39"/>
    <w:rsid w:val="63824212"/>
    <w:rsid w:val="638F04F1"/>
    <w:rsid w:val="638F21DC"/>
    <w:rsid w:val="639E494F"/>
    <w:rsid w:val="63A32DCD"/>
    <w:rsid w:val="63A64046"/>
    <w:rsid w:val="63BC7C78"/>
    <w:rsid w:val="63DE3C49"/>
    <w:rsid w:val="63E45BD4"/>
    <w:rsid w:val="63F905F2"/>
    <w:rsid w:val="63FA0B5A"/>
    <w:rsid w:val="64062E6B"/>
    <w:rsid w:val="640E739C"/>
    <w:rsid w:val="641A4ACF"/>
    <w:rsid w:val="644840CB"/>
    <w:rsid w:val="64582A55"/>
    <w:rsid w:val="645D3507"/>
    <w:rsid w:val="646670AC"/>
    <w:rsid w:val="64887E5E"/>
    <w:rsid w:val="64A12264"/>
    <w:rsid w:val="64B14D8B"/>
    <w:rsid w:val="64BB3CCF"/>
    <w:rsid w:val="64CF1A18"/>
    <w:rsid w:val="64EB733D"/>
    <w:rsid w:val="64F6539B"/>
    <w:rsid w:val="65110D6C"/>
    <w:rsid w:val="651B4E86"/>
    <w:rsid w:val="65273CE0"/>
    <w:rsid w:val="652C014E"/>
    <w:rsid w:val="65362594"/>
    <w:rsid w:val="65494B26"/>
    <w:rsid w:val="657E3083"/>
    <w:rsid w:val="65921444"/>
    <w:rsid w:val="6593704D"/>
    <w:rsid w:val="65A813C1"/>
    <w:rsid w:val="65B87DD8"/>
    <w:rsid w:val="65C56055"/>
    <w:rsid w:val="65E971E8"/>
    <w:rsid w:val="65EB3AF4"/>
    <w:rsid w:val="6607400B"/>
    <w:rsid w:val="663B4CD4"/>
    <w:rsid w:val="6646463A"/>
    <w:rsid w:val="6661066B"/>
    <w:rsid w:val="66786E31"/>
    <w:rsid w:val="66891B94"/>
    <w:rsid w:val="668B17EE"/>
    <w:rsid w:val="66950A52"/>
    <w:rsid w:val="66BB3627"/>
    <w:rsid w:val="66BE152B"/>
    <w:rsid w:val="66D12B0D"/>
    <w:rsid w:val="66D87988"/>
    <w:rsid w:val="66DB680C"/>
    <w:rsid w:val="670F3C58"/>
    <w:rsid w:val="674233D2"/>
    <w:rsid w:val="674B09FE"/>
    <w:rsid w:val="674E2714"/>
    <w:rsid w:val="67516319"/>
    <w:rsid w:val="675E460C"/>
    <w:rsid w:val="6783130C"/>
    <w:rsid w:val="67A25996"/>
    <w:rsid w:val="67A75A2D"/>
    <w:rsid w:val="67AD767C"/>
    <w:rsid w:val="67B83CF0"/>
    <w:rsid w:val="68032275"/>
    <w:rsid w:val="682020E4"/>
    <w:rsid w:val="682F5E36"/>
    <w:rsid w:val="683164B7"/>
    <w:rsid w:val="68373F2A"/>
    <w:rsid w:val="683E1F97"/>
    <w:rsid w:val="684D5450"/>
    <w:rsid w:val="68A651FA"/>
    <w:rsid w:val="68B11B73"/>
    <w:rsid w:val="68B32A6E"/>
    <w:rsid w:val="68C31F72"/>
    <w:rsid w:val="68E4794A"/>
    <w:rsid w:val="68FA705A"/>
    <w:rsid w:val="69093414"/>
    <w:rsid w:val="692F4A09"/>
    <w:rsid w:val="693A593D"/>
    <w:rsid w:val="6943676D"/>
    <w:rsid w:val="695D465A"/>
    <w:rsid w:val="69780FAF"/>
    <w:rsid w:val="697E2A1C"/>
    <w:rsid w:val="6984277A"/>
    <w:rsid w:val="69C85E01"/>
    <w:rsid w:val="69E30877"/>
    <w:rsid w:val="69E83678"/>
    <w:rsid w:val="69F273C4"/>
    <w:rsid w:val="69FA0C4E"/>
    <w:rsid w:val="6A1C66C8"/>
    <w:rsid w:val="6A1E4411"/>
    <w:rsid w:val="6A31115D"/>
    <w:rsid w:val="6A354DA1"/>
    <w:rsid w:val="6A3F0738"/>
    <w:rsid w:val="6A5C267E"/>
    <w:rsid w:val="6A5F5EBA"/>
    <w:rsid w:val="6A7554EE"/>
    <w:rsid w:val="6A91740C"/>
    <w:rsid w:val="6A9339A0"/>
    <w:rsid w:val="6AAA2EE2"/>
    <w:rsid w:val="6AF408BA"/>
    <w:rsid w:val="6B0A032C"/>
    <w:rsid w:val="6B0C22AE"/>
    <w:rsid w:val="6B20455D"/>
    <w:rsid w:val="6B501642"/>
    <w:rsid w:val="6B5E2CED"/>
    <w:rsid w:val="6B6B7BE0"/>
    <w:rsid w:val="6B8C4828"/>
    <w:rsid w:val="6B947C75"/>
    <w:rsid w:val="6BC760AC"/>
    <w:rsid w:val="6BD35CA0"/>
    <w:rsid w:val="6BD74513"/>
    <w:rsid w:val="6BFB3FD9"/>
    <w:rsid w:val="6C000EA9"/>
    <w:rsid w:val="6C362BE4"/>
    <w:rsid w:val="6C445178"/>
    <w:rsid w:val="6C4D0E25"/>
    <w:rsid w:val="6C4F77F2"/>
    <w:rsid w:val="6C510AC2"/>
    <w:rsid w:val="6C7052FA"/>
    <w:rsid w:val="6C7B0C0A"/>
    <w:rsid w:val="6C7C5400"/>
    <w:rsid w:val="6C9B36CD"/>
    <w:rsid w:val="6CB23FF9"/>
    <w:rsid w:val="6CC2498F"/>
    <w:rsid w:val="6CDF30F3"/>
    <w:rsid w:val="6D043AC3"/>
    <w:rsid w:val="6D1A2235"/>
    <w:rsid w:val="6D3671B7"/>
    <w:rsid w:val="6D497911"/>
    <w:rsid w:val="6DAA4ED7"/>
    <w:rsid w:val="6DB35909"/>
    <w:rsid w:val="6DCA0612"/>
    <w:rsid w:val="6DEF065A"/>
    <w:rsid w:val="6DF071DE"/>
    <w:rsid w:val="6E225300"/>
    <w:rsid w:val="6E2E5E50"/>
    <w:rsid w:val="6E3E2FCB"/>
    <w:rsid w:val="6E402C53"/>
    <w:rsid w:val="6E4D6213"/>
    <w:rsid w:val="6E55366C"/>
    <w:rsid w:val="6E6B4E15"/>
    <w:rsid w:val="6E764C36"/>
    <w:rsid w:val="6E782C60"/>
    <w:rsid w:val="6EA90221"/>
    <w:rsid w:val="6EAD34A8"/>
    <w:rsid w:val="6ECB2E26"/>
    <w:rsid w:val="6ED42759"/>
    <w:rsid w:val="6EDB52A7"/>
    <w:rsid w:val="6EE92007"/>
    <w:rsid w:val="6F237181"/>
    <w:rsid w:val="6F3A23C3"/>
    <w:rsid w:val="6F3D29AE"/>
    <w:rsid w:val="6F721943"/>
    <w:rsid w:val="6F723559"/>
    <w:rsid w:val="6F8F1AB9"/>
    <w:rsid w:val="6F8F6E20"/>
    <w:rsid w:val="6FAD1286"/>
    <w:rsid w:val="6FAD7BF7"/>
    <w:rsid w:val="6FBA156C"/>
    <w:rsid w:val="6FE674AC"/>
    <w:rsid w:val="6FED251E"/>
    <w:rsid w:val="700F5F47"/>
    <w:rsid w:val="706972C8"/>
    <w:rsid w:val="706A5481"/>
    <w:rsid w:val="706F314A"/>
    <w:rsid w:val="7089609D"/>
    <w:rsid w:val="70974653"/>
    <w:rsid w:val="70A1598F"/>
    <w:rsid w:val="70B0612A"/>
    <w:rsid w:val="70BF3836"/>
    <w:rsid w:val="70C94DCA"/>
    <w:rsid w:val="70CA394F"/>
    <w:rsid w:val="70D06A5B"/>
    <w:rsid w:val="70E61F5E"/>
    <w:rsid w:val="70EC0A51"/>
    <w:rsid w:val="70FA1CD8"/>
    <w:rsid w:val="71346F37"/>
    <w:rsid w:val="71350767"/>
    <w:rsid w:val="713B2AAC"/>
    <w:rsid w:val="715A06DF"/>
    <w:rsid w:val="71681909"/>
    <w:rsid w:val="71696914"/>
    <w:rsid w:val="71731A4B"/>
    <w:rsid w:val="71755DD4"/>
    <w:rsid w:val="71834994"/>
    <w:rsid w:val="71982216"/>
    <w:rsid w:val="719E532A"/>
    <w:rsid w:val="71AA0173"/>
    <w:rsid w:val="71BE1186"/>
    <w:rsid w:val="71E91A3A"/>
    <w:rsid w:val="71EB46B3"/>
    <w:rsid w:val="720660D7"/>
    <w:rsid w:val="722162DF"/>
    <w:rsid w:val="72313FCD"/>
    <w:rsid w:val="724B3EBE"/>
    <w:rsid w:val="725957A4"/>
    <w:rsid w:val="725C3D71"/>
    <w:rsid w:val="72854D6C"/>
    <w:rsid w:val="72A5768D"/>
    <w:rsid w:val="72C005AD"/>
    <w:rsid w:val="72C1290D"/>
    <w:rsid w:val="72CB0BFF"/>
    <w:rsid w:val="72F2426C"/>
    <w:rsid w:val="72F31015"/>
    <w:rsid w:val="72F9189F"/>
    <w:rsid w:val="730E13C4"/>
    <w:rsid w:val="737E272A"/>
    <w:rsid w:val="73886292"/>
    <w:rsid w:val="73963E53"/>
    <w:rsid w:val="73A37D09"/>
    <w:rsid w:val="73BE14E8"/>
    <w:rsid w:val="73C13552"/>
    <w:rsid w:val="740C3760"/>
    <w:rsid w:val="74165F1D"/>
    <w:rsid w:val="741C51ED"/>
    <w:rsid w:val="742344C1"/>
    <w:rsid w:val="742859A7"/>
    <w:rsid w:val="74380512"/>
    <w:rsid w:val="7438311C"/>
    <w:rsid w:val="74931043"/>
    <w:rsid w:val="74B35591"/>
    <w:rsid w:val="74E06FFB"/>
    <w:rsid w:val="74EE481B"/>
    <w:rsid w:val="750000CE"/>
    <w:rsid w:val="75083099"/>
    <w:rsid w:val="750C7A87"/>
    <w:rsid w:val="750F2168"/>
    <w:rsid w:val="753F42AF"/>
    <w:rsid w:val="75422471"/>
    <w:rsid w:val="756872BF"/>
    <w:rsid w:val="757E2DAC"/>
    <w:rsid w:val="75846697"/>
    <w:rsid w:val="759E179D"/>
    <w:rsid w:val="75B23487"/>
    <w:rsid w:val="75B84195"/>
    <w:rsid w:val="75D457BF"/>
    <w:rsid w:val="75D84B2B"/>
    <w:rsid w:val="75F25C45"/>
    <w:rsid w:val="760237D9"/>
    <w:rsid w:val="761B75CE"/>
    <w:rsid w:val="762950D9"/>
    <w:rsid w:val="762F3E6F"/>
    <w:rsid w:val="764B1CCC"/>
    <w:rsid w:val="764B3889"/>
    <w:rsid w:val="766006F5"/>
    <w:rsid w:val="766871DA"/>
    <w:rsid w:val="766E228D"/>
    <w:rsid w:val="76E723CA"/>
    <w:rsid w:val="76EB2CC5"/>
    <w:rsid w:val="76EC4D8A"/>
    <w:rsid w:val="76F6376D"/>
    <w:rsid w:val="76F96343"/>
    <w:rsid w:val="76FA51AC"/>
    <w:rsid w:val="771A452B"/>
    <w:rsid w:val="774709AC"/>
    <w:rsid w:val="77630D08"/>
    <w:rsid w:val="777154F2"/>
    <w:rsid w:val="77AA2EC6"/>
    <w:rsid w:val="77AD62C7"/>
    <w:rsid w:val="77C1415C"/>
    <w:rsid w:val="77C749AF"/>
    <w:rsid w:val="783B7D77"/>
    <w:rsid w:val="78441036"/>
    <w:rsid w:val="78624B10"/>
    <w:rsid w:val="786A102C"/>
    <w:rsid w:val="78933DEC"/>
    <w:rsid w:val="789F34DB"/>
    <w:rsid w:val="78C633ED"/>
    <w:rsid w:val="78FE12CB"/>
    <w:rsid w:val="78FF7BDB"/>
    <w:rsid w:val="79361C68"/>
    <w:rsid w:val="794E46FB"/>
    <w:rsid w:val="79881917"/>
    <w:rsid w:val="79AA7D7B"/>
    <w:rsid w:val="79B41304"/>
    <w:rsid w:val="79D5587F"/>
    <w:rsid w:val="7A260AD6"/>
    <w:rsid w:val="7A291A92"/>
    <w:rsid w:val="7A2D5DFC"/>
    <w:rsid w:val="7A5A6781"/>
    <w:rsid w:val="7A5C6085"/>
    <w:rsid w:val="7A730838"/>
    <w:rsid w:val="7A734736"/>
    <w:rsid w:val="7A8A33F2"/>
    <w:rsid w:val="7A8D65D6"/>
    <w:rsid w:val="7A9543A7"/>
    <w:rsid w:val="7A971401"/>
    <w:rsid w:val="7AC313B0"/>
    <w:rsid w:val="7AFA4486"/>
    <w:rsid w:val="7B03245E"/>
    <w:rsid w:val="7B2A07C9"/>
    <w:rsid w:val="7B6E5D6D"/>
    <w:rsid w:val="7BE3645A"/>
    <w:rsid w:val="7C0A7CA5"/>
    <w:rsid w:val="7C1E59E5"/>
    <w:rsid w:val="7C2356A5"/>
    <w:rsid w:val="7C345BDF"/>
    <w:rsid w:val="7C456274"/>
    <w:rsid w:val="7C533CED"/>
    <w:rsid w:val="7C67688A"/>
    <w:rsid w:val="7C6C22DB"/>
    <w:rsid w:val="7C707D78"/>
    <w:rsid w:val="7CA90B4F"/>
    <w:rsid w:val="7CA94945"/>
    <w:rsid w:val="7CAF0070"/>
    <w:rsid w:val="7CDE1393"/>
    <w:rsid w:val="7CE033CC"/>
    <w:rsid w:val="7D313692"/>
    <w:rsid w:val="7D3D687D"/>
    <w:rsid w:val="7D4D0C61"/>
    <w:rsid w:val="7D5E6A7D"/>
    <w:rsid w:val="7D6759AB"/>
    <w:rsid w:val="7D683EAA"/>
    <w:rsid w:val="7D77679B"/>
    <w:rsid w:val="7D795605"/>
    <w:rsid w:val="7D887E72"/>
    <w:rsid w:val="7D914AFE"/>
    <w:rsid w:val="7DB95280"/>
    <w:rsid w:val="7DD23F1C"/>
    <w:rsid w:val="7DFF35F5"/>
    <w:rsid w:val="7E044434"/>
    <w:rsid w:val="7E0A653F"/>
    <w:rsid w:val="7E0E2B53"/>
    <w:rsid w:val="7E4E619B"/>
    <w:rsid w:val="7E58176D"/>
    <w:rsid w:val="7E5B33F6"/>
    <w:rsid w:val="7E5D5895"/>
    <w:rsid w:val="7EC67010"/>
    <w:rsid w:val="7ED026F7"/>
    <w:rsid w:val="7ED70C48"/>
    <w:rsid w:val="7ED90C6F"/>
    <w:rsid w:val="7EE74CFB"/>
    <w:rsid w:val="7F1424A5"/>
    <w:rsid w:val="7F370B6C"/>
    <w:rsid w:val="7F4E3BF1"/>
    <w:rsid w:val="7F5874FA"/>
    <w:rsid w:val="7F973411"/>
    <w:rsid w:val="7FA86987"/>
    <w:rsid w:val="7FC16D73"/>
    <w:rsid w:val="7FF5783B"/>
    <w:rsid w:val="7FFC13F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nhideWhenUsed="0"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qFormat="1"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qFormat="1"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99"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iPriority="99" w:semiHidden="0" w:name="toa heading"/>
    <w:lsdException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46"/>
    <w:qFormat/>
    <w:uiPriority w:val="0"/>
    <w:pPr>
      <w:keepNext/>
      <w:keepLines/>
      <w:spacing w:before="340" w:after="330" w:line="578" w:lineRule="auto"/>
      <w:outlineLvl w:val="0"/>
    </w:pPr>
    <w:rPr>
      <w:b/>
      <w:bCs/>
      <w:kern w:val="44"/>
      <w:sz w:val="44"/>
      <w:szCs w:val="44"/>
    </w:rPr>
  </w:style>
  <w:style w:type="paragraph" w:styleId="3">
    <w:name w:val="heading 2"/>
    <w:basedOn w:val="1"/>
    <w:next w:val="1"/>
    <w:qFormat/>
    <w:uiPriority w:val="0"/>
    <w:pPr>
      <w:keepNext/>
      <w:keepLines/>
      <w:spacing w:before="260" w:after="260" w:line="416" w:lineRule="auto"/>
      <w:outlineLvl w:val="1"/>
    </w:pPr>
    <w:rPr>
      <w:rFonts w:ascii="Arial" w:hAnsi="Arial" w:eastAsia="黑体"/>
      <w:b/>
      <w:bCs/>
      <w:sz w:val="32"/>
      <w:szCs w:val="32"/>
    </w:rPr>
  </w:style>
  <w:style w:type="paragraph" w:styleId="4">
    <w:name w:val="heading 3"/>
    <w:basedOn w:val="1"/>
    <w:next w:val="1"/>
    <w:qFormat/>
    <w:uiPriority w:val="0"/>
    <w:pPr>
      <w:keepNext/>
      <w:keepLines/>
      <w:spacing w:before="260" w:after="260" w:line="413" w:lineRule="auto"/>
      <w:outlineLvl w:val="2"/>
    </w:pPr>
    <w:rPr>
      <w:b/>
      <w:sz w:val="32"/>
    </w:rPr>
  </w:style>
  <w:style w:type="paragraph" w:styleId="5">
    <w:name w:val="heading 5"/>
    <w:basedOn w:val="1"/>
    <w:next w:val="1"/>
    <w:link w:val="50"/>
    <w:qFormat/>
    <w:uiPriority w:val="0"/>
    <w:pPr>
      <w:keepNext/>
      <w:keepLines/>
      <w:spacing w:before="280" w:after="290" w:line="376" w:lineRule="auto"/>
      <w:outlineLvl w:val="4"/>
    </w:pPr>
    <w:rPr>
      <w:b/>
      <w:bCs/>
      <w:kern w:val="0"/>
      <w:sz w:val="28"/>
      <w:szCs w:val="28"/>
    </w:rPr>
  </w:style>
  <w:style w:type="character" w:default="1" w:styleId="32">
    <w:name w:val="Default Paragraph Font"/>
    <w:semiHidden/>
    <w:unhideWhenUsed/>
    <w:qFormat/>
    <w:uiPriority w:val="1"/>
  </w:style>
  <w:style w:type="table" w:default="1" w:styleId="30">
    <w:name w:val="Normal Table"/>
    <w:semiHidden/>
    <w:unhideWhenUsed/>
    <w:qFormat/>
    <w:uiPriority w:val="99"/>
    <w:tblPr>
      <w:tblCellMar>
        <w:top w:w="0" w:type="dxa"/>
        <w:left w:w="108" w:type="dxa"/>
        <w:bottom w:w="0" w:type="dxa"/>
        <w:right w:w="108" w:type="dxa"/>
      </w:tblCellMar>
    </w:tblPr>
  </w:style>
  <w:style w:type="paragraph" w:styleId="6">
    <w:name w:val="List Number"/>
    <w:basedOn w:val="1"/>
    <w:qFormat/>
    <w:uiPriority w:val="0"/>
    <w:pPr>
      <w:numPr>
        <w:ilvl w:val="0"/>
        <w:numId w:val="1"/>
      </w:numPr>
      <w:ind w:firstLine="0"/>
    </w:pPr>
  </w:style>
  <w:style w:type="paragraph" w:styleId="7">
    <w:name w:val="Normal Indent"/>
    <w:basedOn w:val="1"/>
    <w:link w:val="63"/>
    <w:qFormat/>
    <w:uiPriority w:val="0"/>
    <w:pPr>
      <w:adjustRightInd w:val="0"/>
      <w:spacing w:line="312" w:lineRule="atLeast"/>
      <w:ind w:firstLine="420"/>
      <w:textAlignment w:val="baseline"/>
    </w:pPr>
    <w:rPr>
      <w:kern w:val="0"/>
      <w:sz w:val="20"/>
      <w:szCs w:val="20"/>
    </w:rPr>
  </w:style>
  <w:style w:type="paragraph" w:styleId="8">
    <w:name w:val="caption"/>
    <w:basedOn w:val="1"/>
    <w:next w:val="1"/>
    <w:qFormat/>
    <w:uiPriority w:val="0"/>
    <w:rPr>
      <w:rFonts w:ascii="Calibri Light" w:hAnsi="Calibri Light" w:eastAsia="黑体"/>
      <w:sz w:val="20"/>
      <w:szCs w:val="20"/>
    </w:rPr>
  </w:style>
  <w:style w:type="paragraph" w:styleId="9">
    <w:name w:val="toa heading"/>
    <w:basedOn w:val="1"/>
    <w:next w:val="1"/>
    <w:unhideWhenUsed/>
    <w:qFormat/>
    <w:uiPriority w:val="99"/>
    <w:pPr>
      <w:spacing w:before="120"/>
    </w:pPr>
    <w:rPr>
      <w:rFonts w:ascii="Calibri Light" w:hAnsi="Calibri Light"/>
    </w:rPr>
  </w:style>
  <w:style w:type="paragraph" w:styleId="10">
    <w:name w:val="annotation text"/>
    <w:basedOn w:val="1"/>
    <w:link w:val="41"/>
    <w:qFormat/>
    <w:uiPriority w:val="0"/>
    <w:pPr>
      <w:jc w:val="left"/>
    </w:pPr>
    <w:rPr>
      <w:kern w:val="0"/>
      <w:sz w:val="20"/>
    </w:rPr>
  </w:style>
  <w:style w:type="paragraph" w:styleId="11">
    <w:name w:val="Body Text"/>
    <w:basedOn w:val="1"/>
    <w:next w:val="12"/>
    <w:link w:val="60"/>
    <w:qFormat/>
    <w:uiPriority w:val="0"/>
    <w:pPr>
      <w:spacing w:after="120"/>
    </w:pPr>
    <w:rPr>
      <w:kern w:val="0"/>
      <w:sz w:val="20"/>
    </w:rPr>
  </w:style>
  <w:style w:type="paragraph" w:styleId="12">
    <w:name w:val="Body Text First Indent"/>
    <w:basedOn w:val="11"/>
    <w:next w:val="13"/>
    <w:link w:val="43"/>
    <w:qFormat/>
    <w:uiPriority w:val="0"/>
    <w:pPr>
      <w:ind w:firstLine="420" w:firstLineChars="100"/>
    </w:pPr>
  </w:style>
  <w:style w:type="paragraph" w:styleId="13">
    <w:name w:val="toc 6"/>
    <w:basedOn w:val="1"/>
    <w:next w:val="1"/>
    <w:qFormat/>
    <w:uiPriority w:val="0"/>
    <w:pPr>
      <w:ind w:left="1050"/>
      <w:jc w:val="left"/>
    </w:pPr>
    <w:rPr>
      <w:rFonts w:ascii="Century Gothic" w:hAnsi="Century Gothic"/>
      <w:sz w:val="18"/>
      <w:szCs w:val="18"/>
    </w:rPr>
  </w:style>
  <w:style w:type="paragraph" w:styleId="14">
    <w:name w:val="Body Text Indent"/>
    <w:basedOn w:val="1"/>
    <w:next w:val="1"/>
    <w:link w:val="47"/>
    <w:qFormat/>
    <w:uiPriority w:val="0"/>
    <w:pPr>
      <w:spacing w:after="120"/>
      <w:ind w:left="420" w:leftChars="200"/>
    </w:pPr>
    <w:rPr>
      <w:kern w:val="0"/>
      <w:sz w:val="20"/>
    </w:rPr>
  </w:style>
  <w:style w:type="paragraph" w:styleId="15">
    <w:name w:val="List 2"/>
    <w:basedOn w:val="1"/>
    <w:qFormat/>
    <w:uiPriority w:val="0"/>
    <w:pPr>
      <w:ind w:left="100" w:leftChars="200" w:hanging="200" w:hangingChars="200"/>
      <w:contextualSpacing/>
    </w:pPr>
  </w:style>
  <w:style w:type="paragraph" w:styleId="16">
    <w:name w:val="toc 3"/>
    <w:basedOn w:val="1"/>
    <w:next w:val="1"/>
    <w:qFormat/>
    <w:uiPriority w:val="0"/>
    <w:pPr>
      <w:ind w:left="840" w:leftChars="400"/>
    </w:pPr>
  </w:style>
  <w:style w:type="paragraph" w:styleId="17">
    <w:name w:val="Plain Text"/>
    <w:basedOn w:val="1"/>
    <w:link w:val="59"/>
    <w:qFormat/>
    <w:uiPriority w:val="0"/>
    <w:pPr>
      <w:spacing w:beforeLines="50" w:afterLines="50" w:line="400" w:lineRule="exact"/>
    </w:pPr>
    <w:rPr>
      <w:rFonts w:ascii="宋体" w:hAnsi="Courier New"/>
      <w:kern w:val="0"/>
      <w:sz w:val="24"/>
    </w:rPr>
  </w:style>
  <w:style w:type="paragraph" w:styleId="18">
    <w:name w:val="Body Text Indent 2"/>
    <w:basedOn w:val="1"/>
    <w:qFormat/>
    <w:uiPriority w:val="0"/>
    <w:pPr>
      <w:spacing w:line="500" w:lineRule="exact"/>
      <w:ind w:firstLine="511" w:firstLineChars="213"/>
    </w:pPr>
    <w:rPr>
      <w:kern w:val="0"/>
      <w:sz w:val="24"/>
    </w:rPr>
  </w:style>
  <w:style w:type="paragraph" w:styleId="19">
    <w:name w:val="Balloon Text"/>
    <w:basedOn w:val="1"/>
    <w:link w:val="54"/>
    <w:qFormat/>
    <w:uiPriority w:val="0"/>
    <w:rPr>
      <w:kern w:val="0"/>
      <w:sz w:val="18"/>
      <w:szCs w:val="18"/>
    </w:rPr>
  </w:style>
  <w:style w:type="paragraph" w:styleId="20">
    <w:name w:val="footer"/>
    <w:basedOn w:val="1"/>
    <w:link w:val="65"/>
    <w:qFormat/>
    <w:uiPriority w:val="99"/>
    <w:pPr>
      <w:tabs>
        <w:tab w:val="center" w:pos="4153"/>
        <w:tab w:val="right" w:pos="8306"/>
      </w:tabs>
      <w:snapToGrid w:val="0"/>
      <w:jc w:val="left"/>
    </w:pPr>
    <w:rPr>
      <w:kern w:val="0"/>
      <w:sz w:val="18"/>
      <w:szCs w:val="18"/>
    </w:rPr>
  </w:style>
  <w:style w:type="paragraph" w:styleId="21">
    <w:name w:val="header"/>
    <w:basedOn w:val="1"/>
    <w:link w:val="64"/>
    <w:qFormat/>
    <w:uiPriority w:val="0"/>
    <w:pPr>
      <w:pBdr>
        <w:bottom w:val="single" w:color="auto" w:sz="6" w:space="1"/>
      </w:pBdr>
      <w:tabs>
        <w:tab w:val="center" w:pos="4153"/>
        <w:tab w:val="right" w:pos="8306"/>
      </w:tabs>
      <w:snapToGrid w:val="0"/>
      <w:jc w:val="center"/>
    </w:pPr>
    <w:rPr>
      <w:kern w:val="0"/>
      <w:sz w:val="18"/>
      <w:szCs w:val="18"/>
    </w:rPr>
  </w:style>
  <w:style w:type="paragraph" w:styleId="22">
    <w:name w:val="toc 1"/>
    <w:basedOn w:val="1"/>
    <w:next w:val="1"/>
    <w:qFormat/>
    <w:uiPriority w:val="0"/>
  </w:style>
  <w:style w:type="paragraph" w:styleId="23">
    <w:name w:val="Subtitle"/>
    <w:basedOn w:val="1"/>
    <w:next w:val="1"/>
    <w:link w:val="56"/>
    <w:qFormat/>
    <w:uiPriority w:val="0"/>
    <w:pPr>
      <w:spacing w:before="240" w:after="60" w:line="312" w:lineRule="auto"/>
      <w:jc w:val="center"/>
      <w:outlineLvl w:val="1"/>
    </w:pPr>
    <w:rPr>
      <w:rFonts w:ascii="Cambria" w:hAnsi="Cambria"/>
      <w:b/>
      <w:bCs/>
      <w:kern w:val="28"/>
      <w:sz w:val="32"/>
      <w:szCs w:val="32"/>
    </w:rPr>
  </w:style>
  <w:style w:type="paragraph" w:styleId="24">
    <w:name w:val="footnote text"/>
    <w:basedOn w:val="1"/>
    <w:qFormat/>
    <w:uiPriority w:val="0"/>
    <w:pPr>
      <w:snapToGrid w:val="0"/>
      <w:jc w:val="left"/>
    </w:pPr>
    <w:rPr>
      <w:sz w:val="18"/>
    </w:rPr>
  </w:style>
  <w:style w:type="paragraph" w:styleId="25">
    <w:name w:val="Body Text Indent 3"/>
    <w:basedOn w:val="1"/>
    <w:link w:val="51"/>
    <w:qFormat/>
    <w:uiPriority w:val="0"/>
    <w:pPr>
      <w:spacing w:after="120"/>
      <w:ind w:left="420" w:leftChars="200"/>
    </w:pPr>
    <w:rPr>
      <w:kern w:val="0"/>
      <w:sz w:val="16"/>
      <w:szCs w:val="16"/>
    </w:rPr>
  </w:style>
  <w:style w:type="paragraph" w:styleId="26">
    <w:name w:val="toc 2"/>
    <w:basedOn w:val="1"/>
    <w:next w:val="1"/>
    <w:qFormat/>
    <w:uiPriority w:val="0"/>
    <w:pPr>
      <w:ind w:left="420" w:leftChars="200"/>
    </w:pPr>
  </w:style>
  <w:style w:type="paragraph" w:styleId="27">
    <w:name w:val="Normal (Web)"/>
    <w:basedOn w:val="1"/>
    <w:qFormat/>
    <w:uiPriority w:val="0"/>
    <w:pPr>
      <w:widowControl/>
      <w:spacing w:before="100" w:beforeAutospacing="1" w:after="100" w:afterAutospacing="1"/>
      <w:jc w:val="left"/>
    </w:pPr>
    <w:rPr>
      <w:rFonts w:ascii="宋体" w:hAnsi="宋体" w:cs="宋体"/>
      <w:kern w:val="0"/>
      <w:sz w:val="24"/>
    </w:rPr>
  </w:style>
  <w:style w:type="paragraph" w:styleId="28">
    <w:name w:val="annotation subject"/>
    <w:basedOn w:val="10"/>
    <w:next w:val="10"/>
    <w:link w:val="61"/>
    <w:qFormat/>
    <w:uiPriority w:val="0"/>
    <w:rPr>
      <w:b/>
      <w:bCs/>
    </w:rPr>
  </w:style>
  <w:style w:type="paragraph" w:styleId="29">
    <w:name w:val="Body Text First Indent 2"/>
    <w:basedOn w:val="14"/>
    <w:link w:val="62"/>
    <w:qFormat/>
    <w:uiPriority w:val="99"/>
    <w:pPr>
      <w:ind w:firstLine="420" w:firstLineChars="200"/>
    </w:pPr>
  </w:style>
  <w:style w:type="table" w:styleId="31">
    <w:name w:val="Table Grid"/>
    <w:basedOn w:val="3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3">
    <w:name w:val="Strong"/>
    <w:basedOn w:val="32"/>
    <w:qFormat/>
    <w:uiPriority w:val="0"/>
    <w:rPr>
      <w:rFonts w:ascii="Times New Roman" w:hAnsi="Times New Roman" w:eastAsia="宋体" w:cs="Times New Roman"/>
      <w:b/>
    </w:rPr>
  </w:style>
  <w:style w:type="character" w:styleId="34">
    <w:name w:val="page number"/>
    <w:qFormat/>
    <w:uiPriority w:val="99"/>
    <w:rPr>
      <w:rFonts w:cs="Times New Roman"/>
    </w:rPr>
  </w:style>
  <w:style w:type="character" w:styleId="35">
    <w:name w:val="FollowedHyperlink"/>
    <w:qFormat/>
    <w:uiPriority w:val="0"/>
    <w:rPr>
      <w:rFonts w:ascii="Times New Roman" w:hAnsi="Times New Roman" w:eastAsia="宋体" w:cs="Times New Roman"/>
      <w:color w:val="333333"/>
      <w:u w:val="none"/>
    </w:rPr>
  </w:style>
  <w:style w:type="character" w:styleId="36">
    <w:name w:val="Hyperlink"/>
    <w:qFormat/>
    <w:uiPriority w:val="0"/>
    <w:rPr>
      <w:rFonts w:ascii="Times New Roman" w:hAnsi="Times New Roman" w:eastAsia="宋体" w:cs="Times New Roman"/>
      <w:color w:val="000000"/>
      <w:sz w:val="20"/>
      <w:szCs w:val="20"/>
      <w:u w:val="none"/>
    </w:rPr>
  </w:style>
  <w:style w:type="character" w:styleId="37">
    <w:name w:val="annotation reference"/>
    <w:basedOn w:val="32"/>
    <w:qFormat/>
    <w:uiPriority w:val="0"/>
    <w:rPr>
      <w:rFonts w:ascii="Times New Roman" w:hAnsi="Times New Roman" w:eastAsia="宋体" w:cs="Times New Roman"/>
      <w:sz w:val="21"/>
      <w:szCs w:val="21"/>
    </w:rPr>
  </w:style>
  <w:style w:type="character" w:styleId="38">
    <w:name w:val="footnote reference"/>
    <w:basedOn w:val="32"/>
    <w:qFormat/>
    <w:uiPriority w:val="0"/>
    <w:rPr>
      <w:vertAlign w:val="superscript"/>
    </w:rPr>
  </w:style>
  <w:style w:type="paragraph" w:customStyle="1" w:styleId="39">
    <w:name w:val="Default"/>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paragraph" w:customStyle="1" w:styleId="40">
    <w:name w:val="表格文字"/>
    <w:basedOn w:val="1"/>
    <w:next w:val="11"/>
    <w:qFormat/>
    <w:uiPriority w:val="0"/>
    <w:pPr>
      <w:adjustRightInd w:val="0"/>
      <w:spacing w:line="420" w:lineRule="atLeast"/>
      <w:jc w:val="left"/>
      <w:textAlignment w:val="baseline"/>
    </w:pPr>
    <w:rPr>
      <w:kern w:val="0"/>
      <w:szCs w:val="20"/>
    </w:rPr>
  </w:style>
  <w:style w:type="character" w:customStyle="1" w:styleId="41">
    <w:name w:val="批注文字 字符"/>
    <w:link w:val="10"/>
    <w:qFormat/>
    <w:uiPriority w:val="0"/>
    <w:rPr>
      <w:rFonts w:ascii="Times New Roman" w:hAnsi="Times New Roman" w:eastAsia="宋体" w:cs="Times New Roman"/>
      <w:szCs w:val="24"/>
    </w:rPr>
  </w:style>
  <w:style w:type="character" w:customStyle="1" w:styleId="42">
    <w:name w:val="layui-laypage-curr"/>
    <w:qFormat/>
    <w:uiPriority w:val="0"/>
    <w:rPr>
      <w:rFonts w:ascii="Times New Roman" w:hAnsi="Times New Roman" w:eastAsia="宋体" w:cs="Times New Roman"/>
    </w:rPr>
  </w:style>
  <w:style w:type="character" w:customStyle="1" w:styleId="43">
    <w:name w:val="正文首行缩进 字符"/>
    <w:link w:val="12"/>
    <w:qFormat/>
    <w:uiPriority w:val="0"/>
    <w:rPr>
      <w:rFonts w:ascii="Times New Roman" w:hAnsi="Times New Roman" w:eastAsia="宋体" w:cs="Times New Roman"/>
      <w:szCs w:val="24"/>
    </w:rPr>
  </w:style>
  <w:style w:type="character" w:customStyle="1" w:styleId="44">
    <w:name w:val="layui-this"/>
    <w:qFormat/>
    <w:uiPriority w:val="0"/>
    <w:rPr>
      <w:rFonts w:ascii="Times New Roman" w:hAnsi="Times New Roman" w:eastAsia="宋体" w:cs="Times New Roman"/>
      <w:bdr w:val="single" w:color="EEEEEE" w:sz="6" w:space="0"/>
      <w:shd w:val="clear" w:color="auto" w:fill="FFFFFF"/>
    </w:rPr>
  </w:style>
  <w:style w:type="character" w:customStyle="1" w:styleId="45">
    <w:name w:val="tree-add"/>
    <w:qFormat/>
    <w:uiPriority w:val="0"/>
    <w:rPr>
      <w:rFonts w:ascii="Times New Roman" w:hAnsi="Times New Roman" w:eastAsia="宋体" w:cs="Times New Roman"/>
    </w:rPr>
  </w:style>
  <w:style w:type="character" w:customStyle="1" w:styleId="46">
    <w:name w:val="标题 1 字符"/>
    <w:link w:val="2"/>
    <w:qFormat/>
    <w:uiPriority w:val="0"/>
    <w:rPr>
      <w:rFonts w:ascii="Times New Roman" w:hAnsi="Times New Roman" w:eastAsia="宋体" w:cs="Times New Roman"/>
      <w:b/>
      <w:bCs/>
      <w:kern w:val="44"/>
      <w:sz w:val="44"/>
      <w:szCs w:val="44"/>
    </w:rPr>
  </w:style>
  <w:style w:type="character" w:customStyle="1" w:styleId="47">
    <w:name w:val="正文文本缩进 字符"/>
    <w:link w:val="14"/>
    <w:qFormat/>
    <w:uiPriority w:val="0"/>
    <w:rPr>
      <w:rFonts w:ascii="Times New Roman" w:hAnsi="Times New Roman" w:eastAsia="宋体" w:cs="Times New Roman"/>
      <w:szCs w:val="24"/>
    </w:rPr>
  </w:style>
  <w:style w:type="character" w:customStyle="1" w:styleId="48">
    <w:name w:val="font91"/>
    <w:qFormat/>
    <w:uiPriority w:val="0"/>
    <w:rPr>
      <w:rFonts w:ascii="宋体" w:hAnsi="宋体" w:eastAsia="宋体" w:cs="宋体"/>
      <w:color w:val="FF0000"/>
      <w:sz w:val="22"/>
      <w:szCs w:val="22"/>
      <w:u w:val="none"/>
    </w:rPr>
  </w:style>
  <w:style w:type="character" w:customStyle="1" w:styleId="49">
    <w:name w:val="first-child"/>
    <w:qFormat/>
    <w:uiPriority w:val="0"/>
    <w:rPr>
      <w:rFonts w:ascii="Times New Roman" w:hAnsi="Times New Roman" w:eastAsia="宋体" w:cs="Times New Roman"/>
    </w:rPr>
  </w:style>
  <w:style w:type="character" w:customStyle="1" w:styleId="50">
    <w:name w:val="标题 5 字符"/>
    <w:link w:val="5"/>
    <w:qFormat/>
    <w:uiPriority w:val="0"/>
    <w:rPr>
      <w:rFonts w:ascii="Times New Roman" w:hAnsi="Times New Roman" w:eastAsia="宋体" w:cs="Times New Roman"/>
      <w:b/>
      <w:bCs/>
      <w:sz w:val="28"/>
      <w:szCs w:val="28"/>
    </w:rPr>
  </w:style>
  <w:style w:type="character" w:customStyle="1" w:styleId="51">
    <w:name w:val="正文文本缩进 3 字符"/>
    <w:link w:val="25"/>
    <w:qFormat/>
    <w:uiPriority w:val="0"/>
    <w:rPr>
      <w:rFonts w:ascii="Times New Roman" w:hAnsi="Times New Roman" w:eastAsia="宋体" w:cs="Times New Roman"/>
      <w:sz w:val="16"/>
      <w:szCs w:val="16"/>
    </w:rPr>
  </w:style>
  <w:style w:type="character" w:customStyle="1" w:styleId="52">
    <w:name w:val="正文文本缩进 2 字符"/>
    <w:link w:val="53"/>
    <w:qFormat/>
    <w:uiPriority w:val="0"/>
    <w:rPr>
      <w:rFonts w:ascii="仿宋_GB2312" w:hAnsi="宋体" w:eastAsia="宋体" w:cs="Arial"/>
      <w:b/>
      <w:bCs/>
      <w:sz w:val="24"/>
      <w:szCs w:val="24"/>
    </w:rPr>
  </w:style>
  <w:style w:type="paragraph" w:customStyle="1" w:styleId="53">
    <w:name w:val="正文文本缩进 21"/>
    <w:basedOn w:val="1"/>
    <w:link w:val="52"/>
    <w:qFormat/>
    <w:uiPriority w:val="0"/>
    <w:pPr>
      <w:snapToGrid w:val="0"/>
      <w:ind w:firstLine="542" w:firstLineChars="225"/>
    </w:pPr>
    <w:rPr>
      <w:rFonts w:ascii="仿宋_GB2312" w:hAnsi="宋体"/>
      <w:b/>
      <w:bCs/>
      <w:kern w:val="0"/>
      <w:sz w:val="24"/>
    </w:rPr>
  </w:style>
  <w:style w:type="character" w:customStyle="1" w:styleId="54">
    <w:name w:val="批注框文本 字符"/>
    <w:link w:val="19"/>
    <w:qFormat/>
    <w:uiPriority w:val="0"/>
    <w:rPr>
      <w:rFonts w:ascii="Times New Roman" w:hAnsi="Times New Roman" w:eastAsia="宋体" w:cs="Times New Roman"/>
      <w:sz w:val="18"/>
      <w:szCs w:val="18"/>
    </w:rPr>
  </w:style>
  <w:style w:type="character" w:customStyle="1" w:styleId="55">
    <w:name w:val="layui-this4"/>
    <w:qFormat/>
    <w:uiPriority w:val="0"/>
    <w:rPr>
      <w:rFonts w:ascii="Times New Roman" w:hAnsi="Times New Roman" w:eastAsia="宋体" w:cs="Times New Roman"/>
      <w:bdr w:val="single" w:color="EEEEEE" w:sz="6" w:space="0"/>
      <w:shd w:val="clear" w:color="auto" w:fill="FFFFFF"/>
    </w:rPr>
  </w:style>
  <w:style w:type="character" w:customStyle="1" w:styleId="56">
    <w:name w:val="副标题 字符"/>
    <w:link w:val="23"/>
    <w:qFormat/>
    <w:uiPriority w:val="0"/>
    <w:rPr>
      <w:rFonts w:ascii="Cambria" w:hAnsi="Cambria" w:eastAsia="宋体" w:cs="Times New Roman"/>
      <w:b/>
      <w:bCs/>
      <w:kern w:val="28"/>
      <w:sz w:val="32"/>
      <w:szCs w:val="32"/>
    </w:rPr>
  </w:style>
  <w:style w:type="character" w:customStyle="1" w:styleId="57">
    <w:name w:val="纯文本 字符"/>
    <w:link w:val="58"/>
    <w:qFormat/>
    <w:uiPriority w:val="0"/>
    <w:rPr>
      <w:rFonts w:ascii="宋体" w:hAnsi="Courier New" w:eastAsia="宋体" w:cs="Times New Roman"/>
      <w:kern w:val="0"/>
      <w:sz w:val="24"/>
      <w:szCs w:val="24"/>
    </w:rPr>
  </w:style>
  <w:style w:type="paragraph" w:customStyle="1" w:styleId="58">
    <w:name w:val="纯文本1"/>
    <w:basedOn w:val="1"/>
    <w:link w:val="57"/>
    <w:qFormat/>
    <w:uiPriority w:val="0"/>
    <w:pPr>
      <w:spacing w:beforeLines="50" w:afterLines="50" w:line="400" w:lineRule="exact"/>
    </w:pPr>
    <w:rPr>
      <w:rFonts w:ascii="宋体" w:hAnsi="Courier New"/>
      <w:kern w:val="0"/>
      <w:sz w:val="24"/>
    </w:rPr>
  </w:style>
  <w:style w:type="character" w:customStyle="1" w:styleId="59">
    <w:name w:val="纯文本 字符1"/>
    <w:link w:val="17"/>
    <w:qFormat/>
    <w:uiPriority w:val="0"/>
    <w:rPr>
      <w:rFonts w:ascii="宋体" w:hAnsi="Courier New" w:eastAsia="宋体" w:cs="Times New Roman"/>
      <w:kern w:val="0"/>
      <w:sz w:val="24"/>
      <w:szCs w:val="24"/>
    </w:rPr>
  </w:style>
  <w:style w:type="character" w:customStyle="1" w:styleId="60">
    <w:name w:val="正文文本 字符"/>
    <w:link w:val="11"/>
    <w:qFormat/>
    <w:uiPriority w:val="0"/>
    <w:rPr>
      <w:rFonts w:ascii="Times New Roman" w:hAnsi="Times New Roman" w:eastAsia="宋体" w:cs="Times New Roman"/>
      <w:szCs w:val="24"/>
    </w:rPr>
  </w:style>
  <w:style w:type="character" w:customStyle="1" w:styleId="61">
    <w:name w:val="批注主题 字符"/>
    <w:link w:val="28"/>
    <w:qFormat/>
    <w:uiPriority w:val="0"/>
    <w:rPr>
      <w:rFonts w:ascii="Times New Roman" w:hAnsi="Times New Roman" w:eastAsia="宋体" w:cs="Times New Roman"/>
      <w:b/>
      <w:bCs/>
      <w:szCs w:val="24"/>
    </w:rPr>
  </w:style>
  <w:style w:type="character" w:customStyle="1" w:styleId="62">
    <w:name w:val="正文首行缩进 2 字符"/>
    <w:link w:val="29"/>
    <w:qFormat/>
    <w:uiPriority w:val="99"/>
    <w:rPr>
      <w:rFonts w:ascii="Times New Roman" w:hAnsi="Times New Roman" w:eastAsia="宋体" w:cs="Times New Roman"/>
      <w:szCs w:val="24"/>
    </w:rPr>
  </w:style>
  <w:style w:type="character" w:customStyle="1" w:styleId="63">
    <w:name w:val="正文缩进 字符"/>
    <w:link w:val="7"/>
    <w:qFormat/>
    <w:uiPriority w:val="0"/>
    <w:rPr>
      <w:rFonts w:ascii="Times New Roman" w:hAnsi="Times New Roman" w:eastAsia="宋体" w:cs="Times New Roman"/>
      <w:kern w:val="0"/>
      <w:szCs w:val="20"/>
    </w:rPr>
  </w:style>
  <w:style w:type="character" w:customStyle="1" w:styleId="64">
    <w:name w:val="页眉 字符"/>
    <w:link w:val="21"/>
    <w:qFormat/>
    <w:uiPriority w:val="0"/>
    <w:rPr>
      <w:rFonts w:ascii="Times New Roman" w:hAnsi="Times New Roman" w:eastAsia="宋体" w:cs="Times New Roman"/>
      <w:sz w:val="18"/>
      <w:szCs w:val="18"/>
    </w:rPr>
  </w:style>
  <w:style w:type="character" w:customStyle="1" w:styleId="65">
    <w:name w:val="页脚 字符"/>
    <w:link w:val="20"/>
    <w:qFormat/>
    <w:uiPriority w:val="99"/>
    <w:rPr>
      <w:rFonts w:ascii="Times New Roman" w:hAnsi="Times New Roman" w:eastAsia="宋体" w:cs="Times New Roman"/>
      <w:sz w:val="18"/>
      <w:szCs w:val="18"/>
    </w:rPr>
  </w:style>
  <w:style w:type="character" w:customStyle="1" w:styleId="66">
    <w:name w:val="纯文本 Char1"/>
    <w:qFormat/>
    <w:uiPriority w:val="0"/>
    <w:rPr>
      <w:rFonts w:ascii="宋体" w:hAnsi="Courier New" w:eastAsia="宋体" w:cs="Times New Roman"/>
      <w:sz w:val="24"/>
      <w:szCs w:val="24"/>
      <w:lang w:val="en-US" w:eastAsia="zh-CN" w:bidi="ar-SA"/>
    </w:rPr>
  </w:style>
  <w:style w:type="character" w:customStyle="1" w:styleId="67">
    <w:name w:val="纯文本 Char3"/>
    <w:qFormat/>
    <w:uiPriority w:val="0"/>
    <w:rPr>
      <w:rFonts w:ascii="宋体" w:hAnsi="Courier New" w:eastAsia="宋体" w:cs="Times New Roman"/>
      <w:kern w:val="2"/>
      <w:sz w:val="21"/>
      <w:lang w:val="en-US" w:eastAsia="zh-CN" w:bidi="ar-SA"/>
    </w:rPr>
  </w:style>
  <w:style w:type="paragraph" w:customStyle="1" w:styleId="68">
    <w:name w:val="正文1"/>
    <w:basedOn w:val="1"/>
    <w:next w:val="1"/>
    <w:qFormat/>
    <w:uiPriority w:val="0"/>
    <w:pPr>
      <w:numPr>
        <w:ilvl w:val="0"/>
        <w:numId w:val="2"/>
      </w:numPr>
      <w:spacing w:before="100" w:after="100" w:line="400" w:lineRule="exact"/>
      <w:ind w:firstLine="480"/>
      <w:jc w:val="left"/>
    </w:pPr>
    <w:rPr>
      <w:rFonts w:ascii="Arial" w:hAnsi="Arial"/>
      <w:sz w:val="24"/>
      <w:szCs w:val="20"/>
    </w:rPr>
  </w:style>
  <w:style w:type="paragraph" w:customStyle="1" w:styleId="69">
    <w:name w:val="保留正文"/>
    <w:basedOn w:val="11"/>
    <w:qFormat/>
    <w:uiPriority w:val="0"/>
    <w:pPr>
      <w:keepNext/>
      <w:spacing w:after="160"/>
    </w:pPr>
    <w:rPr>
      <w:rFonts w:ascii="仿宋_GB2312" w:hAnsi="Tahoma"/>
      <w:b/>
    </w:rPr>
  </w:style>
  <w:style w:type="paragraph" w:customStyle="1" w:styleId="70">
    <w:name w:val="正文段"/>
    <w:basedOn w:val="1"/>
    <w:qFormat/>
    <w:uiPriority w:val="0"/>
    <w:pPr>
      <w:widowControl/>
      <w:snapToGrid w:val="0"/>
      <w:spacing w:afterLines="50"/>
      <w:ind w:firstLine="200" w:firstLineChars="200"/>
    </w:pPr>
    <w:rPr>
      <w:kern w:val="0"/>
      <w:sz w:val="24"/>
      <w:szCs w:val="20"/>
    </w:rPr>
  </w:style>
  <w:style w:type="paragraph" w:styleId="71">
    <w:name w:val="List Paragraph"/>
    <w:basedOn w:val="1"/>
    <w:qFormat/>
    <w:uiPriority w:val="34"/>
    <w:pPr>
      <w:ind w:firstLine="420" w:firstLineChars="200"/>
    </w:pPr>
  </w:style>
  <w:style w:type="paragraph" w:customStyle="1" w:styleId="72">
    <w:name w:val="_Style 1"/>
    <w:basedOn w:val="1"/>
    <w:qFormat/>
    <w:uiPriority w:val="0"/>
    <w:pPr>
      <w:ind w:firstLine="420" w:firstLineChars="200"/>
    </w:pPr>
    <w:rPr>
      <w:rFonts w:ascii="Calibri" w:hAnsi="Calibri"/>
      <w:szCs w:val="20"/>
    </w:rPr>
  </w:style>
  <w:style w:type="paragraph" w:customStyle="1" w:styleId="73">
    <w:name w:val="Table Paragraph"/>
    <w:basedOn w:val="1"/>
    <w:qFormat/>
    <w:uiPriority w:val="0"/>
    <w:pPr>
      <w:autoSpaceDE w:val="0"/>
      <w:autoSpaceDN w:val="0"/>
      <w:adjustRightInd w:val="0"/>
      <w:jc w:val="left"/>
    </w:pPr>
    <w:rPr>
      <w:rFonts w:ascii="黑体" w:hAnsi="黑体" w:cs="黑体"/>
      <w:kern w:val="0"/>
      <w:sz w:val="24"/>
    </w:rPr>
  </w:style>
  <w:style w:type="paragraph" w:customStyle="1" w:styleId="74">
    <w:name w:val="默认段落字体 Para Char Char Char Char Char Char Char Char Char1 Char Char Char Char"/>
    <w:basedOn w:val="1"/>
    <w:qFormat/>
    <w:uiPriority w:val="0"/>
    <w:rPr>
      <w:rFonts w:ascii="Tahoma" w:hAnsi="Tahoma"/>
      <w:sz w:val="24"/>
      <w:szCs w:val="20"/>
    </w:rPr>
  </w:style>
  <w:style w:type="paragraph" w:customStyle="1" w:styleId="75">
    <w:name w:val="正文 A"/>
    <w:qFormat/>
    <w:uiPriority w:val="0"/>
    <w:pPr>
      <w:framePr w:wrap="around" w:vAnchor="margin" w:hAnchor="text" w:y="1"/>
      <w:widowControl w:val="0"/>
      <w:jc w:val="both"/>
    </w:pPr>
    <w:rPr>
      <w:rFonts w:ascii="Times New Roman" w:hAnsi="Times New Roman" w:eastAsia="Arial Unicode MS" w:cs="Arial Unicode MS"/>
      <w:color w:val="000000"/>
      <w:kern w:val="2"/>
      <w:sz w:val="21"/>
      <w:szCs w:val="21"/>
      <w:lang w:val="en-US" w:eastAsia="zh-CN" w:bidi="ar-SA"/>
    </w:rPr>
  </w:style>
  <w:style w:type="paragraph" w:customStyle="1" w:styleId="76">
    <w:name w:val="TOC 标题1"/>
    <w:basedOn w:val="2"/>
    <w:next w:val="1"/>
    <w:qFormat/>
    <w:uiPriority w:val="0"/>
    <w:pPr>
      <w:widowControl/>
      <w:spacing w:before="480" w:after="0" w:line="276" w:lineRule="auto"/>
      <w:jc w:val="left"/>
      <w:outlineLvl w:val="9"/>
    </w:pPr>
    <w:rPr>
      <w:rFonts w:ascii="Cambria" w:hAnsi="Cambria"/>
      <w:color w:val="366091"/>
      <w:kern w:val="0"/>
      <w:sz w:val="28"/>
      <w:szCs w:val="28"/>
    </w:rPr>
  </w:style>
  <w:style w:type="paragraph" w:customStyle="1" w:styleId="77">
    <w:name w:val="修订1"/>
    <w:qFormat/>
    <w:uiPriority w:val="0"/>
    <w:rPr>
      <w:rFonts w:ascii="Times New Roman" w:hAnsi="Times New Roman" w:eastAsia="宋体" w:cs="Times New Roman"/>
      <w:kern w:val="2"/>
      <w:sz w:val="21"/>
      <w:szCs w:val="24"/>
      <w:lang w:val="en-US" w:eastAsia="zh-CN" w:bidi="ar-SA"/>
    </w:rPr>
  </w:style>
  <w:style w:type="paragraph" w:customStyle="1" w:styleId="78">
    <w:name w:val="列出段落1"/>
    <w:basedOn w:val="1"/>
    <w:qFormat/>
    <w:uiPriority w:val="0"/>
    <w:pPr>
      <w:ind w:firstLine="420" w:firstLineChars="200"/>
    </w:pPr>
    <w:rPr>
      <w:rFonts w:ascii="Calibri" w:hAnsi="Calibri"/>
      <w:szCs w:val="22"/>
    </w:rPr>
  </w:style>
  <w:style w:type="paragraph" w:customStyle="1" w:styleId="79">
    <w:name w:val="正文K"/>
    <w:unhideWhenUsed/>
    <w:qFormat/>
    <w:uiPriority w:val="0"/>
    <w:pPr>
      <w:widowControl w:val="0"/>
      <w:autoSpaceDE w:val="0"/>
      <w:autoSpaceDN w:val="0"/>
      <w:adjustRightInd w:val="0"/>
      <w:spacing w:line="340" w:lineRule="atLeast"/>
      <w:ind w:firstLine="428"/>
      <w:jc w:val="both"/>
    </w:pPr>
    <w:rPr>
      <w:rFonts w:hint="eastAsia" w:ascii="汉仪楷体简" w:hAnsi="Times New Roman" w:eastAsia="汉仪楷体简" w:cs="汉仪楷体简"/>
      <w:sz w:val="21"/>
      <w:szCs w:val="21"/>
      <w:lang w:val="en-US" w:eastAsia="zh-CN" w:bidi="ar-SA"/>
    </w:rPr>
  </w:style>
  <w:style w:type="paragraph" w:customStyle="1" w:styleId="80">
    <w:name w:val="reader-word-layer"/>
    <w:basedOn w:val="1"/>
    <w:qFormat/>
    <w:uiPriority w:val="0"/>
    <w:pPr>
      <w:widowControl/>
      <w:spacing w:before="100" w:beforeAutospacing="1" w:after="100" w:afterAutospacing="1"/>
      <w:jc w:val="left"/>
    </w:pPr>
    <w:rPr>
      <w:rFonts w:ascii="宋体" w:hAnsi="宋体" w:cs="宋体"/>
      <w:kern w:val="0"/>
      <w:sz w:val="24"/>
    </w:rPr>
  </w:style>
  <w:style w:type="character" w:customStyle="1" w:styleId="81">
    <w:name w:val="fontstyle01"/>
    <w:qFormat/>
    <w:uiPriority w:val="0"/>
    <w:rPr>
      <w:rFonts w:hint="eastAsia" w:ascii="宋体" w:hAnsi="宋体" w:eastAsia="宋体"/>
      <w:color w:val="000000"/>
      <w:sz w:val="22"/>
      <w:szCs w:val="22"/>
    </w:rPr>
  </w:style>
  <w:style w:type="table" w:customStyle="1" w:styleId="82">
    <w:name w:val="Table Normal"/>
    <w:semiHidden/>
    <w:unhideWhenUsed/>
    <w:qFormat/>
    <w:uiPriority w:val="0"/>
    <w:tblPr>
      <w:tblCellMar>
        <w:top w:w="0" w:type="dxa"/>
        <w:left w:w="0" w:type="dxa"/>
        <w:bottom w:w="0" w:type="dxa"/>
        <w:right w:w="0" w:type="dxa"/>
      </w:tblCellMar>
    </w:tblPr>
  </w:style>
  <w:style w:type="paragraph" w:customStyle="1" w:styleId="83">
    <w:name w:val="Table Text"/>
    <w:basedOn w:val="1"/>
    <w:semiHidden/>
    <w:qFormat/>
    <w:uiPriority w:val="0"/>
    <w:rPr>
      <w:rFonts w:ascii="Arial" w:hAnsi="Arial" w:eastAsia="Arial" w:cs="Arial"/>
      <w:szCs w:val="21"/>
      <w:lang w:eastAsia="en-US"/>
    </w:rPr>
  </w:style>
  <w:style w:type="paragraph" w:customStyle="1" w:styleId="84">
    <w:name w:val="biaoge"/>
    <w:basedOn w:val="1"/>
    <w:unhideWhenUsed/>
    <w:qFormat/>
    <w:uiPriority w:val="0"/>
  </w:style>
  <w:style w:type="paragraph" w:customStyle="1" w:styleId="85">
    <w:name w:val="正文_1"/>
    <w:basedOn w:val="1"/>
    <w:qFormat/>
    <w:uiPriority w:val="0"/>
    <w:rPr>
      <w:rFonts w:ascii="Calibri" w:hAnsi="Calibri" w:cs="Calibri"/>
      <w:szCs w:val="21"/>
    </w:rPr>
  </w:style>
  <w:style w:type="paragraph" w:customStyle="1" w:styleId="86">
    <w:name w:val="正文_0"/>
    <w:basedOn w:val="85"/>
    <w:qFormat/>
    <w:uiPriority w:val="0"/>
  </w:style>
  <w:style w:type="paragraph" w:customStyle="1" w:styleId="87">
    <w:name w:val="Char"/>
    <w:basedOn w:val="1"/>
    <w:qFormat/>
    <w:uiPriority w:val="0"/>
    <w:pPr>
      <w:ind w:firstLine="611" w:firstLineChars="191"/>
    </w:pPr>
    <w:rPr>
      <w:rFonts w:ascii="Calibri" w:hAnsi="Calibri"/>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2.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5.jpeg"/><Relationship Id="rId11" Type="http://schemas.openxmlformats.org/officeDocument/2006/relationships/image" Target="media/image4.jpeg"/><Relationship Id="rId10" Type="http://schemas.openxmlformats.org/officeDocument/2006/relationships/image" Target="media/image3.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EE86E7B-6B97-42C8-8BDC-F8269B885264}">
  <ds:schemaRefs/>
</ds:datastoreItem>
</file>

<file path=docProps/app.xml><?xml version="1.0" encoding="utf-8"?>
<Properties xmlns="http://schemas.openxmlformats.org/officeDocument/2006/extended-properties" xmlns:vt="http://schemas.openxmlformats.org/officeDocument/2006/docPropsVTypes">
  <Template>Normal</Template>
  <Pages>79</Pages>
  <Words>13936</Words>
  <Characters>15316</Characters>
  <Lines>290</Lines>
  <Paragraphs>81</Paragraphs>
  <TotalTime>0</TotalTime>
  <ScaleCrop>false</ScaleCrop>
  <LinksUpToDate>false</LinksUpToDate>
  <CharactersWithSpaces>15505</CharactersWithSpaces>
  <Application>WPS Office_12.1.0.23125_F1E327BC-269C-435d-A152-05C5408002CA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2023-08-18T08:26:00Z</dcterms:created>
  <dc:creator>Yzp</dc:creator>
  <cp:lastModifiedBy>白日梦</cp:lastModifiedBy>
  <cp:lastPrinted>2025-12-08T01:41:00Z</cp:lastPrinted>
  <dcterms:modified xsi:type="dcterms:W3CDTF">2026-04-29T05:17:14Z</dcterms:modified>
  <cp:revision>103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2052-12.1.0.23125</vt:lpwstr>
  </property>
  <property fmtid="{D5CDD505-2E9C-101B-9397-08002B2CF9AE}" pid="3" name="ICV">
    <vt:lpwstr>E41D444A524345E5B7DDFA84ABDF528B_13</vt:lpwstr>
  </property>
  <property fmtid="{D5CDD505-2E9C-101B-9397-08002B2CF9AE}" pid="4" name="KSOTemplateDocerSaveRecord">
    <vt:lpwstr>eyJoZGlkIjoiNTYyNDc5MTgxN2NjOWFjMjViNzhhOTdlZDViOWJiMjIiLCJ1c2VySWQiOiI0MTE2MzM4NzUifQ==</vt:lpwstr>
  </property>
</Properties>
</file>